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660" w:right="1620" w:hanging="3587"/>
        <w:spacing w:after="0" w:line="200" w:lineRule="auto"/>
        <w:tabs>
          <w:tab w:leader="none" w:pos="476"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191135</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285750</wp:posOffset>
            </wp:positionV>
            <wp:extent cx="180022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29210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840" w:type="dxa"/>
            <w:vAlign w:val="bottom"/>
          </w:tcPr>
          <w:p>
            <w:pPr>
              <w:jc w:val="center"/>
              <w:ind w:left="45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584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40" w:type="dxa"/>
            <w:vAlign w:val="bottom"/>
          </w:tcPr>
          <w:p>
            <w:pPr>
              <w:spacing w:after="0"/>
              <w:rPr>
                <w:sz w:val="18"/>
                <w:szCs w:val="18"/>
                <w:color w:val="auto"/>
              </w:rPr>
            </w:pPr>
          </w:p>
        </w:tc>
      </w:tr>
      <w:tr>
        <w:trPr>
          <w:trHeight w:val="238"/>
        </w:trPr>
        <w:tc>
          <w:tcPr>
            <w:tcW w:w="44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41" w:lineRule="exact"/>
        <w:rPr>
          <w:sz w:val="24"/>
          <w:szCs w:val="24"/>
          <w:color w:val="auto"/>
        </w:rPr>
      </w:pPr>
    </w:p>
    <w:p>
      <w:pPr>
        <w:jc w:val="both"/>
        <w:ind w:firstLine="539"/>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3" w:lineRule="auto"/>
        <w:rPr>
          <w:sz w:val="20"/>
          <w:szCs w:val="20"/>
          <w:color w:val="auto"/>
        </w:rPr>
      </w:pPr>
      <w:r>
        <w:rPr>
          <w:rFonts w:ascii="Times New Roman" w:cs="Times New Roman" w:eastAsia="Times New Roman" w:hAnsi="Times New Roman"/>
          <w:sz w:val="18"/>
          <w:szCs w:val="18"/>
          <w:color w:val="auto"/>
        </w:rPr>
        <w:t>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8" w:lineRule="exact"/>
        <w:rPr>
          <w:sz w:val="24"/>
          <w:szCs w:val="24"/>
          <w:color w:val="auto"/>
        </w:rPr>
      </w:pPr>
    </w:p>
    <w:p>
      <w:pPr>
        <w:jc w:val="both"/>
        <w:ind w:firstLine="539"/>
        <w:spacing w:after="0" w:line="1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ind w:firstLine="539"/>
        <w:spacing w:after="0" w:line="21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64" w:lineRule="exact"/>
        <w:rPr>
          <w:sz w:val="24"/>
          <w:szCs w:val="24"/>
          <w:color w:val="auto"/>
        </w:rPr>
      </w:pPr>
    </w:p>
    <w:p>
      <w:pPr>
        <w:ind w:right="280" w:firstLine="539"/>
        <w:spacing w:after="0" w:line="20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16" w:right="339" w:bottom="0" w:gutter="0" w:footer="0" w:header="0"/>
        </w:sectPr>
      </w:pPr>
    </w:p>
    <w:bookmarkStart w:id="1" w:name="page2"/>
    <w:bookmarkEnd w:id="1"/>
    <w:p>
      <w:pPr>
        <w:spacing w:after="0" w:line="207" w:lineRule="exact"/>
        <w:tabs>
          <w:tab w:leader="none" w:pos="8320" w:val="left"/>
          <w:tab w:leader="none" w:pos="8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9639"/>
          </w:cols>
          <w:pgMar w:left="820" w:top="91" w:right="1440" w:bottom="1440" w:gutter="0" w:footer="0" w:header="0"/>
        </w:sect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of November 8, 2022, the registrant had 92,672,893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1014730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50165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639"/>
          </w:cols>
          <w:pgMar w:left="820" w:top="91" w:right="1440" w:bottom="1440" w:gutter="0" w:footer="0" w:header="0"/>
          <w:type w:val="continuous"/>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80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80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80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tc>
        <w:tc>
          <w:tcPr>
            <w:tcW w:w="80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Equity (Deficit)</w:t>
            </w:r>
          </w:p>
        </w:tc>
        <w:tc>
          <w:tcPr>
            <w:tcW w:w="80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80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0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Defaults Under Senior Securities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9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0000FF"/>
                <w:w w:val="99"/>
              </w:rPr>
              <w:t>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233045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5" w:right="4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if any, and other factors set forth in other parts of this Quarterly Report on Form 10-Q.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2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cost of revenue, operating expenses, gross margin, adjusted EBITDA and other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initiatives and priorities, including the timing, focus and cadence of our marketing, innovation, and distribution and costovation strategies;</w:t>
      </w:r>
    </w:p>
    <w:p>
      <w:pPr>
        <w:spacing w:after="0" w:line="1" w:lineRule="exact"/>
        <w:rPr>
          <w:rFonts w:ascii="Times New Roman" w:cs="Times New Roman" w:eastAsia="Times New Roman" w:hAnsi="Times New Roman"/>
          <w:sz w:val="18"/>
          <w:szCs w:val="18"/>
          <w:color w:val="auto"/>
        </w:rPr>
      </w:pPr>
    </w:p>
    <w:p>
      <w:pPr>
        <w:ind w:left="660" w:right="2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offset the high inflationary environment, including commodity prices, labor costs, input cost and transportation cost inflation with price increases, productivity or investing in digital capabilities and a growing revenue base;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strategy to deliver sustained long-term growth;</w:t>
      </w:r>
    </w:p>
    <w:p>
      <w:pPr>
        <w:ind w:left="660" w:right="62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or other public health crises or macroeconomic factors on our business and the global economy, including shifting consumer demand between our Digital and Retail channels and the impact from supply chain disruptions;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economic conditions, including a recession and inflationary pressures and their impact on consumer spending and our profit margin;</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revenue growth through our omnichannel strategy and ability to capture growth in whitespace opportunities in the Retail channel;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marketing efforts, and our ability to grow brand awareness and maintain, protect and enhance our brand;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household penetration and increase market share in our product categories;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innovation and digital capabilities to fuel growth;</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shift towards clean and natural products and the whitespace opportunity it provides for further market penetration and category growth in the clean and natural segments;</w:t>
      </w:r>
    </w:p>
    <w:p>
      <w:pPr>
        <w:ind w:left="660" w:right="2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to address the reduction in demand of certain products in our Household and Wellness product category and the related impact on our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consumers and successfully retain existing consumers, including their level of spend with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with retail and digital customers;</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new distribution partners;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bring new products to market and to identify and successfully launch new category adjacencies;</w:t>
      </w:r>
    </w:p>
    <w:p>
      <w:pPr>
        <w:spacing w:after="0" w:line="1" w:lineRule="exact"/>
        <w:rPr>
          <w:rFonts w:ascii="Arial" w:cs="Arial" w:eastAsia="Arial" w:hAnsi="Arial"/>
          <w:sz w:val="22"/>
          <w:szCs w:val="22"/>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consumer demand and the timing and amount of orders from key customers;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practices, commitments and performance related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offset rising consumer uncertainty and tighter inventory management by retailers;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inventory and maintain sufficient inventory to satisfy customer demands and meet revenue targets;</w:t>
      </w:r>
    </w:p>
    <w:p>
      <w:pPr>
        <w:spacing w:after="0" w:line="7"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liquidate excess inventory related to drops in consumer demand for our products, product discontinuations or product restages;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gauge consumer trends and changing consumer preferences;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any costs associated therewith;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and expand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complete acquisitions that complement and expand our reach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our relationships with, our suppliers, manufacturers, distributors and retailers;</w:t>
      </w:r>
    </w:p>
    <w:p>
      <w:pPr>
        <w:spacing w:after="0" w:line="9" w:lineRule="exact"/>
        <w:rPr>
          <w:rFonts w:ascii="Times New Roman" w:cs="Times New Roman" w:eastAsia="Times New Roman" w:hAnsi="Times New Roman"/>
          <w:sz w:val="18"/>
          <w:szCs w:val="18"/>
          <w:color w:val="auto"/>
        </w:rPr>
      </w:pPr>
    </w:p>
    <w:p>
      <w:pPr>
        <w:ind w:left="328" w:hanging="328"/>
        <w:spacing w:after="0" w:line="23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and manufacturers to comply with safety, environmental or other laws or regulations;</w:t>
      </w:r>
    </w:p>
    <w:p>
      <w:pPr>
        <w:jc w:val="both"/>
        <w:ind w:left="328" w:hanging="328"/>
        <w:spacing w:after="0" w:line="239"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legal or administrative proceedings; 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652" w:top="769"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040" w:type="dxa"/>
            <w:vAlign w:val="bottom"/>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9"/>
              </w:rPr>
              <w:t>The Honest Company, Inc.</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280" w:type="dxa"/>
            <w:vAlign w:val="bottom"/>
            <w:gridSpan w:val="2"/>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260" w:type="dxa"/>
            <w:vAlign w:val="bottom"/>
            <w:gridSpan w:val="4"/>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3"/>
                <w:szCs w:val="23"/>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50,791</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248,360</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30,703</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liabilities</w:t>
            </w: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financing obligation, net of current portion</w:t>
            </w:r>
          </w:p>
        </w:tc>
        <w:tc>
          <w:tcPr>
            <w:tcW w:w="240" w:type="dxa"/>
            <w:vAlign w:val="bottom"/>
          </w:tcPr>
          <w:p>
            <w:pPr>
              <w:spacing w:after="0"/>
              <w:rPr>
                <w:sz w:val="23"/>
                <w:szCs w:val="23"/>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93,491</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September 30, 2022 and</w:t>
            </w: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 none issued or outstanding as of September 30, 2022 and December 31,</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1,000,000,000 and 150,000,000 shares authorized at</w:t>
            </w: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2022 and December 31, 2021, respectively; 92,590,227 and 91,512,140 shares</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September 30, 2022 and December 31, 2021, respectively</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582,396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570,794</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(427,237)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248,360</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765" w:right="339" w:bottom="8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874"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6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231,792</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238,258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85,081</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65,356</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38,121</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23"/>
                <w:szCs w:val="23"/>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92,460,987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90,397,409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92,020,423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64,399,183</w:t>
            </w:r>
          </w:p>
        </w:tc>
        <w:tc>
          <w:tcPr>
            <w:tcW w:w="0" w:type="dxa"/>
            <w:vAlign w:val="bottom"/>
          </w:tcPr>
          <w:p>
            <w:pPr>
              <w:spacing w:after="0"/>
              <w:rPr>
                <w:sz w:val="1"/>
                <w:szCs w:val="1"/>
                <w:color w:val="auto"/>
              </w:rPr>
            </w:pPr>
          </w:p>
        </w:tc>
      </w:tr>
      <w:tr>
        <w:trPr>
          <w:trHeight w:val="54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short-term investments, net of taxes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(36,469)</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9"/>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266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Redeemable Convertible Preferred</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164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8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4"/>
                <w:szCs w:val="14"/>
                <w:color w:val="auto"/>
              </w:rPr>
            </w:pPr>
          </w:p>
        </w:tc>
        <w:tc>
          <w:tcPr>
            <w:tcW w:w="880" w:type="dxa"/>
            <w:vAlign w:val="bottom"/>
          </w:tcPr>
          <w:p>
            <w:pPr>
              <w:jc w:val="center"/>
              <w:ind w:right="99"/>
              <w:spacing w:after="0" w:line="145"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1"/>
                <w:szCs w:val="21"/>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1"/>
                <w:szCs w:val="2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1"/>
                <w:szCs w:val="21"/>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21"/>
                <w:szCs w:val="21"/>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43"/>
        </w:trPr>
        <w:tc>
          <w:tcPr>
            <w:tcW w:w="1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w:t>
            </w:r>
          </w:p>
        </w:tc>
        <w:tc>
          <w:tcPr>
            <w:tcW w:w="13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8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49,100,928</w:t>
            </w:r>
          </w:p>
        </w:tc>
        <w:tc>
          <w:tcPr>
            <w:tcW w:w="8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376,404</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34,089,186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116,055</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(352,977)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(236,825)</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38,188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56"/>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w:t>
            </w: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49,100,928</w:t>
            </w:r>
          </w:p>
        </w:tc>
        <w:tc>
          <w:tcPr>
            <w:tcW w:w="8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376,404</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34,127,374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117,926</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(357,461)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(239,520)</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(20,034)</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22"/>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 ($0.42 per</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22"/>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pursuant to initial public</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net of</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underwriting commissions</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discounts and offering</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costs of $12.2 million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6,451,613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91,039</w:t>
            </w:r>
          </w:p>
        </w:tc>
        <w:tc>
          <w:tcPr>
            <w:tcW w:w="0" w:type="dxa"/>
            <w:vAlign w:val="bottom"/>
          </w:tcPr>
          <w:p>
            <w:pPr>
              <w:spacing w:after="0"/>
              <w:rPr>
                <w:sz w:val="1"/>
                <w:szCs w:val="1"/>
                <w:color w:val="auto"/>
              </w:rPr>
            </w:pPr>
          </w:p>
        </w:tc>
      </w:tr>
      <w:tr>
        <w:trPr>
          <w:trHeight w:val="222"/>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Conversion of redeemable</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common stock upon</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initial public offering</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(49,100,928)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(376,404)</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49,649,023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376,405</w:t>
            </w:r>
          </w:p>
        </w:tc>
        <w:tc>
          <w:tcPr>
            <w:tcW w:w="0" w:type="dxa"/>
            <w:vAlign w:val="bottom"/>
          </w:tcPr>
          <w:p>
            <w:pPr>
              <w:spacing w:after="0"/>
              <w:rPr>
                <w:sz w:val="1"/>
                <w:szCs w:val="1"/>
                <w:color w:val="auto"/>
              </w:rPr>
            </w:pPr>
          </w:p>
        </w:tc>
      </w:tr>
      <w:tr>
        <w:trPr>
          <w:trHeight w:val="222"/>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 restricted stock</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90,288,407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557,285</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(377,495)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179,787</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0" w:type="dxa"/>
            <w:vAlign w:val="bottom"/>
          </w:tcPr>
          <w:p>
            <w:pPr>
              <w:spacing w:after="0"/>
              <w:rPr>
                <w:sz w:val="1"/>
                <w:szCs w:val="1"/>
                <w:color w:val="auto"/>
              </w:rPr>
            </w:pPr>
          </w:p>
        </w:tc>
      </w:tr>
      <w:tr>
        <w:trPr>
          <w:trHeight w:val="222"/>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139,299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4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 restricted stock</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162,462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withheld</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 tax obligation and net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(61,722)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56"/>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6"/>
                <w:szCs w:val="16"/>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vMerge w:val="restart"/>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90,528,446</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562,109</w:t>
            </w:r>
          </w:p>
        </w:tc>
        <w:tc>
          <w:tcPr>
            <w:tcW w:w="80" w:type="dxa"/>
            <w:vAlign w:val="bottom"/>
          </w:tcPr>
          <w:p>
            <w:pPr>
              <w:spacing w:after="0"/>
              <w:rPr>
                <w:sz w:val="16"/>
                <w:szCs w:val="16"/>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(382,631)</w:t>
            </w: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179,485</w:t>
            </w:r>
          </w:p>
        </w:tc>
        <w:tc>
          <w:tcPr>
            <w:tcW w:w="0" w:type="dxa"/>
            <w:vAlign w:val="bottom"/>
          </w:tcPr>
          <w:p>
            <w:pPr>
              <w:spacing w:after="0"/>
              <w:rPr>
                <w:sz w:val="1"/>
                <w:szCs w:val="1"/>
                <w:color w:val="auto"/>
              </w:rPr>
            </w:pPr>
          </w:p>
        </w:tc>
      </w:tr>
      <w:tr>
        <w:trPr>
          <w:trHeight w:val="260"/>
        </w:trPr>
        <w:tc>
          <w:tcPr>
            <w:tcW w:w="1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2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gridSpan w:val="8"/>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18"/>
                <w:szCs w:val="18"/>
                <w:color w:val="auto"/>
              </w:rPr>
            </w:pPr>
          </w:p>
        </w:tc>
        <w:tc>
          <w:tcPr>
            <w:tcW w:w="2620" w:type="dxa"/>
            <w:vAlign w:val="bottom"/>
            <w:tcBorders>
              <w:right w:val="single" w:sz="8" w:color="auto"/>
            </w:tcBorders>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 Convertible Preferred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620" w:type="dxa"/>
            <w:vAlign w:val="bottom"/>
            <w:tcBorders>
              <w:right w:val="single" w:sz="8" w:color="auto"/>
            </w:tcBorders>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98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9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2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80" w:type="dxa"/>
            <w:vAlign w:val="bottom"/>
            <w:gridSpan w:val="3"/>
          </w:tcPr>
          <w:p>
            <w:pPr>
              <w:ind w:left="6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5"/>
                <w:szCs w:val="15"/>
                <w:color w:val="auto"/>
              </w:rPr>
            </w:pPr>
          </w:p>
        </w:tc>
        <w:tc>
          <w:tcPr>
            <w:tcW w:w="840" w:type="dxa"/>
            <w:vAlign w:val="bottom"/>
          </w:tcPr>
          <w:p>
            <w:pPr>
              <w:jc w:val="center"/>
              <w:ind w:right="79"/>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20"/>
                <w:szCs w:val="20"/>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w:t>
            </w: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90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91,512,140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570,794</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(391,656)</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179,106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Vested restricted stock units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Shares withheld related to</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share settlement of</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equity awards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56"/>
        </w:trPr>
        <w:tc>
          <w:tcPr>
            <w:tcW w:w="1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ASC 842 transition effect</w:t>
            </w: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2022</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91,572,210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574,435</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(405,437)</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168,889</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Vested restricted stock</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Shares issued under</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employee stock purchase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plan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22"/>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Common stock withheld for</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tax obligation and net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2022</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92,409,276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578,496</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(415,449)</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162,936</w:t>
            </w:r>
          </w:p>
        </w:tc>
        <w:tc>
          <w:tcPr>
            <w:tcW w:w="0" w:type="dxa"/>
            <w:vAlign w:val="bottom"/>
          </w:tcPr>
          <w:p>
            <w:pPr>
              <w:spacing w:after="0"/>
              <w:rPr>
                <w:sz w:val="1"/>
                <w:szCs w:val="1"/>
                <w:color w:val="auto"/>
              </w:rPr>
            </w:pPr>
          </w:p>
        </w:tc>
      </w:tr>
      <w:tr>
        <w:trPr>
          <w:trHeight w:val="297"/>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(11,788)</w:t>
            </w:r>
          </w:p>
        </w:tc>
        <w:tc>
          <w:tcPr>
            <w:tcW w:w="0" w:type="dxa"/>
            <w:vAlign w:val="bottom"/>
          </w:tcPr>
          <w:p>
            <w:pPr>
              <w:spacing w:after="0"/>
              <w:rPr>
                <w:sz w:val="1"/>
                <w:szCs w:val="1"/>
                <w:color w:val="auto"/>
              </w:rPr>
            </w:pPr>
          </w:p>
        </w:tc>
      </w:tr>
      <w:tr>
        <w:trPr>
          <w:trHeight w:val="222"/>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income (loss)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Vested restricted stock</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Shares issued under</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employee stock purchase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plan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Common stock withheld for</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tax obligation and net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900" w:type="dxa"/>
            <w:vAlign w:val="bottom"/>
          </w:tcPr>
          <w:p>
            <w:pPr>
              <w:spacing w:after="0"/>
              <w:rPr>
                <w:sz w:val="16"/>
                <w:szCs w:val="16"/>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92,590,227</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582,396</w:t>
            </w:r>
          </w:p>
        </w:tc>
        <w:tc>
          <w:tcPr>
            <w:tcW w:w="80" w:type="dxa"/>
            <w:vAlign w:val="bottom"/>
          </w:tcPr>
          <w:p>
            <w:pPr>
              <w:spacing w:after="0"/>
              <w:rPr>
                <w:sz w:val="16"/>
                <w:szCs w:val="16"/>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(427,237)</w:t>
            </w:r>
          </w:p>
        </w:tc>
        <w:tc>
          <w:tcPr>
            <w:tcW w:w="80" w:type="dxa"/>
            <w:vAlign w:val="bottom"/>
          </w:tcPr>
          <w:p>
            <w:pPr>
              <w:spacing w:after="0"/>
              <w:rPr>
                <w:sz w:val="16"/>
                <w:szCs w:val="16"/>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155,085</w:t>
            </w:r>
          </w:p>
        </w:tc>
        <w:tc>
          <w:tcPr>
            <w:tcW w:w="0" w:type="dxa"/>
            <w:vAlign w:val="bottom"/>
          </w:tcPr>
          <w:p>
            <w:pPr>
              <w:spacing w:after="0"/>
              <w:rPr>
                <w:sz w:val="1"/>
                <w:szCs w:val="1"/>
                <w:color w:val="auto"/>
              </w:rPr>
            </w:pPr>
          </w:p>
        </w:tc>
      </w:tr>
      <w:tr>
        <w:trPr>
          <w:trHeight w:val="215"/>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98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40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long-term liabilities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sales of short-term investments</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(28,734)</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commissions and discounts</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initial public offering costs</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2021 ESPP</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9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acquired under capital lease obligations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000"/>
          </w:cols>
          <w:pgMar w:left="340" w:top="76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type w:val="continuous"/>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3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a mission-driven lifestyle brand that formulates, designs and sells clean products with a focus on sustainability and thoughtful design. The Company sells its products through digital and retail sales channels in the following product categories: Diapers and Wipes, Skin and Personal Care, and Household and Wellness.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56"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w:t>
      </w:r>
    </w:p>
    <w:p>
      <w:pPr>
        <w:spacing w:after="0" w:line="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$5.5 million.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2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Upon completion of the IPO, the Company paid $9.5 million in cash bonuses to certain employees including members of management, as well as $0.2 million in related payroll taxes and expenses. Cash bonuses of $9.1 million were recorded in sales, general and administrative expenses and</w:t>
      </w:r>
    </w:p>
    <w:p>
      <w:pPr>
        <w:ind w:right="260"/>
        <w:spacing w:after="0" w:line="260" w:lineRule="auto"/>
        <w:rPr>
          <w:sz w:val="20"/>
          <w:szCs w:val="20"/>
          <w:color w:val="auto"/>
        </w:rPr>
      </w:pPr>
      <w:r>
        <w:rPr>
          <w:rFonts w:ascii="Times New Roman" w:cs="Times New Roman" w:eastAsia="Times New Roman" w:hAnsi="Times New Roman"/>
          <w:sz w:val="18"/>
          <w:szCs w:val="18"/>
          <w:color w:val="auto"/>
        </w:rPr>
        <w:t>$0.4 million were recorded in research and development expenses in the accompanying condensed consolidated statements of comprehensive loss upon completion of the IPO.</w:t>
      </w:r>
    </w:p>
    <w:p>
      <w:pPr>
        <w:spacing w:after="0" w:line="20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April 2021, the Company’s board of directors declared a cash dividend of $35.0 million to the holders of record of its common stock and its redeemable convertible preferred stock as of May 3, 2021, which the Company paid on June 29, 2021.</w:t>
      </w:r>
    </w:p>
    <w:p>
      <w:pPr>
        <w:spacing w:after="0" w:line="175"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w:t>
      </w:r>
    </w:p>
    <w:p>
      <w:pPr>
        <w:spacing w:after="0" w:line="226" w:lineRule="exact"/>
        <w:rPr>
          <w:sz w:val="20"/>
          <w:szCs w:val="20"/>
          <w:color w:val="auto"/>
        </w:rPr>
      </w:pPr>
    </w:p>
    <w:p>
      <w:pPr>
        <w:ind w:right="7480" w:firstLine="8"/>
        <w:spacing w:after="0" w:line="534"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2021.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2021 has been derived from the audited financial statements at that date but does not include all of the disclosures required by GAAP.</w:t>
      </w:r>
    </w:p>
    <w:p>
      <w:pPr>
        <w:spacing w:after="0" w:line="175"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after elimination of intercompany transactions and balances. The Company had a change in accounting policy from those disclosed in the audited consolidated financial statements and related notes for the year ended December 31, 2021 related to the</w:t>
      </w:r>
    </w:p>
    <w:p>
      <w:pPr>
        <w:sectPr>
          <w:pgSz w:w="11900" w:h="16838" w:orient="portrait"/>
          <w:cols w:equalWidth="0" w:num="1">
            <w:col w:w="11180"/>
          </w:cols>
          <w:pgMar w:left="320" w:top="7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type w:val="continuous"/>
        </w:sectPr>
      </w:pPr>
    </w:p>
    <w:bookmarkStart w:id="11" w:name="page12"/>
    <w:bookmarkEnd w:id="11"/>
    <w:p>
      <w:pPr>
        <w:ind w:right="720"/>
        <w:spacing w:after="0" w:line="266" w:lineRule="auto"/>
        <w:rPr>
          <w:sz w:val="20"/>
          <w:szCs w:val="20"/>
          <w:color w:val="auto"/>
        </w:rPr>
      </w:pPr>
      <w:r>
        <w:rPr>
          <w:rFonts w:ascii="Times New Roman" w:cs="Times New Roman" w:eastAsia="Times New Roman" w:hAnsi="Times New Roman"/>
          <w:sz w:val="18"/>
          <w:szCs w:val="18"/>
          <w:color w:val="auto"/>
        </w:rPr>
        <w:t>adoption of ASC 842 (defined below). Refer to “Recently Adopted Accounting Pronouncements” below and Note 13 included in these condensed consolidated financial statements for more information on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condensed consolidated financial statements and accompanying notes have been retroactively adjusted, where applicable, to reflect the impact of the stock split.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capitalized software, useful lives associated with long-lived assets, valuation allowances with respect to deferred tax assets, accruals and contingencies, recoverability of non-cash marketing credits, recoverability of goodwill and long-lived assets, and the valuation and assumptions underlying stock-based compensation and for the periods prior to the Company’s IPO, the fair value of common stock. On an ongoing basis, the Company evaluates its estimates compared to historical experience and trends, which form the basis for making judgments about the carrying value of assets and liabilities.</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novel coronavirus disease (“COVID-19”) a pandemic. The full extent to which the outbreak of the COVID-19 pandemic and any COVID-19 variants will impact the Company’s business, results of operations and financial condition is still unknown and will depend on future developments, which are uncertain and cannot be predicted, including, but not limited to, the duration and spread of the outbreak of COVID-19 and its variants, their severity, the actions to contain the virus and its variants or treat their impact, and how quickly and to what extent normal economic and operating conditions can resume.</w:t>
      </w:r>
    </w:p>
    <w:p>
      <w:pPr>
        <w:spacing w:after="0" w:line="17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light of the unknown ultimate duration and severity of COVID-19 and the impact of any COVID-19 variants,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September 30, 2022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has decelerated at a more rapid than expected rate as more consumers are vaccinated and retailers continue to manage heavy inventories of sanitization and disinfecting products in stores. The Company recorded an inventory write-down of $0.8 million during the nine months ended September 30, 2022 and $5.6 million for the year ended December 31, 2021 relating to certain sanitization and disinfecting products as the amount of inventory was significantly in excess of the decreasing demand. During the three months ended September 30, 2022, the Company donated $1.5 million of excess sanitization products. The Company will continue to monitor and evaluate the uncertainty and volatility of these conditions, in particular, the impact on the amount and valuation of the Company’s inventory in the future.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$0.2 million as of both September 30, 2022 and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IPO Costs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offering costs consisted of costs incurred in connection with the sale of the Company’s common stock in its IPO, including certain legal, accounting, and other IPO-related expenses. Immediately upon the completion of the Company's IPO, deferred offering costs of $5.5 million were reclassified into stockholders’ equity from other assets as a reduction from the proceeds of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sz w:val="20"/>
          <w:szCs w:val="20"/>
          <w:color w:val="auto"/>
        </w:rPr>
      </w:pPr>
    </w:p>
    <w:p>
      <w:pPr>
        <w:jc w:val="both"/>
        <w:ind w:left="740" w:hanging="728"/>
        <w:spacing w:after="0" w:line="250"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740" w:right="20" w:hanging="728"/>
        <w:spacing w:after="0" w:line="255"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1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of 2012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842), </w:t>
      </w:r>
      <w:r>
        <w:rPr>
          <w:rFonts w:ascii="Times New Roman" w:cs="Times New Roman" w:eastAsia="Times New Roman" w:hAnsi="Times New Roman"/>
          <w:sz w:val="18"/>
          <w:szCs w:val="18"/>
          <w:color w:val="auto"/>
        </w:rPr>
        <w:t>as subsequently amended, collectively codified under Topic 842. Topic 842 requires lessees to recognize on the balance sheet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prior guidance which requires only capital leases to be recognized on the balance sheet, the new ASU requires both types of leases to be recognized on the balance sheet. ASU 2016-02 was effective for public business entities for fiscal years beginning after December 15, 2018. In June 2020, FASB issued ASU No. 2020-05, </w:t>
      </w:r>
      <w:r>
        <w:rPr>
          <w:rFonts w:ascii="Times New Roman" w:cs="Times New Roman" w:eastAsia="Times New Roman" w:hAnsi="Times New Roman"/>
          <w:sz w:val="18"/>
          <w:szCs w:val="18"/>
          <w:i w:val="1"/>
          <w:iCs w:val="1"/>
          <w:color w:val="auto"/>
        </w:rPr>
        <w:t>Revenue from Contracts with Customers (Topic 606) and Leases (Topic 842) – Effective Dates for Certain Entities</w:t>
      </w:r>
      <w:r>
        <w:rPr>
          <w:rFonts w:ascii="Times New Roman" w:cs="Times New Roman" w:eastAsia="Times New Roman" w:hAnsi="Times New Roman"/>
          <w:sz w:val="18"/>
          <w:szCs w:val="18"/>
          <w:color w:val="auto"/>
        </w:rPr>
        <w:t>, which extended the effective date of this guidance for certain non-public entities for fiscal years beginning</w:t>
      </w:r>
    </w:p>
    <w:p>
      <w:pPr>
        <w:sectPr>
          <w:pgSz w:w="11900" w:h="16838" w:orient="portrait"/>
          <w:cols w:equalWidth="0" w:num="1">
            <w:col w:w="11220"/>
          </w:cols>
          <w:pgMar w:left="320" w:top="10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after December 15, 2021, and interim periods within fiscal years beginning after December 15, 2022, with early adoption permitted.</w:t>
      </w:r>
    </w:p>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this guidance on January 1, 2022 on a modified retrospective basis under ASU 2018-11. As such, prior periods were not respectively adjusted. The Company also elected the package of practical expedients to leases that commenced before the effective date whereby the Company elected to not reassess the following:</w:t>
      </w:r>
    </w:p>
    <w:p>
      <w:pPr>
        <w:spacing w:after="0" w:line="203" w:lineRule="exact"/>
        <w:rPr>
          <w:sz w:val="20"/>
          <w:szCs w:val="20"/>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expired or existing contracts contain leases;</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classification for any expired or existing leases;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direct costs for any existing leases.</w:t>
      </w:r>
    </w:p>
    <w:p>
      <w:pPr>
        <w:spacing w:after="0" w:line="220"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Company made an accounting policy election to not recognize lease assets and lease liabilities for leases in all asset classes with lease terms less than twelve months. The Company recognizes lease expense for such leases generally on a straight-line basis over the lease term. The Company also elected to combine lease and non-lease components on its leases into a single lease component.</w:t>
      </w:r>
    </w:p>
    <w:p>
      <w:pPr>
        <w:spacing w:after="0" w:line="217"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Upon adoption of this guidance on January 1, 2022, the Company recognized $36.1 million in right-of-use assets (“ROU”) and corresponding lease liabilities of $37.5 million, net of the current portion of lease liability of $7.0 million, on its condensed consolidated balance sheet. In addition, the Company recognized a decrease to assets and liabilities of $37.6 million and $38.4 million, respectively, and a decrease to the beginning accumulated deficit of $0.8 million, as a result of the derecognition of its build-to-suit arrangement that was reassessed to be an operating lease under the new guidance. The adoption of this guidance did not have a material impact on the Company’s condensed consolidated statements of comprehensive loss or the condensed consolidated statements of cash flows. Refer to Note 13 included in these condensed consolidated financial statements for more information on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52"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June 2016, the FASB issued ASU No. 2016-13, </w:t>
      </w:r>
      <w:r>
        <w:rPr>
          <w:rFonts w:ascii="Times New Roman" w:cs="Times New Roman" w:eastAsia="Times New Roman" w:hAnsi="Times New Roman"/>
          <w:sz w:val="17"/>
          <w:szCs w:val="17"/>
          <w:i w:val="1"/>
          <w:iCs w:val="1"/>
          <w:color w:val="auto"/>
        </w:rPr>
        <w:t>Financial Instruments 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to amend the accounting for credit losses for certain financial instruments. This guidance replaces the incurred loss impairment methodology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The Company is evaluating the adoption of this guidance and the potential effects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333333"/>
              </w:rPr>
              <w:t>3.</w:t>
            </w:r>
          </w:p>
        </w:tc>
        <w:tc>
          <w:tcPr>
            <w:tcW w:w="24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333333"/>
                <w:w w:val="99"/>
              </w:rPr>
              <w:t>Revenue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by sales channel:</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244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39,114</w:t>
            </w:r>
          </w:p>
        </w:tc>
        <w:tc>
          <w:tcPr>
            <w:tcW w:w="80" w:type="dxa"/>
            <w:vAlign w:val="bottom"/>
          </w:tcPr>
          <w:p>
            <w:pPr>
              <w:spacing w:after="0"/>
              <w:rPr>
                <w:sz w:val="23"/>
                <w:szCs w:val="23"/>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105,913</w:t>
            </w:r>
          </w:p>
        </w:tc>
        <w:tc>
          <w:tcPr>
            <w:tcW w:w="80" w:type="dxa"/>
            <w:vAlign w:val="bottom"/>
          </w:tcPr>
          <w:p>
            <w:pPr>
              <w:spacing w:after="0"/>
              <w:rPr>
                <w:sz w:val="23"/>
                <w:szCs w:val="23"/>
                <w:color w:val="auto"/>
              </w:rPr>
            </w:pPr>
          </w:p>
        </w:tc>
        <w:tc>
          <w:tcPr>
            <w:tcW w:w="5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8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231,792</w:t>
            </w:r>
          </w:p>
        </w:tc>
        <w:tc>
          <w:tcPr>
            <w:tcW w:w="80" w:type="dxa"/>
            <w:vAlign w:val="bottom"/>
            <w:tcBorders>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238,258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0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by product category:</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Diapers and Wipes</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53,847</w:t>
            </w:r>
          </w:p>
        </w:tc>
        <w:tc>
          <w:tcPr>
            <w:tcW w:w="80" w:type="dxa"/>
            <w:vAlign w:val="bottom"/>
          </w:tcPr>
          <w:p>
            <w:pPr>
              <w:spacing w:after="0"/>
              <w:rPr>
                <w:sz w:val="23"/>
                <w:szCs w:val="23"/>
                <w:color w:val="auto"/>
              </w:rPr>
            </w:pPr>
          </w:p>
        </w:tc>
        <w:tc>
          <w:tcPr>
            <w:tcW w:w="3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150,411</w:t>
            </w:r>
          </w:p>
        </w:tc>
        <w:tc>
          <w:tcPr>
            <w:tcW w:w="80" w:type="dxa"/>
            <w:vAlign w:val="bottom"/>
          </w:tcPr>
          <w:p>
            <w:pPr>
              <w:spacing w:after="0"/>
              <w:rPr>
                <w:sz w:val="23"/>
                <w:szCs w:val="23"/>
                <w:color w:val="auto"/>
              </w:rPr>
            </w:pPr>
          </w:p>
        </w:tc>
        <w:tc>
          <w:tcPr>
            <w:tcW w:w="5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Skin and Personal Care</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Household and Wellness</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80" w:type="dxa"/>
            <w:vAlign w:val="bottom"/>
          </w:tcPr>
          <w:p>
            <w:pPr>
              <w:spacing w:after="0"/>
              <w:rPr>
                <w:sz w:val="22"/>
                <w:szCs w:val="22"/>
                <w:color w:val="auto"/>
              </w:rPr>
            </w:pPr>
          </w:p>
        </w:tc>
        <w:tc>
          <w:tcPr>
            <w:tcW w:w="3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231,792</w:t>
            </w:r>
          </w:p>
        </w:tc>
        <w:tc>
          <w:tcPr>
            <w:tcW w:w="80" w:type="dxa"/>
            <w:vAlign w:val="bottom"/>
          </w:tcPr>
          <w:p>
            <w:pPr>
              <w:spacing w:after="0"/>
              <w:rPr>
                <w:sz w:val="22"/>
                <w:szCs w:val="22"/>
                <w:color w:val="auto"/>
              </w:rPr>
            </w:pPr>
          </w:p>
        </w:tc>
        <w:tc>
          <w:tcPr>
            <w:tcW w:w="5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Non-Monetary Transactions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the Company entered into trade agreements with a vendor to exchange excess</w:t>
      </w:r>
    </w:p>
    <w:p>
      <w:pPr>
        <w:spacing w:after="0" w:line="3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inventory for future marketing and transportation credits. The Company recognized revenue reflecting the fair value of the marketing and transportation credits, with the corresponding asset included in prepaid expenses and other current assets and other assets, respectively, in the accompanying condensed consolidated balance sheets. The Company may use the marketing and transportation credits over four years from the date of the respective agreement, with an option to extend for another two years if agreed upon by both parties. For the three and nine months ended September 30, 2022, the Company recognized $1.6 million and $2.9 million, respectively, of revenue and $0.8 million and $1.6 million, respectively, of associated cost of revenue based on the timing of delivery of goods. For the three and nine months ended September 30, 2021, the Company recognized $0.6 million and $4.5 million, respectively, of revenue and $0.4 million and $3.8 million, respectively, of associated cost of revenue based on the timing of delivery of goods.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During the nine months ended September 30, 2022, the Company recorded no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 related to these credits and used an aggregate of $1.2 million of credits.</w:t>
      </w:r>
    </w:p>
    <w:p>
      <w:pPr>
        <w:spacing w:after="0" w:line="243"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2022 and December 31, 2021, all investments in debt securities are classified as available-for-sale investments. All investments are reported within current assets because the securities represent investments of cash available for current operations. As of September 30, 2022 and December 31, 2021, the Company held $16.7 million and $36.4 million, respectively, of investments with contractual maturities of less than one year. As of September 30, 2022, the Company did not have any investments with contractual maturities between one and two years. As of December 31, 2021, the Company held $6.0 million of investments with contractual maturities between one and two years. Available-for-sale investments are recorded at fair value, and unrealized holding gains and losses are recorded as a component of other comprehensive income (loss).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tbl>
      <w:tblPr>
        <w:tblLayout w:type="fixed"/>
        <w:tblInd w:w="32"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 or Amortized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Estimated</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58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12"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 or Amortized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Estimated</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Realized gains and losses on investments in debt securities were immaterial for the three and nine months ended September 30, 2022 and 2021.</w:t>
      </w:r>
    </w:p>
    <w:p>
      <w:pPr>
        <w:spacing w:after="0" w:line="248" w:lineRule="exact"/>
        <w:rPr>
          <w:sz w:val="20"/>
          <w:szCs w:val="20"/>
          <w:color w:val="auto"/>
        </w:rPr>
      </w:pPr>
    </w:p>
    <w:p>
      <w:pPr>
        <w:ind w:left="352" w:hanging="352"/>
        <w:spacing w:after="0"/>
        <w:tabs>
          <w:tab w:leader="none" w:pos="3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75"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31,980</w:t>
            </w:r>
          </w:p>
        </w:tc>
      </w:tr>
      <w:tr>
        <w:trPr>
          <w:trHeight w:val="21"/>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19" w:right="359" w:bottom="1440" w:gutter="0" w:footer="0" w:header="0"/>
        </w:sectPr>
      </w:pPr>
    </w:p>
    <w:bookmarkStart w:id="16" w:name="page17"/>
    <w:bookmarkEnd w:id="16"/>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71,799</w:t>
            </w:r>
          </w:p>
        </w:tc>
      </w:tr>
      <w:tr>
        <w:trPr>
          <w:trHeight w:val="21"/>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April 2021, the Company entered into a first lien credit agreement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 As of September 30, 2022, there were outstanding standby letters of credit of $4.8 million related to lease obligations with $30.2 million available to be drawn upon. The 2021 Credit Facility is subject to customary fees for loan facilities of this type, including a commitment fee based on the average daily undrawn portion of the revolving credit facility. The Company recognizes the commitment fee as incurred in interest and other expense, net in the condensed consolidated statements of comprehensive loss. For the three and nine months ended September 30, 2022, the commitment fee incurred was immaterial. The interest rate applicable to the 2021 Credit Facility is, at the Company’s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 As of September 30, 2022, there was no outstanding balance under the 2021 Credit Facility.</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2021 Credit Facility contains covenants that restrict, among other things, the Company's ability to sell assets, make investments and</w:t>
      </w:r>
    </w:p>
    <w:p>
      <w:pPr>
        <w:spacing w:after="0" w:line="24"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acquisitions, make capital expenditures, grant liens, pay dividends and make certain other restricted payments</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The Company is also subject to certain affirmative and negative covenants including the requirement that it maintains a total net leverage ratio of not more than 3.50:1.00 during the periods set forth in the 2021 Credit Facility. Failure to do so, unless waived by the lenders under the 2021 Credit Facility pursuant to its terms, as amended, would result in an event of default under the 2021 Credit Facility. As of September 30, 2022, the Company was in compliance with the net leverage ratio covenant.</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 as of:</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returns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19" w:right="359" w:bottom="9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928"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1"/>
          <w:szCs w:val="11"/>
          <w:color w:val="auto"/>
        </w:rPr>
        <w:t>(1) Represents short-term operating lease liabilities upon adoption of ASC 842. Refer to Note 13 included in these condensed consolidated financial statements for more information on leases.</w:t>
      </w:r>
    </w:p>
    <w:p>
      <w:pPr>
        <w:spacing w:after="0" w:line="281" w:lineRule="exact"/>
        <w:rPr>
          <w:sz w:val="20"/>
          <w:szCs w:val="20"/>
          <w:color w:val="auto"/>
        </w:rPr>
      </w:pPr>
    </w:p>
    <w:p>
      <w:pPr>
        <w:ind w:right="8000" w:firstLine="8"/>
        <w:spacing w:after="0" w:line="534" w:lineRule="auto"/>
        <w:tabs>
          <w:tab w:leader="none" w:pos="69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income (expense), net on the condensed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intends to submit a refund request for the taxes and interest paid, following the Department's June 9, 2021 decision, that were subject to abatement under the December 2016 Abatement Agreement. The Company recognized $0.7 million in other income in interest and other income (expense), net on the condensed consolidated statements of comprehensive loss during the nine months ended September 30, 2022 related to the anticipated refund of taxes and interest paid.</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0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Each of these federal and state court derivative cases have been stayed pending the outcome of a motion for summary judgment in the securities class action. The Company is also aware that a fourth derivative complaint was filed by David Butler in the U.S. District Court for the District of Delaware on October 19, 2022 with similar allegations, but that complaint has not yet been served on the Company. Defendants’ motion to dismiss the putative consolidated class action complaint was filed on March 14, 2022. On July 18, 2022, the Company's motion to dismiss was granted in part and denied in part. The Company believes the securities complaints are without merit and intends to vigorously defend itself against these allegations. These matters are in the preliminary stages of litigation with uncertain outcomes at this time. Therefore, the Company cannot estimate the probability of the loss or make an estimate of the loss or range of loss in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18" w:name="page19"/>
    <w:bookmarkEnd w:id="18"/>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Plaintiffs filed their opposition to the Company's motion to dismiss on November 1, 2022 and the Company's reply was filed on November 8, 2022. The Company believes this complaint is without merit and intends to vigorously defend itself in this matter. The matter is in the preliminary stages of litigation and its outcome is uncertain at this time. Therefore, the Company cannot estimate the probability of loss or make an estimate of the range of loss in this matter.</w:t>
      </w:r>
    </w:p>
    <w:p>
      <w:pPr>
        <w:spacing w:after="0" w:line="216"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As of September 30, 2022 and December 31, 2021, the Company was not subject to any other currently pending legal matters or claims that based on its current evaluation are expected to have a material adverse effect on its financial position, results of operations, or cash flows should such matters be resolved unfavorably. Refer to Note 14 included in these condensed consolidated financial statements for more information on a litigation matter.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September 30, 2022 and December 31, 2021,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11" w:lineRule="exact"/>
        <w:rPr>
          <w:sz w:val="20"/>
          <w:szCs w:val="20"/>
          <w:color w:val="auto"/>
        </w:rPr>
      </w:pPr>
    </w:p>
    <w:p>
      <w:pPr>
        <w:ind w:right="8460" w:firstLine="8"/>
        <w:spacing w:after="0" w:line="534" w:lineRule="auto"/>
        <w:tabs>
          <w:tab w:leader="none" w:pos="6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Options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 option activity:</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16,440,539</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(1,381,685)</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September 30, 2022</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15,015,298</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2022, 3,660,485 additional shares were reserved for issuance pursuant to this provision. The maximum number of shares of the Company’s common stock that may be issued on the exercise of ISOs under its 2021 Plan is 75,100,000 shares.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2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summarizes the RSU activity:</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 Value</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34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Non-Employee</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Officers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34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Officers and</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34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2021</w:t>
            </w: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103,561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2,867,306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485,806</w:t>
            </w:r>
          </w:p>
        </w:tc>
        <w:tc>
          <w:tcPr>
            <w:tcW w:w="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(121,256)</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September 30, 2022</w:t>
            </w: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463,470</w:t>
            </w:r>
          </w:p>
        </w:tc>
        <w:tc>
          <w:tcPr>
            <w:tcW w:w="8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4,372,331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
        </w:trPr>
        <w:tc>
          <w:tcPr>
            <w:tcW w:w="4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w:t>
            </w: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Includes 8,050 shares of common stock that were withheld to cover taxes on the release of vested RSUs and became available for future grants pursuant to the 2021 Plan.</w:t>
      </w:r>
    </w:p>
    <w:p>
      <w:pPr>
        <w:spacing w:after="0" w:line="31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$34.5 million of unrecognized stock-based compensation expense related to unvested RSUs, which is expected to be recognized over a weighted-average period of 2.7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2022, 915,121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1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and the second offering in November 2021. For the three months ended September 30, 2022, no shares were purchased under the 2021 ESPP. For the nine months ended September 30, 2022, 58,111 shares were purchased under the 2021 ESPP. As of September 30, 2022, the Company had 1,992,520 remaining authorized shares available for purchase.</w:t>
      </w:r>
    </w:p>
    <w:p>
      <w:pPr>
        <w:spacing w:after="0" w:line="21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720" w:type="dxa"/>
            <w:vAlign w:val="bottom"/>
          </w:tcPr>
          <w:p>
            <w:pPr>
              <w:spacing w:after="0"/>
              <w:rPr>
                <w:sz w:val="22"/>
                <w:szCs w:val="22"/>
                <w:color w:val="auto"/>
              </w:rPr>
            </w:pP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9"/>
                <w:szCs w:val="19"/>
                <w:b w:val="1"/>
                <w:bCs w:val="1"/>
                <w:color w:val="auto"/>
              </w:rPr>
              <w:t>nine months ended September 30, 2022</w:t>
            </w:r>
          </w:p>
        </w:tc>
      </w:tr>
      <w:tr>
        <w:trPr>
          <w:trHeight w:val="34"/>
        </w:trPr>
        <w:tc>
          <w:tcPr>
            <w:tcW w:w="5720" w:type="dxa"/>
            <w:vAlign w:val="bottom"/>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r>
      <w:tr>
        <w:trPr>
          <w:trHeight w:val="23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0.50</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73.27%</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0" w:name="page21"/>
    <w:bookmarkEnd w:id="20"/>
    <w:tbl>
      <w:tblPr>
        <w:tblLayout w:type="fixed"/>
        <w:tblInd w:w="91"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8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RSU awards, 2021 ESPP purchases and stock options, as applicable, are as follows: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900" w:type="dxa"/>
            <w:vAlign w:val="bottom"/>
          </w:tcPr>
          <w:p>
            <w:pPr>
              <w:spacing w:after="0"/>
              <w:rPr>
                <w:sz w:val="24"/>
                <w:szCs w:val="24"/>
                <w:color w:val="auto"/>
              </w:rPr>
            </w:pPr>
          </w:p>
        </w:tc>
        <w:tc>
          <w:tcPr>
            <w:tcW w:w="37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40" w:type="dxa"/>
            <w:vAlign w:val="bottom"/>
          </w:tcPr>
          <w:p>
            <w:pPr>
              <w:spacing w:after="0"/>
              <w:rPr>
                <w:sz w:val="24"/>
                <w:szCs w:val="24"/>
                <w:color w:val="auto"/>
              </w:rPr>
            </w:pPr>
          </w:p>
        </w:tc>
        <w:tc>
          <w:tcPr>
            <w:tcW w:w="34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731" w:hanging="731"/>
        <w:spacing w:after="0"/>
        <w:tabs>
          <w:tab w:leader="none" w:pos="731"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56" w:lineRule="exact"/>
        <w:rPr>
          <w:sz w:val="20"/>
          <w:szCs w:val="20"/>
          <w:color w:val="auto"/>
        </w:rPr>
      </w:pPr>
    </w:p>
    <w:p>
      <w:pPr>
        <w:ind w:left="91"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w:t>
      </w:r>
    </w:p>
    <w:p>
      <w:pPr>
        <w:spacing w:after="0" w:line="210" w:lineRule="exact"/>
        <w:rPr>
          <w:sz w:val="20"/>
          <w:szCs w:val="20"/>
          <w:color w:val="auto"/>
        </w:rPr>
      </w:pPr>
    </w:p>
    <w:p>
      <w:pPr>
        <w:ind w:left="91"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83" w:lineRule="exact"/>
        <w:rPr>
          <w:sz w:val="20"/>
          <w:szCs w:val="20"/>
          <w:color w:val="auto"/>
        </w:rPr>
      </w:pPr>
    </w:p>
    <w:p>
      <w:pPr>
        <w:ind w:left="751"/>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w:t>
      </w:r>
    </w:p>
    <w:p>
      <w:pPr>
        <w:spacing w:after="0" w:line="275" w:lineRule="exact"/>
        <w:rPr>
          <w:sz w:val="20"/>
          <w:szCs w:val="20"/>
          <w:color w:val="auto"/>
        </w:rPr>
      </w:pPr>
    </w:p>
    <w:tbl>
      <w:tblPr>
        <w:tblLayout w:type="fixed"/>
        <w:tblInd w:w="111"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8"/>
                <w:szCs w:val="18"/>
                <w:color w:val="auto"/>
              </w:rPr>
            </w:pPr>
          </w:p>
        </w:tc>
        <w:tc>
          <w:tcPr>
            <w:tcW w:w="23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23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0" w:type="dxa"/>
            <w:vAlign w:val="bottom"/>
          </w:tcPr>
          <w:p>
            <w:pPr>
              <w:spacing w:after="0"/>
              <w:rPr>
                <w:sz w:val="1"/>
                <w:szCs w:val="1"/>
                <w:color w:val="auto"/>
              </w:rPr>
            </w:pPr>
          </w:p>
        </w:tc>
      </w:tr>
      <w:tr>
        <w:trPr>
          <w:trHeight w:val="302"/>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gain on conversion of preferred stock</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0" w:type="dxa"/>
            <w:vAlign w:val="bottom"/>
          </w:tcPr>
          <w:p>
            <w:pPr>
              <w:spacing w:after="0"/>
              <w:rPr>
                <w:sz w:val="1"/>
                <w:szCs w:val="1"/>
                <w:color w:val="auto"/>
              </w:rPr>
            </w:pPr>
          </w:p>
        </w:tc>
      </w:tr>
      <w:tr>
        <w:trPr>
          <w:trHeight w:val="265"/>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dividends paid to preferred stockholders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92,460,987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90,397,409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92,020,423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64,399,183</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92,460,987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90,397,409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92,020,423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64,399,183</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138430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1"/>
          </w:cols>
          <w:pgMar w:left="229" w:top="76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color w:val="auto"/>
        </w:rPr>
        <w:t>_______________________</w:t>
      </w:r>
    </w:p>
    <w:p>
      <w:pPr>
        <w:spacing w:after="0" w:line="202" w:lineRule="exact"/>
        <w:rPr>
          <w:sz w:val="20"/>
          <w:szCs w:val="20"/>
          <w:color w:val="auto"/>
        </w:rPr>
      </w:pPr>
    </w:p>
    <w:p>
      <w:pPr>
        <w:jc w:val="both"/>
        <w:ind w:right="20" w:firstLine="8"/>
        <w:spacing w:after="0"/>
        <w:tabs>
          <w:tab w:leader="none" w:pos="18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conversion price of the Company’s Series C and Series D redeemable convertible preferred stock was adjusted as the offering price in the initial public offering was below a certain threshold resulting in the preferred stockholders receiving a fixed dollar amount on conversion settled into a variable number of shares, or a stock-settled redemption feature. Upon the settlement of this redemption feature, the Company recorded a gain on extinguishment of the redeemable convertible preferred stock of $29.0 million as an adjustment to net loss to arrive at net loss attributable to common stockholders to calculate earnings per share. The extinguishment gain was measured as the difference between the carrying amount of the redeemable convertible preferred stock and the fair value of common stock upon the IPO date that the preferred stock converted into.</w:t>
      </w:r>
    </w:p>
    <w:p>
      <w:pPr>
        <w:spacing w:after="0" w:line="2" w:lineRule="exact"/>
        <w:rPr>
          <w:rFonts w:ascii="Times New Roman" w:cs="Times New Roman" w:eastAsia="Times New Roman" w:hAnsi="Times New Roman"/>
          <w:sz w:val="12"/>
          <w:szCs w:val="12"/>
          <w:color w:val="auto"/>
        </w:rPr>
      </w:pPr>
    </w:p>
    <w:p>
      <w:pPr>
        <w:ind w:right="20" w:firstLine="8"/>
        <w:spacing w:after="0" w:line="209" w:lineRule="auto"/>
        <w:tabs>
          <w:tab w:leader="none" w:pos="18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April 2021, the Company's board of directors declared a cash dividend of $35.0 million to the holders of record of our common stock as of May 3, 2021, that was contingent upon the closing of the Company's IPO. On June 29, 2021, the Company paid the dividend, of which $20.6 million was paid to the holders of the Company's redeemable convertible preferred stock.</w:t>
      </w:r>
    </w:p>
    <w:p>
      <w:pPr>
        <w:spacing w:after="0" w:line="2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because including them would have been antidilutive: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6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36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36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15,015,298</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17,446,457</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15,015,298</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17,446,457</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4,835,801</w:t>
            </w:r>
          </w:p>
        </w:tc>
        <w:tc>
          <w:tcPr>
            <w:tcW w:w="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2,549,347</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4,835,801</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2,549,347</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r>
      <w:tr>
        <w:trPr>
          <w:trHeight w:val="27"/>
        </w:trPr>
        <w:tc>
          <w:tcPr>
            <w:tcW w:w="36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19,919,596</w:t>
            </w:r>
          </w:p>
        </w:tc>
        <w:tc>
          <w:tcPr>
            <w:tcW w:w="80" w:type="dxa"/>
            <w:vAlign w:val="bottom"/>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20,026,593</w:t>
            </w:r>
          </w:p>
        </w:tc>
        <w:tc>
          <w:tcPr>
            <w:tcW w:w="10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19,919,596</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20,026,593</w:t>
            </w:r>
          </w:p>
        </w:tc>
      </w:tr>
      <w:tr>
        <w:trPr>
          <w:trHeight w:val="21"/>
        </w:trPr>
        <w:tc>
          <w:tcPr>
            <w:tcW w:w="36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contains provisions that will be effective on January 1, 2023, including a 15% corporate minimum tax and a 1% excise tax on stock buybacks. While the Company is still evaluating the impact of the Act, the Company does not expect any material changes on its consolidated financial position, results of operations and cash flows.</w:t>
      </w:r>
    </w:p>
    <w:p>
      <w:pPr>
        <w:spacing w:after="0" w:line="2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has not recorded any uncertain tax positions and has not recognized interest or penalties in the condensed consolidated statements of comprehensive loss.</w:t>
      </w:r>
    </w:p>
    <w:p>
      <w:pPr>
        <w:spacing w:after="0" w:line="185"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April 2020, the Company engaged Summit House Studios LLC, a third-party consultant, to provide digital ad production services. Summit House Studios LLC is owned by a major shareholder of the Company. Based on services provided, the Company incurred $0.1 million and $0.4 million, respectively, of advertising costs for this related party during the three and nine months ended September 30, 2021, which is reported as marketing expense in the Company’s condensed consolidated statements of comprehensive loss. The Company incurred $0.2 million advertising costs for this related party during the nine months ended September 30, 2022. The Company did not incur any advertising costs for this related party during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Renewal options that are deemed reasonably certain are included as part of the lease term for purposes of calculating the ROU assets and lease liability. The Company elected the practical expedient to not separate lease and non-lease components, as such non-lease components are included in the calculation of the ROU asset and lease liability and included in the lease expense over the term of the lease. The Company uses a discount rate to calculate the ROU asset and lease liability. When the implicit rate is known or provided in the lease documents, the Company is required to use this rate. In cases in which the implicit rate is not known, the Company uses an estimated incremental borrowing rate. Most of the Company’s leases do not contain an implicit interest rate; therefore, judgement is required in determining a rate that reflects what would be paid to borrow, on a collateralized basis and over a similar term, for the lease obligations. The Company takes into consideration the terms of its 2021 Credit Facility, lease terms, and current interest rates to determine the incremental borrowing rate at lease commencement date. As of September 30, 2022, the Company’s weighted-average discount rate was 2.29%, while the weighted-average remaining lease term was 4.8 years.</w:t>
      </w:r>
    </w:p>
    <w:p>
      <w:pPr>
        <w:spacing w:after="0" w:line="21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Operating lease ROU assets and lease liabilities are recorded on the date the Company takes possession of the leased assets with expense recognized on a straight-line basis over the lease term. Leases with an estimated total term of 12 months or less are not recorded on the balance sheet and the lease expense is recognized on a straight-line basis over the lease term. Generally, the Company’s lease agreements do not contain material residual value guarantees or material restrictive covenants.</w:t>
      </w:r>
    </w:p>
    <w:p>
      <w:pPr>
        <w:spacing w:after="0" w:line="207" w:lineRule="exact"/>
        <w:rPr>
          <w:sz w:val="20"/>
          <w:szCs w:val="20"/>
          <w:color w:val="auto"/>
        </w:rPr>
      </w:pPr>
    </w:p>
    <w:p>
      <w:pPr>
        <w:ind w:right="80" w:firstLine="648"/>
        <w:spacing w:after="0" w:line="279" w:lineRule="auto"/>
        <w:rPr>
          <w:sz w:val="20"/>
          <w:szCs w:val="20"/>
          <w:color w:val="auto"/>
        </w:rPr>
      </w:pPr>
      <w:r>
        <w:rPr>
          <w:rFonts w:ascii="Times New Roman" w:cs="Times New Roman" w:eastAsia="Times New Roman" w:hAnsi="Times New Roman"/>
          <w:sz w:val="18"/>
          <w:szCs w:val="18"/>
          <w:color w:val="auto"/>
        </w:rPr>
        <w:t>As a result of the adoption of ASC 842, the following adjustments were made to the opening balances of the Company’s Condensed Consolidated Balance Sheet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Impact due to</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Adoption of</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0" w:type="dxa"/>
            <w:vAlign w:val="bottom"/>
          </w:tcPr>
          <w:p>
            <w:pPr>
              <w:spacing w:after="0"/>
              <w:rPr>
                <w:sz w:val="1"/>
                <w:szCs w:val="1"/>
                <w:color w:val="auto"/>
              </w:rPr>
            </w:pPr>
          </w:p>
        </w:tc>
      </w:tr>
      <w:tr>
        <w:trPr>
          <w:trHeight w:val="27"/>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0" w:type="dxa"/>
            <w:vAlign w:val="bottom"/>
          </w:tcPr>
          <w:p>
            <w:pPr>
              <w:spacing w:after="0"/>
              <w:rPr>
                <w:sz w:val="1"/>
                <w:szCs w:val="1"/>
                <w:color w:val="auto"/>
              </w:rPr>
            </w:pPr>
          </w:p>
        </w:tc>
      </w:tr>
      <w:tr>
        <w:trPr>
          <w:trHeight w:val="26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ROU</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financing obligation, net of current portion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equity (deficit)</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(390,811)</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95"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derecognition of non-Company owned property that was capitalized under previously existing built-to-suit accounting policies.</w:t>
      </w:r>
    </w:p>
    <w:p>
      <w:pPr>
        <w:spacing w:after="0" w:line="9" w:lineRule="exact"/>
        <w:rPr>
          <w:rFonts w:ascii="Times New Roman" w:cs="Times New Roman" w:eastAsia="Times New Roman" w:hAnsi="Times New Roman"/>
          <w:sz w:val="12"/>
          <w:szCs w:val="12"/>
          <w:color w:val="auto"/>
        </w:rPr>
      </w:pPr>
    </w:p>
    <w:p>
      <w:pPr>
        <w:ind w:left="300" w:hanging="292"/>
        <w:spacing w:after="0"/>
        <w:tabs>
          <w:tab w:leader="none" w:pos="3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recognition of operating lease ROU assets and corresponding current and non-current lease liabilities.</w:t>
      </w:r>
    </w:p>
    <w:p>
      <w:pPr>
        <w:ind w:left="260" w:hanging="252"/>
        <w:spacing w:after="0"/>
        <w:tabs>
          <w:tab w:leader="none" w:pos="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reclassification of deferred rent to operating lease ROU assets upon adoption of ASC 842.</w:t>
      </w:r>
    </w:p>
    <w:p>
      <w:pPr>
        <w:spacing w:after="0" w:line="7"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decrease to the beginning fiscal 2022 accumulated deficit related to the adoption of ASC 842.</w:t>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302"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c>
          <w:tcPr>
            <w:tcW w:w="220" w:type="dxa"/>
            <w:vAlign w:val="bottom"/>
          </w:tcPr>
          <w:p>
            <w:pPr>
              <w:spacing w:after="0"/>
              <w:rPr>
                <w:sz w:val="18"/>
                <w:szCs w:val="18"/>
                <w:color w:val="auto"/>
              </w:rPr>
            </w:pP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30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r>
              <w:rPr>
                <w:rFonts w:ascii="Times New Roman" w:cs="Times New Roman" w:eastAsia="Times New Roman" w:hAnsi="Times New Roman"/>
                <w:sz w:val="23"/>
                <w:szCs w:val="23"/>
                <w:color w:val="auto"/>
                <w:vertAlign w:val="superscript"/>
              </w:rPr>
              <w:t>(1)</w:t>
            </w:r>
          </w:p>
        </w:tc>
        <w:tc>
          <w:tcPr>
            <w:tcW w:w="6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(2)</w:t>
            </w:r>
          </w:p>
        </w:tc>
        <w:tc>
          <w:tcPr>
            <w:tcW w:w="6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68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expense, net</w:t>
            </w: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95" w:lineRule="exact"/>
        <w:rPr>
          <w:sz w:val="20"/>
          <w:szCs w:val="20"/>
          <w:color w:val="auto"/>
        </w:rPr>
      </w:pPr>
    </w:p>
    <w:p>
      <w:pPr>
        <w:ind w:left="660" w:right="140" w:hanging="652"/>
        <w:spacing w:after="0" w:line="256" w:lineRule="auto"/>
        <w:tabs>
          <w:tab w:leader="none" w:pos="294"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on the Company's build-to-suit lease was previously included in interest and other income (expense), net on the condensed consolidated statements of comprehensive loss and with the adoption of ASC 842 it is now included in cost of revenue, along with the operating lease expense, on the condensed consolidated statements of comprehensive loss.</w:t>
      </w:r>
    </w:p>
    <w:p>
      <w:pPr>
        <w:spacing w:after="0" w:line="1" w:lineRule="exact"/>
        <w:rPr>
          <w:rFonts w:ascii="Times New Roman" w:cs="Times New Roman" w:eastAsia="Times New Roman" w:hAnsi="Times New Roman"/>
          <w:sz w:val="12"/>
          <w:szCs w:val="12"/>
          <w:color w:val="auto"/>
        </w:rPr>
      </w:pPr>
    </w:p>
    <w:p>
      <w:pPr>
        <w:ind w:left="300" w:hanging="292"/>
        <w:spacing w:after="0"/>
        <w:tabs>
          <w:tab w:leader="none" w:pos="3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pacing w:after="0" w:line="28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income (expense) in the condensed consolidated statements of comprehensive loss.</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condensed consolidated balance sheets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260" w:type="dxa"/>
            <w:vAlign w:val="bottom"/>
          </w:tcPr>
          <w:p>
            <w:pPr>
              <w:spacing w:after="0"/>
              <w:rPr>
                <w:sz w:val="20"/>
                <w:szCs w:val="20"/>
                <w:color w:val="auto"/>
              </w:rPr>
            </w:pPr>
          </w:p>
        </w:tc>
        <w:tc>
          <w:tcPr>
            <w:tcW w:w="2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0" w:type="dxa"/>
            <w:vAlign w:val="bottom"/>
          </w:tcPr>
          <w:p>
            <w:pPr>
              <w:spacing w:after="0"/>
              <w:rPr>
                <w:sz w:val="1"/>
                <w:szCs w:val="1"/>
                <w:color w:val="auto"/>
              </w:rPr>
            </w:pPr>
          </w:p>
        </w:tc>
      </w:tr>
      <w:tr>
        <w:trPr>
          <w:trHeight w:val="21"/>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80" w:type="dxa"/>
            <w:vAlign w:val="bottom"/>
            <w:gridSpan w:val="2"/>
            <w:vMerge w:val="continue"/>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nine months ended September 30, 2022 was as follows: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7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5,161</w:t>
            </w: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cash flows used in finance leases</w:t>
            </w: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281</w:t>
            </w:r>
          </w:p>
        </w:tc>
      </w:tr>
    </w:tbl>
    <w:p>
      <w:pPr>
        <w:spacing w:after="0" w:line="34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nine months ended September 30, 2022 for either finance or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8"/>
          <w:szCs w:val="18"/>
          <w:color w:val="auto"/>
        </w:rPr>
        <w:t>Future minimum lease payments required under operating and finance leases as of September 30, 2022,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7"/>
        </w:trPr>
        <w:tc>
          <w:tcPr>
            <w:tcW w:w="8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Remaining 2022</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86</w:t>
            </w:r>
          </w:p>
        </w:tc>
      </w:tr>
      <w:tr>
        <w:trPr>
          <w:trHeight w:val="21"/>
        </w:trPr>
        <w:tc>
          <w:tcPr>
            <w:tcW w:w="8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2021, the future minimum rental payments under noncancelable leases with offsetting sublease revenue are as follows:</w:t>
      </w:r>
    </w:p>
    <w:p>
      <w:pPr>
        <w:spacing w:after="0" w:line="302"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Build-to-Suit</w:t>
            </w:r>
          </w:p>
        </w:tc>
        <w:tc>
          <w:tcPr>
            <w:tcW w:w="26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Subleases</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138430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2021 (the “Annual Report”), filed with the Securities and Exchange Commission (“SEC”) on March 28, 2022.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Honest Company, Inc. (“Honest” and, together with its consolidated subsidiaries, the “Company,” “we,” “us” and “our”) is a digitally-native, mission-driven brand focused on leading the clean lifestyle movement, creating a community for conscious consumers and seeking to disrupt multiple consumer product categories.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w:t>
      </w:r>
    </w:p>
    <w:p>
      <w:pPr>
        <w:spacing w:after="0" w:line="21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65%, 26%, and 9%, respectively, of our revenue for the three months ended September 30, 2022, compared to 65%, 31%, and 4%, respectively, of our revenue for the three months ended September 30, 2021, and 65%, 29%, and 6%, respectively, of our revenue for the nine months ended September 30, 2022, compared to 63%, 32%, and 5%, respectively, of our revenue for the nine months ended September 30, 2021.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w:t>
      </w:r>
    </w:p>
    <w:p>
      <w:pPr>
        <w:spacing w:after="0" w:line="21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omnichannel approach seeks to meet consumers wherever they want to shop, balancing deep consumer connection with broad convenience and accessibility. Since our launch, we have built a well-integrated omnichannel presence by expanding our retail accessibility across both Digital and Retail channels, including the launch of strategic partnerships with Costco, Target, Amazon and Walmart in 2013, 2014, 2017 and 2022, respectively. For the three months ended September 30, 2022, we generated 40% and 60% of our revenue from our Digital and Retail channels, respectively, compared to 47% and 53%, respectively, for the three months ended September 30, 2021. For the nine months ended September 30, 2022, we generated 46% and 54% of our revenue from our Digital and Retail channels, respectively, compared to 49% and 51%, respectively, for the nine months ended September 30, 2021.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our Digital channel, and our Retail channel, which includes leading retailers and their websites. As of September 30, 2022, our products can be found in approximately 50,000 retail locations across the United States, Canada and Europe. Our integrated omnichannel presence provides meaningful benefits to our consumers which we believe is not easily replicated by our competitors. This distinctive business model has allowed us to efficiently scale our business while remaining agnostic as to the channel where consumers purchase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May 7, 2021, we completed our initial public offering ("IPO") of 25,807,000 shares of our common stock at a stock price of $16.00 per share, resulting in aggregate net proceeds to us of approximately $91.0 million, after deducting the underwriting discount and commissions of $6.7 million and offering expenses of $5.5 million.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lifestyle consumer. Honest is still unknown to many consumers, with unaided brand awareness of 29% among diaper buyers according to our consumer research conducted in January 2022. In order to increase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Given higher costs of digital marketing and increased retail distribution, we have and expect to continue to shift the focus of our marketing spend towards supporting retail marketing programs and to make changes in our domestic and global marketing initiatives to increase brand awareness.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lifestyle space. Based in Los Angeles, California, our research and development team, including chemists, in-house toxicologists and an ecotoxicologist,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21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use connectivity to our community of consumers to provide lifestyle insights that power innovation across categories. We use innovation to support our growth objectives across our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w:t>
      </w:r>
    </w:p>
    <w:p>
      <w:pPr>
        <w:spacing w:after="0" w:line="20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continue to innovate in each of our product categories in areas such as breakthrough new product formulations, innovative packaging, costovation (defined below) and marketing strategy, with a focus on driving “big bets” across potential product adjacencies where we have: 1) permission to play with consumers, 2) relevant domain expertise, and 3) the opportunity to expand into more places within an existing Honest home. We are also focused on building a portfolio of products in complementary categories through our Innovation Strategy and the momentum created by our Digital Strategy. We are building an Honest community with the goal of creating a more holistic clean, conscious home for consumers and customers alike. We strive for continuous improvement in our existing products’ safety, sustainability, efficacy and design profile while achieving better performance often at lower cost, which we refer to as costovation.</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Product Category Growth</w:t>
      </w:r>
    </w:p>
    <w:p>
      <w:pPr>
        <w:spacing w:after="0" w:line="25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product mix is a driver of our financial performance given our focus on accretive product launches and innovation to increase product margins. Even though our growth strategy aims to boost sales across all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our revenue and margin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Execution of Omnichannel Strategy</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w:t>
      </w:r>
      <w:r>
        <w:rPr>
          <w:rFonts w:ascii="Times New Roman" w:cs="Times New Roman" w:eastAsia="Times New Roman" w:hAnsi="Times New Roman"/>
          <w:sz w:val="18"/>
          <w:szCs w:val="18"/>
          <w:b w:val="1"/>
          <w:bCs w:val="1"/>
          <w:color w:val="auto"/>
        </w:rPr>
        <w:t>y</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Honest Omni-Analytics to generate valuable consumer insights that guide our omnichannel strategy and inform our marketing spend optimization. Our future success depends in part on our ability to effectively attract consumers on a cost-efficient basis and achieve efficiencies in our operations.</w:t>
      </w:r>
    </w:p>
    <w:p>
      <w:pPr>
        <w:spacing w:after="0" w:line="20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paid advertising includes search engine marketing, display, paid social media and product placement and traditional advertising, such as direct mail, television, radio and magazine advertising. Paid advertising costs significantly increased industry-wide in 2021, which negatively impacted our ability to cost-effectively drive traffic to Honest.com and contributed to the decline in Digital revenue in 2021 and for the three and nine months ended September 30, 2022. We expect these elevated costs in paid advertising to continue to impact marketing efficiencies, costs and revenue in our Digital channel for the remainder of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7"/>
          <w:szCs w:val="17"/>
          <w:color w:val="auto"/>
        </w:rPr>
        <w:t>We have strategically positioned ourselves to benefit from several macro trends related to changes in consumer behavior. We believe consumers’ increasing interest in a conscious lifestyle has contributed to higher demand for our products. Further, the rise in digital shopping has complemented our flagship digital platform, Honest.com, our presence with third-party ecommerce players and our Retail customers’ websites. During the three and nine months ended September 30, 2022, we continued to see our retail consumption growth be at a higher level than our digital consumption growth as more consumers chose to return to in-store shopping. Changes in macro-level consumer spending trends, including as a result of the COVID-19 pandemic or broader macroeconomic conditions, such as inflation, have resulted and could in the future result in fluctuations in our operating results.</w:t>
      </w:r>
    </w:p>
    <w:p>
      <w:pPr>
        <w:spacing w:after="0" w:line="209"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The COVID-19 pandemic caused general business disruption worldwide beginning in January 2020. The full extent to which the COVID-19 pandemic will directly or indirectly impact our cash flow, business, financial condition, results of operations and prospects will depend on future developments that are uncertain.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COVID-19 pandemic, our headquarters were temporarily closed but have since reopened in a hybrid capacity. During the pandemic we implemented travel restrictions and social distancing measures, including replacing many in-person meetings with virtual interactions, as well as other precautions for the safety of our employees, many of which we have continued into 2022. These actions represented a significant change in how we operate our business, but we believe that we successfully navigated this transition. We will continue to take actions as may be required or recommended by government or health authorities or as we determine are in the best interests of our employees and business partners in light of the pandemic.</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28" w:name="page29"/>
    <w:bookmarkEnd w:id="28"/>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The operations of our retail customers,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in the future, and has led to tighter inventory management by retailers, which has negatively impacted our revenue and fulfillment operations, and may continue in the future. Prolonged unfavorable economic conditions, including as a result of COVID-19 or similar outbreaks, and any resulting recession or slowed economic growth, may have an adverse effect on our sales and profitability.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experienced some impacts on our inventory availability and delivery capacity since the COVID-19 outbreak. The out-of-stock inventory due to supply chain disruptions has been significant on several key items, particularly in our Skin and Personal Care and Diapers and Wipes product categories. In the fourth quarter of 2021, we experienced lower than expected inventory receipts due largely to global supply chain delays, including a delay in receiving shipments from overseas, which we also experienced in the second quarter of 2022. </w:t>
      </w:r>
      <w:r>
        <w:rPr>
          <w:rFonts w:ascii="Times New Roman" w:cs="Times New Roman" w:eastAsia="Times New Roman" w:hAnsi="Times New Roman"/>
          <w:sz w:val="18"/>
          <w:szCs w:val="18"/>
          <w:color w:val="231F20"/>
        </w:rPr>
        <w:t>For example, due to new COVID-19 lockdown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restrictions in China in the second quarter of 2022, many of the ports shut down which has negatively impacted and may in the future negatively impact our ability to timely receive shipments of our products. To the extent that additional prevention and mitigation measures are implemented in the future, or there is uncertainty about the effectiveness of these or any other measures to contain the spread of COVID-19, there has been and continues to be an adverse impact on global economic conditions and consumer confidence and spending, which has adversely affected our supply chain as well as the demand for our products and has impacted our revenue and ability to service our customer orders. </w:t>
      </w:r>
      <w:r>
        <w:rPr>
          <w:rFonts w:ascii="Times New Roman" w:cs="Times New Roman" w:eastAsia="Times New Roman" w:hAnsi="Times New Roman"/>
          <w:sz w:val="18"/>
          <w:szCs w:val="18"/>
          <w:color w:val="000000"/>
        </w:rPr>
        <w:t>We have taken measures to bolster key aspects of our supply chain, such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ensuring sufficient inventory to support our continued growth, new distribution and longer lead times.</w:t>
      </w:r>
    </w:p>
    <w:p>
      <w:pPr>
        <w:spacing w:after="0" w:line="22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a result of the COVID-19 pandemic and other macroeconomic trends, we and our distribution partners have experienced some disruptions to the operations of our fulfillment centers, including a nationwide truck driver shortage. For example, during the fourth quarter of 2021, some employees at our warehouse facilities were ill with COVID-19 and/or following quarantine protocols, which coupled with the nationwide truck driver shortage, negatively impacted our and our distribution partner’s ability to fulfill orders in a timely manner and had a negative impact on our results of operations. In addition, an international freight forwarder partner experienced a cyber attack during the first quarter of 2022 resulting in a delay in the shipment and launch of our </w:t>
      </w:r>
      <w:r>
        <w:rPr>
          <w:rFonts w:ascii="Times New Roman" w:cs="Times New Roman" w:eastAsia="Times New Roman" w:hAnsi="Times New Roman"/>
          <w:sz w:val="18"/>
          <w:szCs w:val="18"/>
          <w:i w:val="1"/>
          <w:iCs w:val="1"/>
          <w:color w:val="auto"/>
        </w:rPr>
        <w:t>Beauty Restage</w:t>
      </w:r>
      <w:r>
        <w:rPr>
          <w:rFonts w:ascii="Times New Roman" w:cs="Times New Roman" w:eastAsia="Times New Roman" w:hAnsi="Times New Roman"/>
          <w:sz w:val="18"/>
          <w:szCs w:val="18"/>
          <w:color w:val="auto"/>
        </w:rPr>
        <w:t xml:space="preserve"> products in Europe. Also, in the third quarter of 2022, some of our digital and retail customers began to reduce inventory on hand and have changed fulfillment schedules, which has negatively impacted our fulfillment operations and our revenue and is expected to continue to do so in the future.</w:t>
      </w:r>
    </w:p>
    <w:p>
      <w:pPr>
        <w:spacing w:after="0" w:line="20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continue to work with our existing manufacturing, logistics and other supply chain partners to ensure our ability to service our consumers and retail and third-party ecommerce customers. We have experienced and anticipate continued increases in commodity prices, labor costs, input costs and transportation costs in 2022.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respectively, that those hurdles had been met. In addition, in the third quarter of 2022, we received requests from the same two third-party manufacturers to renegotiate purchase costs due to continued increases in raw material costs. As a result, we negotiated and agreed to higher purchase prices which has negatively impacted our cost of revenue during the three and nine months ended September 30, 2022 and will continue to have a negative impact on our results of operations. Due to continued elevated input costs such as fluff pulp, we anticipate further escalation of purchase costs and cost of revenue in the fourth quarter of 2022 and in 2023. Moreover, t</w:t>
      </w:r>
      <w:r>
        <w:rPr>
          <w:rFonts w:ascii="Times New Roman" w:cs="Times New Roman" w:eastAsia="Times New Roman" w:hAnsi="Times New Roman"/>
          <w:sz w:val="18"/>
          <w:szCs w:val="18"/>
          <w:color w:val="231F20"/>
        </w:rPr>
        <w:t>he demand for sustainable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packaging and ingredients is outpacing the supply and increasing the cost of these raw materials. For example, there is a supplier shortage or significant demand of and cost impacts to various raw materials used in manufacturing and distributing our products, including tree-free paper, post-consumer recycled plastic resin, post-consumer recycled cardboard shipping cartons for our Honest.com shipments, surfactants, fluff pulp and other diaper raw materials and palm kernel oil. </w:t>
      </w:r>
      <w:r>
        <w:rPr>
          <w:rFonts w:ascii="Times New Roman" w:cs="Times New Roman" w:eastAsia="Times New Roman" w:hAnsi="Times New Roman"/>
          <w:sz w:val="18"/>
          <w:szCs w:val="18"/>
          <w:color w:val="000000"/>
        </w:rPr>
        <w:t>We implemented price increases that took effect in the first half of 2022 and plan to implement additional pricing increases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2022 and in the future as needed to offset current and future input cost inflation and have pursued productivity initiatives to offset these price increases. However, we may not be able to increase our prices or productivity sufficient to offset these costs. We continue to experience significant increasing input cost levels that have and could continue to hamper our ability to drive margin expansion. Customer demand for our products may change based on price increases.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4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that during 2020, COVID-19 drove a demand shift towards our Digital channel as consumers shifted to online shopping amid the pandemic. Given our digitally-native brand and strong digital penetration, we believe we benefited from this trend. Additionally, in 2020 we benefited from increasing consumer and customer demand for sanitization and disinfecting products, which drove revenue growth in our Household and Wellness product category. In 2021, we saw a significant decline in</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9" w:name="page30"/>
    <w:bookmarkEnd w:id="29"/>
    <w:p>
      <w:pPr>
        <w:ind w:right="40"/>
        <w:spacing w:after="0" w:line="282" w:lineRule="auto"/>
        <w:rPr>
          <w:sz w:val="20"/>
          <w:szCs w:val="20"/>
          <w:color w:val="auto"/>
        </w:rPr>
      </w:pPr>
      <w:r>
        <w:rPr>
          <w:rFonts w:ascii="Times New Roman" w:cs="Times New Roman" w:eastAsia="Times New Roman" w:hAnsi="Times New Roman"/>
          <w:sz w:val="18"/>
          <w:szCs w:val="18"/>
          <w:color w:val="auto"/>
        </w:rPr>
        <w:t>consumer demand for sanitization and disinfecting products as consumers returned to pre-COVID routines. In addition, retailers continue to manage heavy inventories of these products in stores and warehouse facilities.</w:t>
      </w:r>
    </w:p>
    <w:p>
      <w:pPr>
        <w:spacing w:after="0" w:line="17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 2021, we began to see increased consumer willingness to return to in-store shopping as the economy reopened and more of the population became vaccinated, driving revenue growth within our Retail channel, specifically within our Diapers and Wipes and Skin and Personal Care product categories in 2021. During the three and nine months ended September 30, 2022, the Retail channel revenue continued to increase compared to our Digital channel due to expanded and new distribution, marketing efforts and strong retail consumption across product categories.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Inventory is reflected at net realizable value which includes a reserve for excess inventory. We estimate reserve requirements based on current and forecasted demand, including the ability to liquidate excess inventory and estimated liquidation value. For example, given the significant decline in consumer demand for sanitizing and disinfecting products, we recorded an inventory write-down of $5.6 million during the year ended December 31, 2021 relating to certain sanitization and disinfecting products as the amount of inventory was significantly in excess of existing and projected demand. Management is implementing various strategies to address this reduction in demand and the related impact on gross margin, including higher markdowns and promotions to clear through inventory, liquidation efforts, focusing on products with highest customer interest and developing new creative advertising to drive demand. There is no guarantee that customer demand will increase in our favor or that we will be able to successfully implement these strategies in light of rising consumer uncertainty and tighter inventory management by retailers. Depending on future consumer behavior in relation to changes in the COVID-19 pandemic and related aging of inventory, among other factors, we may incur additional inventory write-downs, customer returns or incur additional donation expense to reduce excess inventory. During the three months ended September 30, 2022, the Company donated $1.5 million of excess sanitization products.</w:t>
      </w:r>
    </w:p>
    <w:p>
      <w:pPr>
        <w:spacing w:after="0" w:line="21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Due to increasing supply chain lead times and new retail distribution, we have increased our inventory levels to ensure in-stock position to service customers and consumers. In addition, inflation in input costs including higher product costs, inbound shipping and warehouse labor has resulted in a higher dollar value of inventory. For example, in the nine months ended September 30, 2022, inventory has increased by $24.6 million. We will continue to increase inventory levels as needed to support the growth of the business and respond to the dynamic supply chain environment.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25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contains provisions that will be effective on January 1, 2023, including a 15% corporate minimum tax and a 1% excise tax on stock buybacks. While we are still evaluating the impact of the Act, we do not expect any material changes on our consolidated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and their respective websites, who may also resell our products through their own online platforms. Our revenue is recognized net of allowances for returns, discounts, credits and any taxes collected from consumers.</w:t>
      </w:r>
    </w:p>
    <w:p>
      <w:pPr>
        <w:spacing w:after="0" w:line="197"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In 2019 we entered into a license agreement with Butterblu, LLC, or Butterblu, pursuant to which we licensed certain of our trademarks to Butterblu for the manufacture and distribution of certain baby apparel products in exchange for royalties. For the three and nine months ended September 30, 2022, we collected $0.1 million and $1.0 million, respectively, and for the three and nine months ended September 30, 2021, we collected $0.2 million and $0.7 million, respectively, in royalty revenue related to our license agreement. In August 2022, we terminated the license agreement in advance of its expiration date and entered into a supplier services agreement with Butterblu, pursuant to which Butterblu provides certain design, manufacturing, sales and marketing services to us. As part of the supplier services agreement, we acquired all of Butterblu's existing inventory of Honest baby apparel products for $5.5 million, and have agreed to purchase and own inventory for the term of the service agreement which is until December 31, 2026, unless terminated sooner. We entered into this supplier services agreement to create growth opportunities and synergies between our portfolio of products. Butterblu continues to operate and maintain our baby apparel offerings independently through the honestbabyclothing.com website. Honest Baby Clothing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sales are now reflected as revenue in our condensed consolidated statements of operations. For both the three and nine months ended September 30, 2022, we recognized $3.8 million in revenue, excluding royalty revenue, which was included in our Household and Wellness product category, and $3.0 million of associated cost of revenue. Our baby apparel offerings and our supplier services agreement with Butterblu are not currently material to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and research and development expenses.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third-party product development and marketing costs, depreciation and amortization and overhead costs.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product</w:t>
      </w:r>
    </w:p>
    <w:p>
      <w:pPr>
        <w:sectPr>
          <w:pgSz w:w="11900" w:h="16838" w:orient="portrait"/>
          <w:cols w:equalWidth="0" w:num="1">
            <w:col w:w="11200"/>
          </w:cols>
          <w:pgMar w:left="32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31" w:name="page32"/>
    <w:bookmarkEnd w:id="31"/>
    <w:p>
      <w:pPr>
        <w:ind w:right="180"/>
        <w:spacing w:after="0" w:line="261" w:lineRule="auto"/>
        <w:rPr>
          <w:sz w:val="20"/>
          <w:szCs w:val="20"/>
          <w:color w:val="auto"/>
        </w:rPr>
      </w:pPr>
      <w:r>
        <w:rPr>
          <w:rFonts w:ascii="Times New Roman" w:cs="Times New Roman" w:eastAsia="Times New Roman" w:hAnsi="Times New Roman"/>
          <w:sz w:val="18"/>
          <w:szCs w:val="18"/>
          <w:color w:val="auto"/>
        </w:rPr>
        <w:t>categories and hero products with key retailers, as well as expand brand awareness, introduce new product innovation across multiple product categories and implement new marketing strategies in the United States and abroad. As we expand our distribution in existing international markets and launch new products, we expect to make marketing investments to build brand awareness, drive trial and set the foundation for future revenue growth in global markets.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Interest income consists primarily of interest income earned on our short-term investments and our cash and cash equivalents balances. Prior to the adoption of Financial Accounting Standards Board Accounting Standard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interest expense consisted primarily of the portion of rent payments recognized as imputed interest expense under build-to-suit accounting associated with our leasing arrangements.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continue to fluctuate in the future due to changes in both the volume of foreign currency transactions and foreign currency exchange rates.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for each of the periods indicated: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6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40" w:type="dxa"/>
            <w:vAlign w:val="bottom"/>
          </w:tcPr>
          <w:p>
            <w:pPr>
              <w:spacing w:after="0"/>
              <w:rPr>
                <w:sz w:val="20"/>
                <w:szCs w:val="20"/>
                <w:color w:val="auto"/>
              </w:rPr>
            </w:pPr>
          </w:p>
        </w:tc>
        <w:tc>
          <w:tcPr>
            <w:tcW w:w="33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231,792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238,258</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85,081</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65,356</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2"/>
          <w:szCs w:val="12"/>
          <w:color w:val="auto"/>
        </w:rPr>
        <w:t>__________________________</w:t>
      </w:r>
    </w:p>
    <w:p>
      <w:pPr>
        <w:spacing w:after="0" w:line="284"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stock-based compensation expense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6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40" w:type="dxa"/>
            <w:vAlign w:val="bottom"/>
          </w:tcPr>
          <w:p>
            <w:pPr>
              <w:spacing w:after="0"/>
              <w:rPr>
                <w:sz w:val="20"/>
                <w:szCs w:val="20"/>
                <w:color w:val="auto"/>
              </w:rPr>
            </w:pPr>
          </w:p>
        </w:tc>
        <w:tc>
          <w:tcPr>
            <w:tcW w:w="33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expressed as a percentage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0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7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 %</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 %</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 Amounts may not sum due to rounding.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2022 and 2021</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2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00" w:type="dxa"/>
            <w:vAlign w:val="bottom"/>
          </w:tcPr>
          <w:p>
            <w:pPr>
              <w:spacing w:after="0"/>
              <w:rPr>
                <w:sz w:val="23"/>
                <w:szCs w:val="23"/>
                <w:color w:val="auto"/>
              </w:rPr>
            </w:pPr>
          </w:p>
        </w:tc>
        <w:tc>
          <w:tcPr>
            <w:tcW w:w="4020" w:type="dxa"/>
            <w:vAlign w:val="bottom"/>
            <w:gridSpan w:val="10"/>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6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7"/>
              </w:rPr>
              <w:t>(In thousands, except percentages)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7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Product Category</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Diapers and Wipes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1,375</w:t>
            </w:r>
          </w:p>
        </w:tc>
        <w:tc>
          <w:tcPr>
            <w:tcW w:w="10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150,411</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151,251</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0"/>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Skin and Personal Care</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(3,383)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23"/>
                <w:szCs w:val="23"/>
                <w:color w:val="auto"/>
              </w:rPr>
            </w:pPr>
          </w:p>
        </w:tc>
      </w:tr>
      <w:tr>
        <w:trPr>
          <w:trHeight w:val="270"/>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Household and Wellness</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3,937</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23"/>
                <w:szCs w:val="23"/>
                <w:color w:val="auto"/>
              </w:rPr>
            </w:pPr>
          </w:p>
        </w:tc>
      </w:tr>
      <w:tr>
        <w:trPr>
          <w:trHeight w:val="27"/>
        </w:trPr>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1,929</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231,792</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238,258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type w:val="continuous"/>
        </w:sectPr>
      </w:pPr>
    </w:p>
    <w:bookmarkStart w:id="33" w:name="page34"/>
    <w:bookmarkEnd w:id="33"/>
    <w:tbl>
      <w:tblPr>
        <w:tblLayout w:type="fixed"/>
        <w:tblInd w:w="2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0" w:type="dxa"/>
            <w:vAlign w:val="bottom"/>
            <w:gridSpan w:val="10"/>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00" w:type="dxa"/>
            <w:vAlign w:val="bottom"/>
          </w:tcPr>
          <w:p>
            <w:pPr>
              <w:spacing w:after="0"/>
              <w:rPr>
                <w:sz w:val="20"/>
                <w:szCs w:val="20"/>
                <w:color w:val="auto"/>
              </w:rPr>
            </w:pPr>
          </w:p>
        </w:tc>
        <w:tc>
          <w:tcPr>
            <w:tcW w:w="4140" w:type="dxa"/>
            <w:vAlign w:val="bottom"/>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By Channel</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0"/>
        </w:trPr>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Digital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33,782</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(5,332)</w:t>
            </w:r>
          </w:p>
        </w:tc>
        <w:tc>
          <w:tcPr>
            <w:tcW w:w="8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105,913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70"/>
        </w:trPr>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7,261</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125,879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3"/>
                <w:szCs w:val="23"/>
                <w:color w:val="auto"/>
              </w:rPr>
            </w:pP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1,929</w:t>
            </w:r>
          </w:p>
        </w:tc>
        <w:tc>
          <w:tcPr>
            <w:tcW w:w="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231,792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238,258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
        </w:trPr>
        <w:tc>
          <w:tcPr>
            <w:tcW w:w="2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Revenue was $84.6 million for the three months ended September 30, 2022, as compared to $82.7 million for the three months ended September 30, 2021. The increase of $1.9 million, or 2.3%, was driven by a $3.9 million and $1.4 million revenue increase in Household and Wellness and Diapers and Wipes products, respectively, partially offset by a revenue decrease of $3.4 million in Skin and Personal Care. The revenue increase in Household and Wellness was primarily driven by $3.8 million in revenue from Honest Baby Clothing as a result of our transition from a license agreement to a supplier services agreement with Butterblu. The revenue increase in Diapers and Wipes was primarily driven by a $1.9 million increase in wipes revenue driven by strong consumption as consumers continued to expand alternate usage of wipes beyond diapering, as well as distribution gains, price increases and larger-size offerings, offset by a decrease in diaper revenue of $0.5 million due to $4.5 million decrease in revenue in our Digital channel, which was offset by a $3.9 million increase in revenue in our Retail channel driven by distribution gains and strong consumption trends. The Skin and Personal Care revenue decrease was primarily driven by a $5.7 million decrease in revenue due to a rotational program with a key club retailer during the three months ended September 30, 2021 that did not occur during the three months ended September 30, 2022, offset by an increase in revenue due to the launch of baby personal care products with a new retail customer, price increases and an increase in beauty product revenues due to product innovation.</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estimate that pricing actions taken in the first half of 2022 contributed $3.4 million to revenue for the three months ended September 30, 2022.</w:t>
      </w:r>
    </w:p>
    <w:p>
      <w:pPr>
        <w:spacing w:after="0" w:line="2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Revenue was $231.8 million for the nine months ended September 30, 2022, as compared to $238.3 million for the nine months ended September 30, 2021. The decrease of $6.5 million, or 2.7%, was primarily due to a $9.0 million decrease in revenue from Skin and Personal Care products, and a $0.8 million decrease in revenue from Diapers and Wipes, offset by a $3.3 million increase in revenue from Household and Wellness products. The revenue decrease from Skin and Personal Care was primarily driven by $4.4 million in liquidation sales in advance of our </w:t>
      </w:r>
      <w:r>
        <w:rPr>
          <w:rFonts w:ascii="Times New Roman" w:cs="Times New Roman" w:eastAsia="Times New Roman" w:hAnsi="Times New Roman"/>
          <w:sz w:val="18"/>
          <w:szCs w:val="18"/>
          <w:i w:val="1"/>
          <w:iCs w:val="1"/>
          <w:color w:val="auto"/>
        </w:rPr>
        <w:t>Beauty Restage</w:t>
      </w:r>
      <w:r>
        <w:rPr>
          <w:rFonts w:ascii="Times New Roman" w:cs="Times New Roman" w:eastAsia="Times New Roman" w:hAnsi="Times New Roman"/>
          <w:sz w:val="18"/>
          <w:szCs w:val="18"/>
          <w:color w:val="auto"/>
        </w:rPr>
        <w:t xml:space="preserve"> to clear out legacy inventory and a decrease of $5.7 million in revenue due to a rotational program with a key club retailer that occurred during the nine months ended September 30, 2021 and did not occur during the nine months ended September 30, 2022, offset by price increases and distribution gains. The revenue decrease in Diapers and Wipes was primarily driven by a decrease in diaper revenue due to lower traffic and decreased revenue in our Digital channel as the price of digital marketing escalated and impacted our ability to cost-effectively drive traffic to our Honest.com and digital customers, offset by an increase in our wipes revenue, price increases and distribution gains. The revenue increase in Household and Wellness was primarily driven by $3.8 million in revenue from Honest Baby Clothing as a result of our transition from a license agreement to a supplier services agreement with Butterblu.</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pricing actions taken in the first half of 2022 contributed $7.4 million to revenue for the nine months ended September 30, 2022.</w:t>
      </w:r>
    </w:p>
    <w:p>
      <w:pPr>
        <w:spacing w:after="0" w:line="239"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increase in revenue in our Retail channel for the three months ended September 30, 2022, compared to the three months ended September 30, 2021, was primarily driven by new distribution, an increase in revenue at a key retailer driven by strong consumption supported by investments in merchandising and marketing, offset by a decrease in revenue due to a rotational program at a key club retailer that did not repeat this year. The decrease in revenue in our Digital channel for the three months ended September 30, 2022, compared to the three months ended September 30, 2021, was primarily driven by a reduction in revenue by a key digital customer due to an inventory reduction and the timing of shipments related to its national promotional event that occurred during the three months ended September 30, 2021, that did not occur during the three months ended September 30, 2022, as well as higher digital marketing costs which impacted our ability to cost-effectively drive traffic to Honest.com and digital customers.</w:t>
      </w:r>
    </w:p>
    <w:p>
      <w:pPr>
        <w:spacing w:after="0" w:line="230" w:lineRule="exact"/>
        <w:rPr>
          <w:sz w:val="20"/>
          <w:szCs w:val="20"/>
          <w:color w:val="auto"/>
        </w:rPr>
      </w:pPr>
    </w:p>
    <w:p>
      <w:pPr>
        <w:jc w:val="both"/>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increase in revenue in our Retail channel for the nine months ended September 30, 2022, compared to the nine months ended September 30, 2021, was primarily due to an increase in revenue across product categories related to new retail distribution gains and strong consumption growth, offset by two rotational programs (sanitization and disinfecting and baby and personal care) with a key club customer during the nine months ended September 30, 2021, that did not occur during the nine months ended September 30, 2022. The decrease in revenue in our Digital channel for the nine months ended September 30, 2022, compared to the nine months ended September 30, 2021, was primarily due to consumers returning to in-store shopping and higher digital marketing costs which impacted the ability to cost-effectively drive traffic to Honest.com and digital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580" w:type="dxa"/>
            <w:vAlign w:val="bottom"/>
            <w:gridSpan w:val="10"/>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60" w:type="dxa"/>
            <w:vAlign w:val="bottom"/>
          </w:tcPr>
          <w:p>
            <w:pPr>
              <w:spacing w:after="0"/>
              <w:rPr>
                <w:sz w:val="23"/>
                <w:szCs w:val="23"/>
                <w:color w:val="auto"/>
              </w:rPr>
            </w:pPr>
          </w:p>
        </w:tc>
        <w:tc>
          <w:tcPr>
            <w:tcW w:w="4360" w:type="dxa"/>
            <w:vAlign w:val="bottom"/>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1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4"/>
        </w:trPr>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38"/>
        </w:trPr>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2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3"/>
              </w:rPr>
              <w:t>(In thousands, except</w:t>
            </w:r>
          </w:p>
        </w:tc>
        <w:tc>
          <w:tcPr>
            <w:tcW w:w="130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6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29,759</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r>
    </w:tbl>
    <w:p>
      <w:pPr>
        <w:spacing w:after="0" w:line="33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Cost of revenue was $59.0 million for the three months ended September 30, 2022, as compared to $52.9 million for the three months ended September 30, 2021. The increase of $6.1 million, or 11.5%, was primarily due to higher fulfillment costs, especially in transportation, freight and warehouse labor costs, product costs driven by higher revenue from Honest Baby Clothing and increased product costs for our diapers and personal care, as compared to the three months ended September 30, 2021, partially offset by cost reduction projects. Cost of revenue as a percentage of revenue increased by 572 basis points primarily due to higher input costs, along with higher trade promotion levels as compared to the three months ended September 30, 2021, partially offset by pricing increases taken in the first half of 2022 and cost reduction projects.</w:t>
      </w:r>
    </w:p>
    <w:p>
      <w:pPr>
        <w:spacing w:after="0" w:line="21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Cost of revenue was $162.0 million for the nine months ended September 30, 2022, as compared to $153.2 million for the nine months ended September 30, 2021. The increase of $8.8 million, or 5.7%, was primarily due to higher fulfillment costs, especially in transportation, freight and warehouse labor costs, product costs driven by higher revenue from Honest Baby Clothing and increased product costs for our diapers and personal care products, as well as rent expense related to our warehouse facility due to the derecognition of our built-to-suit lease as a result of the adoption of ASC 842 (previously recognized in interest expense). Cost of revenue as a percentage of revenue increased by 559 basis points primarily due to higher input costs, along with higher trade promotion levels as compared to the nine months ended September 30, 2021, partially offset by pricing increases taken in the first half of 2022 and cost reduction projects.</w:t>
      </w:r>
    </w:p>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Gross profit was $25.6 million for the three months ended September 30, 2022, as compared to $29.8 million for the three months ended September 30, 2021. The decrease of $4.1 million, or 13.9%, was primarily due to higher input costs and higher expenses associated with promotional activity, partially offset by pricing increases that went into effect in 2022 and cost savings.</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Gross profit was $69.8 million for the nine months ended September 30, 2022, as compared to $85.1 million for the nine months ended September 30, 2021. The decrease of $15.3 million, or 18.0%, was primarily due to the decrease in revenue in our Skin and Personal Care product category, fixed cost deleverage, higher input costs and higher expenses associated with promotional activity, partially offset by pricing increases that went into effect in 2022, favorable product mix and cost savings, including the consolidation of a distribution center.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8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13"/>
        </w:trPr>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gridSpan w:val="11"/>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120" w:type="dxa"/>
            <w:vAlign w:val="bottom"/>
            <w:gridSpan w:val="10"/>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Pr>
          <w:p>
            <w:pPr>
              <w:spacing w:after="0"/>
              <w:rPr>
                <w:sz w:val="20"/>
                <w:szCs w:val="20"/>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26.5 %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33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were $23.5 million for the three months ended September 30, 2022, as compared to $18.6 million for the three months ended September 30, 2021. The increase of $4.9 million, or 26.5%, was primarily due to $1.7 million increase in legal fees, $1.5 million increase in employee-related expenses due to higher headcount and $1.4 million increase in donation expenses.</w:t>
      </w:r>
    </w:p>
    <w:p>
      <w:pPr>
        <w:spacing w:after="0" w:line="204"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Selling, general and administrative expenses were $63.1 million for the nine months ended September 30, 2022, as compared to $65.4 million for the nine months ended September 30, 2021. The decrease of $2.3 million, or 3.5%, was primarily due to non-recurring IPO related expenses for the nine months ended September 30, 2021 that did not occur during the nine months ended September 30, 2022, offset by an increase of $2.6 million in legal fees, a $2.1 million increase in employee-related expenses due to higher headcount, a $1.9 million increase in donation expenses and a $0.7 million increase in insurance costs related to operating as a public company. The IPO-related expenses during the nine months ended September 30, 2021 included $9.1 million in bonus payments made to certain employees, including members of management, excluding payroll taxes and</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35" w:name="page36"/>
    <w:bookmarkEnd w:id="35"/>
    <w:p>
      <w:pPr>
        <w:ind w:right="180"/>
        <w:spacing w:after="0" w:line="266" w:lineRule="auto"/>
        <w:rPr>
          <w:sz w:val="20"/>
          <w:szCs w:val="20"/>
          <w:color w:val="auto"/>
        </w:rPr>
      </w:pPr>
      <w:r>
        <w:rPr>
          <w:rFonts w:ascii="Times New Roman" w:cs="Times New Roman" w:eastAsia="Times New Roman" w:hAnsi="Times New Roman"/>
          <w:sz w:val="18"/>
          <w:szCs w:val="18"/>
          <w:color w:val="auto"/>
        </w:rPr>
        <w:t>expenses, $1.9 million in stock-based compensation expense related to the vesting of performance based awards and $1.0 million in accounting expenses related to the IPO during the nine months ended September 30, 2021.</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11"/>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140" w:type="dxa"/>
            <w:vAlign w:val="bottom"/>
            <w:gridSpan w:val="10"/>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0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12,140</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22"/>
                <w:szCs w:val="22"/>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38,121</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r>
    </w:tbl>
    <w:p>
      <w:pPr>
        <w:spacing w:after="0" w:line="33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Marketing expenses were $12.1 million for the three months ended September 30, 2022, as compared to $13.7 million for the three months ended September 30, 2021. The decrease of $1.5 million, or 11.3%, was primarily due to a $4.2 million reduction in digital advertising, offset by a $2.0 million increase in retail marketing to support new distribution and an $0.6 million increase in public relations and influencer marketing.</w:t>
      </w:r>
    </w:p>
    <w:p>
      <w:pPr>
        <w:spacing w:after="0" w:line="204" w:lineRule="exact"/>
        <w:rPr>
          <w:sz w:val="20"/>
          <w:szCs w:val="20"/>
          <w:color w:val="auto"/>
        </w:rPr>
      </w:pPr>
    </w:p>
    <w:p>
      <w:pPr>
        <w:ind w:right="160" w:firstLine="648"/>
        <w:spacing w:after="0" w:line="232" w:lineRule="auto"/>
        <w:rPr>
          <w:sz w:val="20"/>
          <w:szCs w:val="20"/>
          <w:color w:val="auto"/>
        </w:rPr>
      </w:pPr>
      <w:r>
        <w:rPr>
          <w:rFonts w:ascii="Times New Roman" w:cs="Times New Roman" w:eastAsia="Times New Roman" w:hAnsi="Times New Roman"/>
          <w:sz w:val="18"/>
          <w:szCs w:val="18"/>
          <w:color w:val="auto"/>
        </w:rPr>
        <w:t>Marketing expenses were $38.1 million for the nine months ended September 30, 2022, as compared to $41.9 million for the nine months ended September 30, 2021. The decrease of $3.7 million, or 8.9%, was primarily due to a $8.1 million reduction in digital advertising, offset by a $3.6 million increase in retail marketing to support new distribution and higher return shopper marketing, as well as $0.8 million increase in public relations and influencer marketing.</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11"/>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08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2"/>
                <w:szCs w:val="22"/>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34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$1.7 million for the three months ended September 30, 2022, as compared to $2.1 million for the three months ended September 30, 2021. The decrease of $0.4 million, or 17.5%, was primarily related to a $0.3 million decrease in stock-based compensation expense.</w:t>
      </w:r>
    </w:p>
    <w:p>
      <w:pPr>
        <w:spacing w:after="0" w:line="20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$5.6 million for the nine months ended September 30, 2022, as compared to $6.1 million for the nine months ended September 30, 2021. The decrease of $0.4 million, or 7.2%, was primarily related to a $0.4 million decrease in stock-based compensation expense.</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80" w:type="dxa"/>
            <w:vAlign w:val="bottom"/>
          </w:tcPr>
          <w:p>
            <w:pPr>
              <w:spacing w:after="0"/>
              <w:rPr>
                <w:sz w:val="22"/>
                <w:szCs w:val="22"/>
                <w:color w:val="auto"/>
              </w:rPr>
            </w:pPr>
          </w:p>
        </w:tc>
        <w:tc>
          <w:tcPr>
            <w:tcW w:w="3840" w:type="dxa"/>
            <w:vAlign w:val="bottom"/>
            <w:gridSpan w:val="7"/>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20" w:type="dxa"/>
            <w:vAlign w:val="bottom"/>
            <w:vMerge w:val="continue"/>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7"/>
                <w:szCs w:val="17"/>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income (expense), net was net expense of $29 thousand for the three months ended September 30, 2022, as compared to net expense of $0.5 million for the three months ended September 30, 2021. The decrease of $0.5 million was primarily due to a decrease in interest expense related to the derecognition of our built-to-suit lease as a result of the adoption of ASC 842. Under the new lease accounting related to the adoption of ASC 842, all lease expense related to the built-to-suit lease is now included in the cost of revenue.</w:t>
      </w:r>
    </w:p>
    <w:p>
      <w:pPr>
        <w:sectPr>
          <w:pgSz w:w="11900" w:h="16838" w:orient="portrait"/>
          <w:cols w:equalWidth="0" w:num="1">
            <w:col w:w="11200"/>
          </w:cols>
          <w:pgMar w:left="320" w:top="7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type w:val="continuous"/>
        </w:sectPr>
      </w:pPr>
    </w:p>
    <w:bookmarkStart w:id="36" w:name="page37"/>
    <w:bookmarkEnd w:id="36"/>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Interest and other income (expense), net was net income of $0.7 million for the nine months ended September 30, 2022, as compared to net expense of $1.4 million for the nine months ended September 30, 2021. The increase of $2.0 million was primarily due to a decrease in interest expense related to the derecognition of our built-to-suit lease as a result of the adoption of ASC 842. Under the new lease accounting related to the adoption of ASC 842, all lease expense related to the built-to-suit lease is now included in the cost of revenue. Additionally, during the nine months ended September 30, 2022, $0.7 million of other income was related to the recognition of taxes and interest to be refunded from the Nevada Department of Taxation legal settlement. Refer to Note 8 included in these condensed consolidated financial statements for more information on the legal settlement.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We have incurred net losses and net cash outflows from operating activities since our inception. Prior to our IPO, our available liquidity and operations were financed primarily through the sale of redeemable convertible preferred stock, equity securities and to a lesser extent, debt financing. Upon the closing of our IPO, we received net proceeds of approximately $91.1 million, after deducting underwriting discounts and commissions of $6.7 million</w:t>
      </w:r>
    </w:p>
    <w:p>
      <w:pPr>
        <w:spacing w:after="0" w:line="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and offering expenses of $5.4 million</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As of September 30, 2022, we had $24.1 million of cash and cash equivalents and $16.7 million of short-term investments. Although we are dependent on our ability to generate sufficient cash flow from operations or raise capital to achieve our business objectives, we believe our existing cash, cash equivalents, and short-term investments will be sufficient to meet our short-term and long-term working capital and capital expenditure needs.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Facility</w:t>
      </w:r>
    </w:p>
    <w:p>
      <w:pPr>
        <w:spacing w:after="0" w:line="27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April 2021, we entered into a first lien credit agreement (the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2022, there were outstanding standby letters of credit of $4.8 million related to lease obligations with $30.2 million available to be drawn upon. The 2021 Credit Facility is subject to customary fees for loan facilities of this type, including a commitment fee based on the average daily undrawn portion of the revolving credit facility. We recognize the commitment fee as incurred in interest and other income (expense), net in the condensed consolidated statements of comprehensive loss. For the three and nine months ended September 30, 2022, the commitment fee incurred was immaterial. The interest rate applicable to the 2021 Credit Facility is, at our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w:t>
      </w:r>
    </w:p>
    <w:p>
      <w:pPr>
        <w:spacing w:after="0" w:line="21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2021 Credit Facility will terminate and borrowings thereunder, if any, will be due on April 30, 2026. As of September 30, 2022, there was no outstanding balance under the 2021 Credit Facility. We are required to follow certain covenants. As of September 30, 2022, we are in compliance with the net leverage ratio covenant.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6 included in these condensed consolidated financial statements for more information on the 2021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920" w:type="dxa"/>
            <w:vAlign w:val="bottom"/>
          </w:tcPr>
          <w:p>
            <w:pPr>
              <w:spacing w:after="0"/>
              <w:rPr>
                <w:sz w:val="24"/>
                <w:szCs w:val="24"/>
                <w:color w:val="auto"/>
              </w:rPr>
            </w:pPr>
          </w:p>
        </w:tc>
        <w:tc>
          <w:tcPr>
            <w:tcW w:w="428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vMerge w:val="continue"/>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(50,669)</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(36,359)</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(28,734)</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55,559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w:t>
      </w:r>
    </w:p>
    <w:p>
      <w:pPr>
        <w:spacing w:after="0" w:line="166"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Net cash used in operating activities of $50.7 million for the nine months ended September 30, 2022 was primarily due to net loss of $36.4 million, non-cash adjustments of $18.2 million and a net decrease in cash related to changes in operating assets and liabilities of $32.4 million. Non-cash adjustments primarily consisted of stock-based compensation of $11.4 million, amortization of operating ROU assets of $4.6 million and depreciation and amortization of $2.0 million. Changes in cash flows related to operating assets and liabilities primarily consisted of a $24.6 million increase in inventory reflecting cost inflation, the purchase of $5.5 million of Honest Baby Clothing inventory from Butterblu and an increase in weeks of supply due to longer lead times and in advance of new distribution, a $7.1 million increase in accounts receivable due to growth in Retail channel revenue, a $5.2 million use of cash due to operating lease obligations and a $3.2 million increase in prepaid expenses and other assets, offset by a $7.6 million increase in accounts payable due to higher inventory purchases and cost inflation in the nine months ended September 30, 2022.</w:t>
      </w:r>
    </w:p>
    <w:p>
      <w:pPr>
        <w:spacing w:after="0" w:line="22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of $36.4 million for the nine months ended September 30, 2021 was primarily due to net loss of $29.7 million, non-cash adjustments of $16.6 million and a net decrease in cash related to changes in operating assets and liabilities of $23.3 million. Non-cash adjustments primarily consisted of stock-based compensation of $13.2 million and depreciation and amortization of $3.1 million. Changes in cash flows related to operating assets and liabilities primarily consisted of a $8.9 million increase in accounts receivable due to higher revenue from retail customers, a $7.6 million increase in prepaid expenses and other assets due to timing of payments, as well as the non-monetary sale of our legacy beauty inventory for future marketing and transportation credits, a $1.2 million increase in inventory due to timing of inventory purchases and a $5.8 million use of cash due to the timing of payments associated with our accounts payable and operating leasing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primary source of investing cash is the sale and maturity of short-term investments and our primary use of investing cash is the purchase of short-term investments and property and equipment.</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$24.0 million for the nine months ended September 30, 2022 was primarily due to proceeds from maturities of short-term investments of $38.2 million, offset by purchases of short-term investments of $12.8 million.</w:t>
      </w:r>
    </w:p>
    <w:p>
      <w:pPr>
        <w:spacing w:after="0" w:line="189"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of $28.7 million for the nine months ended September 30, 2021 was due to purchases of short-term investments of $65.3 million, offset by proceeds from the sales and maturities of short-term investments of $26.9 million and $9.9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payment of offering costs, proceeds from stock option award exercises and principal payments of financing lease obligations.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$39 thousand for the nine months ended September 30, 2022 primarily consisted of principal payments of financing lease obligations, partially offset by proceeds from stock option exercises and the 2021 ESPP.</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$55.6 million for the nine months ended September 30, 2021 primarily consisted of proceeds from our IPO of $96.5 million, net of underwriting discounts and commissions, offset by dividend payments of $35.0 million and payments of offering costs in connection with our IPO of $5.5 million.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38" w:name="page39"/>
    <w:bookmarkEnd w:id="38"/>
    <w:p>
      <w:pPr>
        <w:ind w:right="420"/>
        <w:spacing w:after="0" w:line="266" w:lineRule="auto"/>
        <w:rPr>
          <w:sz w:val="20"/>
          <w:szCs w:val="20"/>
          <w:color w:val="auto"/>
        </w:rPr>
      </w:pPr>
      <w:r>
        <w:rPr>
          <w:rFonts w:ascii="Times New Roman" w:cs="Times New Roman" w:eastAsia="Times New Roman" w:hAnsi="Times New Roman"/>
          <w:sz w:val="18"/>
          <w:szCs w:val="18"/>
          <w:color w:val="auto"/>
        </w:rPr>
        <w:t>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prepare and present our condensed consolidated financial statements in accordance with GAAP. However, management believes that adjusted EBITDA, a non-GAAP financial measure, provides investors with additional useful information in evaluating our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(1) interest and other (income) expense, net; (2) income tax provision;</w:t>
      </w:r>
    </w:p>
    <w:p>
      <w:pPr>
        <w:spacing w:after="0" w:line="27" w:lineRule="exact"/>
        <w:rPr>
          <w:sz w:val="20"/>
          <w:szCs w:val="20"/>
          <w:color w:val="auto"/>
        </w:rPr>
      </w:pPr>
    </w:p>
    <w:p>
      <w:pPr>
        <w:ind w:right="120" w:firstLine="8"/>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the IPO bonuses in the second quarter of 2021, including associated payroll taxes and expenses, and third-party costs associated with our IPO in 2021; and (6) in certain periods, litigation and settlement fees associated with certain non-ordinary course litigation.</w:t>
      </w:r>
    </w:p>
    <w:p>
      <w:pPr>
        <w:spacing w:after="0" w:line="21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21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bonuses,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and other results stated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stated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adjusted EBITDA, for each of the periods presented:</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60" w:type="dxa"/>
            <w:vAlign w:val="bottom"/>
          </w:tcPr>
          <w:p>
            <w:pPr>
              <w:spacing w:after="0"/>
              <w:rPr>
                <w:sz w:val="20"/>
                <w:szCs w:val="20"/>
                <w:color w:val="auto"/>
              </w:rPr>
            </w:pPr>
          </w:p>
        </w:tc>
        <w:tc>
          <w:tcPr>
            <w:tcW w:w="37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IPO and other transaction-</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expenses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based compensation</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3"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IPO-related costs, including transaction-related third-party expenses, which are generally incremental costs incurred associated with the preparation of the IPO.</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8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no material changes to our material cash requirements from those described under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nine months ended September 30, 2022, there were no material changes to our critical accounting estimates from those discussed in our Annual Report. Refer to Note 2 and 13 to our condensed consolidated financial statements included in this Quarterly Report on Form 10-Q for a discussion of the adoption of ASC 842 and related policy changes.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Refer to Note 2 to our condensed consolidated financial statements included in this Quarterly Report on Form 10-Q for a discussion of recently adopted accounting pronouncements and recently issued accounting pronouncements not yet adopted.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40" w:name="page41"/>
    <w:bookmarkEnd w:id="40"/>
    <w:p>
      <w:pPr>
        <w:ind w:right="240"/>
        <w:spacing w:after="0" w:line="282" w:lineRule="auto"/>
        <w:rPr>
          <w:sz w:val="20"/>
          <w:szCs w:val="20"/>
          <w:color w:val="auto"/>
        </w:rPr>
      </w:pPr>
      <w:r>
        <w:rPr>
          <w:rFonts w:ascii="Times New Roman" w:cs="Times New Roman" w:eastAsia="Times New Roman" w:hAnsi="Times New Roman"/>
          <w:sz w:val="18"/>
          <w:szCs w:val="18"/>
          <w:color w:val="auto"/>
        </w:rPr>
        <w:t>other public companies that are not emerging growth companies which may make comparison of our financials to those of other public companies more difficult.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Chief Executive Officer and Chief Financial Officer, evaluated, as of the period ended September 30, 2022, the effectiveness of our disclosure controls and procedures (as defined in Rules 13a-15(e) and 15d-15(e) under the Exchange Act). Based on that evaluation, our Chief Executive Officer and Chief Financial Officer concluded that, as of such date, our disclosure controls and procedures were effective at the reasonable assurance level.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September 30, 2022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“Litigation” in Note 8 to our condensed consolidated financial statements included in this Quarterly Report on Form 10-Q is incorporated by reference into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1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more significant risks we face include the following:</w:t>
      </w:r>
    </w:p>
    <w:p>
      <w:pPr>
        <w:spacing w:after="0" w:line="239"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each year since our inception and we may not be able to achieve or maintain profitability in the future.</w:t>
      </w:r>
    </w:p>
    <w:p>
      <w:pPr>
        <w:spacing w:after="0" w:line="27" w:lineRule="exact"/>
        <w:rPr>
          <w:rFonts w:ascii="Times New Roman" w:cs="Times New Roman" w:eastAsia="Times New Roman" w:hAnsi="Times New Roman"/>
          <w:sz w:val="18"/>
          <w:szCs w:val="18"/>
          <w:color w:val="auto"/>
        </w:rPr>
      </w:pPr>
    </w:p>
    <w:p>
      <w:pPr>
        <w:ind w:left="420" w:right="8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may not be indicative of our future growth and we may not be able to effectively manage our growth or evaluate our future prospects. If we fail to effectively manage our future growth or evaluate our future prospects, our business could be adversely affected.</w:t>
      </w: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spacing w:after="0" w:line="9" w:lineRule="exact"/>
        <w:rPr>
          <w:rFonts w:ascii="Times New Roman" w:cs="Times New Roman" w:eastAsia="Times New Roman" w:hAnsi="Times New Roman"/>
          <w:sz w:val="18"/>
          <w:szCs w:val="18"/>
          <w:color w:val="auto"/>
        </w:rPr>
      </w:pPr>
    </w:p>
    <w:p>
      <w:pPr>
        <w:ind w:left="420" w:right="560" w:hanging="412"/>
        <w:spacing w:after="0" w:line="250" w:lineRule="auto"/>
        <w:tabs>
          <w:tab w:leader="none" w:pos="4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a recession and inflationary pressures such as price increases in commodity prices, labor costs, input costs and transportation costs and their impact on consumer spending and our profit margin.</w:t>
      </w:r>
    </w:p>
    <w:p>
      <w:pPr>
        <w:ind w:left="420" w:right="78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retail customers, the loss of a significant retail or third-party ecommerce customer or a significant change in such customers' purchasing patterns could negatively impact our sales and ability to achieve or maintain profitability.</w:t>
      </w:r>
    </w:p>
    <w:p>
      <w:pPr>
        <w:ind w:left="420" w:right="14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and logistics, and the loss of any of our key suppliers or logistical service providers could negatively impact our business.</w:t>
      </w: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9" w:lineRule="exact"/>
        <w:rPr>
          <w:rFonts w:ascii="Times New Roman" w:cs="Times New Roman" w:eastAsia="Times New Roman" w:hAnsi="Times New Roman"/>
          <w:sz w:val="18"/>
          <w:szCs w:val="18"/>
          <w:color w:val="auto"/>
        </w:rPr>
      </w:pPr>
    </w:p>
    <w:p>
      <w:pPr>
        <w:ind w:left="420" w:right="10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ind w:left="420" w:right="480" w:hanging="412"/>
        <w:spacing w:after="0" w:line="250"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our efforts may or may not be successful.</w:t>
      </w:r>
    </w:p>
    <w:p>
      <w:pPr>
        <w:ind w:left="42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evolving expectations from stakeholders with respect to our environmental, social and governance (ESG) practices, performance and disclosures.</w:t>
      </w:r>
    </w:p>
    <w:p>
      <w:pPr>
        <w:ind w:left="420" w:right="18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ind w:left="420" w:right="18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position is largely dependent on the services of our senior management and other key personnel, including our founder and Chief Creative Officer, Jessica Warren and our Chief Executive Officer, Nick Vlahos.</w:t>
      </w: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could have an adverse effect on our business.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an adverse effect on our business, financial condition, results of operations and prospects.</w:t>
      </w:r>
    </w:p>
    <w:p>
      <w:pPr>
        <w:spacing w:after="0" w:line="9" w:lineRule="exact"/>
        <w:rPr>
          <w:rFonts w:ascii="Times New Roman" w:cs="Times New Roman" w:eastAsia="Times New Roman" w:hAnsi="Times New Roman"/>
          <w:sz w:val="18"/>
          <w:szCs w:val="18"/>
          <w:color w:val="auto"/>
        </w:rPr>
      </w:pPr>
    </w:p>
    <w:p>
      <w:pPr>
        <w:ind w:left="420" w:right="160" w:hanging="412"/>
        <w:spacing w:after="0" w:line="250"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 w:lineRule="exact"/>
        <w:rPr>
          <w:rFonts w:ascii="Times New Roman" w:cs="Times New Roman" w:eastAsia="Times New Roman" w:hAnsi="Times New Roman"/>
          <w:sz w:val="18"/>
          <w:szCs w:val="18"/>
          <w:color w:val="auto"/>
        </w:rPr>
      </w:pPr>
    </w:p>
    <w:p>
      <w:pPr>
        <w:ind w:left="420" w:right="240" w:hanging="412"/>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and the U.S. government’s trade policy could adversely affect our business.</w:t>
      </w:r>
    </w:p>
    <w:p>
      <w:pPr>
        <w:spacing w:after="0" w:line="9" w:lineRule="exact"/>
        <w:rPr>
          <w:rFonts w:ascii="Times New Roman" w:cs="Times New Roman" w:eastAsia="Times New Roman" w:hAnsi="Times New Roman"/>
          <w:sz w:val="18"/>
          <w:szCs w:val="18"/>
          <w:color w:val="auto"/>
        </w:rPr>
      </w:pPr>
    </w:p>
    <w:p>
      <w:pPr>
        <w:ind w:left="420" w:right="80" w:hanging="412"/>
        <w:spacing w:after="0" w:line="26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if we are unable to provide our consumers with a technology platform that is able to respond and adapt to rapid changes in technology.</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63"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than the risk factors set forth below, there have been no material changes to the risk factors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w:t>
      </w:r>
    </w:p>
    <w:p>
      <w:pPr>
        <w:spacing w:after="0" w:line="170"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The COVID-19 pandemic and overall macro economic trends have had and may continue to have an adverse effect on our business, financial condition, results of operations and prospects.</w:t>
      </w:r>
    </w:p>
    <w:p>
      <w:pPr>
        <w:spacing w:after="0" w:line="17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or on a hybrid remote schedule, imposing travel restrictions and temporarily closing businesses. For example, due to new COVID-19 lockdown restrictions in China in the second quarter of 2022, many of the ports shut down which has negatively impacted and may in the future negatively impact our ability to timely receive shipments of our products. To the extent that additional prevention and mitigation measures are implemented in the future, or there is uncertainty about the effectiveness of these or any other measures to contain the spread of COVID-19, there has been and continues to be an adverse impact on global economic conditions and consumer confidence and spending, which has adversely affected our supply chain as well as the demand for our products and has impacted our revenue and ability to service our customer orders. For example, t</w:t>
      </w:r>
      <w:r>
        <w:rPr>
          <w:rFonts w:ascii="Times New Roman" w:cs="Times New Roman" w:eastAsia="Times New Roman" w:hAnsi="Times New Roman"/>
          <w:sz w:val="18"/>
          <w:szCs w:val="18"/>
          <w:color w:val="000000"/>
        </w:rPr>
        <w:t>he out-of-stock inventory due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supply chain disruptions has been significant on several key items, particularly in our Skin and Personal Care and Diapers and Wipes product categories. </w:t>
      </w:r>
      <w:r>
        <w:rPr>
          <w:rFonts w:ascii="Times New Roman" w:cs="Times New Roman" w:eastAsia="Times New Roman" w:hAnsi="Times New Roman"/>
          <w:sz w:val="18"/>
          <w:szCs w:val="18"/>
          <w:color w:val="231F20"/>
        </w:rPr>
        <w:t>While at this time we are working to manage potential disruptions to our supply chain, the fluid nature of the COVID-19 pandemic and uncertainties regarding the related economic impact, as well as overall macroeconomic trends, are likely to result in sustained market turmoil, which could also have an adverse effect on our business, financial condition, results of operations and prospects.</w:t>
      </w:r>
    </w:p>
    <w:p>
      <w:pPr>
        <w:spacing w:after="0" w:line="23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231F20"/>
        </w:rPr>
        <w:t xml:space="preserve">The impact of the COVID-19 pandemic and overall macroeconomic trends on any of our suppliers, manufacturers, retail or ecommerce customers or transportation or logistics providers has and may continue to negatively affect the price and availability of our materials and impact our supply chain. For example, there is a supplier shortage or significant demand of and cost impacts to various raw materials used in manufacturing and distributing our products, including tree-free paper, post-consumer recycled plastic resin, post-consumer recycled cardboard shipping cartons for our Honest.com shipments, surfactants, fluff pulp and other diaper raw materials and palm kernel oil. If the disruptions caused by the COVID-19 pandemic continue for an extended period of time, our ability to meet the demands of our consumers may be materially impacted. For example, government restrictions have limited and may in the future limit the personnel available to receive or ship products at our distribution centers. In addition, the conditions caused by the COVID-19 pandemic may negatively impact collections of accounts receivable, result in reduced orders from retail or digital partners or cause some of our retail customers to go out of business, all of which could adversely affect our business, financial condition, results of operations and prospects. </w:t>
      </w:r>
      <w:r>
        <w:rPr>
          <w:rFonts w:ascii="Times New Roman" w:cs="Times New Roman" w:eastAsia="Times New Roman" w:hAnsi="Times New Roman"/>
          <w:sz w:val="17"/>
          <w:szCs w:val="17"/>
          <w:color w:val="000000"/>
        </w:rPr>
        <w:t>Also, in the third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quarter of 2022, some of our digital and retail customers began to reduce inventory on hand and have changed fulfillment schedules, which has negatively impacted our fulfillment operations and our revenue and is expected to continue to do so in the future. For example, Target implemented a new inventory management system to decrease weeks of supply on hand. Additionally, Amazon is holding fewer weeks of inventory supply on hand, which could impact the consumer experience and ultimate consumption, and has and could continue to negatively impact our results of operations.</w:t>
      </w:r>
    </w:p>
    <w:p>
      <w:pPr>
        <w:spacing w:after="0" w:line="54"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18"/>
          <w:szCs w:val="18"/>
          <w:color w:val="231F20"/>
        </w:rPr>
        <w:t xml:space="preserve">In addition, any depression or recession resulting from the COVID-19 pandemic or other factors may adversely change customer and consumer behavior and demand, including with respect to our products, which could have an adverse effect on our business, financial condition, results of operations and prospects. For example, economic conditions, including inflationary pressures such as price increases in commodity prices, labor costs, input costs and transportation costs have impacted our profit margin and could impact consumer spending decisions to choose lower priced products, particularly as a result of our price increases intended to offset these input costs. </w:t>
      </w:r>
      <w:r>
        <w:rPr>
          <w:rFonts w:ascii="Times New Roman" w:cs="Times New Roman" w:eastAsia="Times New Roman" w:hAnsi="Times New Roman"/>
          <w:sz w:val="18"/>
          <w:szCs w:val="18"/>
          <w:color w:val="000000"/>
        </w:rPr>
        <w:t>We may not be able to increase our prices or productivity sufficient to offset these costs.</w:t>
      </w:r>
      <w:r>
        <w:rPr>
          <w:rFonts w:ascii="Times New Roman" w:cs="Times New Roman" w:eastAsia="Times New Roman" w:hAnsi="Times New Roman"/>
          <w:sz w:val="18"/>
          <w:szCs w:val="18"/>
          <w:color w:val="231F20"/>
        </w:rPr>
        <w:t xml:space="preserve"> Our Digital channel has been negatively impacted in recent periods as consumers return to in-store shopping and our Retail channel may be impacted if governments continue to implement regional business closures, quarantines, travel restrictions and other social distancing directives to slow the spread of the COVID-19 virus. Further, to the extent our third-party ecommerce or retail customers’ operations are negatively impacted by the COVID-19 pandemic or other macroeconomic trends, our consumers may reduce demand for or spending on our products, or consumers or ecommerce or retail customers may delay payments to us or request payment or other concessions. There may also be significant reductions or volatility in consumer demand for our products due to travel restrictions or social distancing directives, as well as the temporary inability of consumers to purchase our products due to illness, quarantine or financial hardship, shifts in demand away from one or more of our products, decreased consumer confidence and spending or pantry-loading activity, any of which may negatively impact our business, including as a result of an increased difficulty in planning for operations. For example, based on macro Household and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w:t>
      </w:r>
      <w:r>
        <w:rPr>
          <w:rFonts w:ascii="Times New Roman" w:cs="Times New Roman" w:eastAsia="Times New Roman" w:hAnsi="Times New Roman"/>
          <w:sz w:val="18"/>
          <w:szCs w:val="18"/>
          <w:color w:val="000000"/>
        </w:rPr>
        <w:t>$0.8 million during the nine months ended September 30, 2022 and</w:t>
      </w:r>
      <w:r>
        <w:rPr>
          <w:rFonts w:ascii="Times New Roman" w:cs="Times New Roman" w:eastAsia="Times New Roman" w:hAnsi="Times New Roman"/>
          <w:sz w:val="18"/>
          <w:szCs w:val="18"/>
          <w:color w:val="231F20"/>
        </w:rPr>
        <w:t xml:space="preserve"> $5.6 million for the year ended December 31, 2021 relating to certain sanitization and disinfecting products as the amount of inventory was significantly in excess of existing demand, and we may record inventory write-offs in the future. Additionally, we may be unable to effectively modify our trade promotion and advertising activities to reflect changing consumer viewing and shopping habits due to event cancellations, reduced in-store visits and travel restrictions,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3" w:name="page44"/>
    <w:bookmarkEnd w:id="43"/>
    <w:p>
      <w:pPr>
        <w:ind w:right="180" w:firstLine="648"/>
        <w:spacing w:after="0" w:line="256" w:lineRule="auto"/>
        <w:rPr>
          <w:sz w:val="20"/>
          <w:szCs w:val="20"/>
          <w:color w:val="auto"/>
        </w:rPr>
      </w:pPr>
      <w:r>
        <w:rPr>
          <w:rFonts w:ascii="Times New Roman" w:cs="Times New Roman" w:eastAsia="Times New Roman" w:hAnsi="Times New Roman"/>
          <w:sz w:val="18"/>
          <w:szCs w:val="18"/>
          <w:color w:val="231F20"/>
        </w:rPr>
        <w:t>The extent of the COVID-19 pandemic’s effect on our operational and financial performance will depend on future developments, including the duration and intensity of the COVID-19 pandemic and the impact of any new variants of COVID-19, all of which are uncertain and difficult to predict considering the rapidly evolving landscape. As a result, it is not currently possible to ascertain the overall impact of the COVID-19 pandemic on our business. However, if the pandemic continues to persist as a severe worldwide health crisis, the pandemic could continue to have an adverse effect on our business, financial condition, results of operations and prospects, and may also have the effect of heightening many of the other risks described in this “Risk Factors” section.</w:t>
      </w:r>
    </w:p>
    <w:p>
      <w:pPr>
        <w:spacing w:after="0" w:line="19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0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do not own or operate any manufacturing facilities. We use multiple third-party suppliers and manufacturers based primarily in the United States, China and Mexico and other countries to a lesser extent, to source, manufacture and partner with us for the innovation of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manufacture and to partner in innovation of our products may be affected by raw material availability and prices, competing orders placed by other companies and the demands of those companies.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respectively, that those hurdles had been met. In addition, in the third quarter of 2022, we received requests from the same two third-party manufacturers to renegotiate purchase costs due to continued increases in raw material costs. As a result, we negotiated and agreed to higher purchase prices which will negatively impact our cost of goods in 2022 and we expect higher purchase prices in 2023, which will negatively impact our cost of goods in 2023, which we may not be able to offset with price increases.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198" w:lineRule="exact"/>
        <w:rPr>
          <w:sz w:val="20"/>
          <w:szCs w:val="20"/>
          <w:color w:val="auto"/>
        </w:rPr>
      </w:pPr>
    </w:p>
    <w:p>
      <w:pPr>
        <w:ind w:right="280"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addition, quality control problems, such as the use of materials and delivery of products that do not meet our quality control standards and specifications or comply with applicable laws or regulations, could harm our brand and business or cause consumer dissatisfaction. For example, as disinfecting and sanitization products have faced supply chain challenges, decelerating market demand and aging and slower turning inventory, we have received some product quality complaints from customers and consumers that have resulted and may in the future result in additional refunds, returns, write-offs and remediation costs. Remediation costs would be significant, including the cost to rework a product to be in sellable condition or the cost to destroy a product that cannot be remediated, and while immaterial as of September 30, 2022, it </w:t>
      </w:r>
      <w:r>
        <w:rPr>
          <w:rFonts w:ascii="Times New Roman" w:cs="Times New Roman" w:eastAsia="Times New Roman" w:hAnsi="Times New Roman"/>
          <w:sz w:val="18"/>
          <w:szCs w:val="18"/>
          <w:color w:val="231F20"/>
        </w:rPr>
        <w:t>could have an adverse effect on our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condition and results of operations. </w:t>
      </w:r>
      <w:r>
        <w:rPr>
          <w:rFonts w:ascii="Times New Roman" w:cs="Times New Roman" w:eastAsia="Times New Roman" w:hAnsi="Times New Roman"/>
          <w:sz w:val="18"/>
          <w:szCs w:val="18"/>
          <w:color w:val="000000"/>
        </w:rPr>
        <w:t>Quality control problems could result in regulatory action, such as restrictions on importation, products of inferior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quality or product stock outages or shortages, harming our sales and creating inventory write-downs for unusable products.</w:t>
      </w:r>
    </w:p>
    <w:p>
      <w:pPr>
        <w:spacing w:after="0" w:line="21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customers, and upon expiration of these existing agreements, we may not be able to renegotiate the terms on a commercially reasonable basis, or at all.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our third-party manufacturers, suppliers and retail and ecommerce customers may:</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contrary to our instructions, requests, policies or objectives;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financial difficulties;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raw material or labor shortages;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increases in raw material or labor costs which may affect our procurement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with proper payment of custom duties or excise taxes;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confidential information or intellectual property to competitors or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activities or employ practices that may harm our reputation;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be acquired by, or come under control of, our competitors.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could be harmed if we are unable to accurately forecast demand for our products.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To ensure adequate inventory supply, we must forecast inventory needs and place orders with our third-party manufacturers before firm orders are placed by our consumers or our retail and third-party ecommerce customers. If we fail to accurately forecast consumer and customer demand, we may experience excess inventory levels or a shortage of products to deliver to our consumers and customers. Factors that could affect our ability to accurately forecast demand for our products include: an unanticipated increase or decrease in consumer demand for our products, in particular due to rising consumer uncertainty in the current macroeconomic environment; our failure to accurately forecast acceptance for our new products; product introductions by competitors; unanticipated changes in general market conditions or other factors, which may result in cancellations of advance orders or a reduction or increase in the rate of reorders or at-once orders placed by retailers or the timing of their orders; the impact on demand due to unseasonable weather conditions; weakening of economic conditions or consumer or customer confidence in future economic conditions, which could reduce demand for discretionary items, such as our products; and terrorism or acts of war, or the threat thereof, or political or labor instability or unrest, which could adversely affect consumer or customer confidence and spending or interrupt production and distribution of product and raw materials. For example, we periodically participate in </w:t>
      </w:r>
      <w:r>
        <w:rPr>
          <w:rFonts w:ascii="Times New Roman" w:cs="Times New Roman" w:eastAsia="Times New Roman" w:hAnsi="Times New Roman"/>
          <w:sz w:val="18"/>
          <w:szCs w:val="18"/>
          <w:color w:val="000000"/>
        </w:rPr>
        <w:t>non-recurring retail rotational programs, including a key club retailer rotational program that was not renewed in 2022, and key retailer-specific programs or other customer test programs, which might not be successful or continue long-term, including a rotational program at Costco that has not been renewed for 2023, which could make forecasting demand for products in these programs challenging. Also, in the third quarter of 2022, some of our digital and retail customers began to reduce inventory on hand and have changed fulfillment schedules, which has negatively impacted our fulfillment operations and our revenue and is expected to continue to do so in the future. For example, Target implemented a new inventory management system to decrease weeks of supply on hand. Additionally, Amazon is holding fewer weeks of inventory supply on hand, which could impact the consumer experience and ultimate consumption, and has and could continue to negatively impact our results of operations.</w:t>
      </w:r>
    </w:p>
    <w:p>
      <w:pPr>
        <w:spacing w:after="0" w:line="21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Inventory levels in excess of consumer or customer demand have resulted and may result in inventory write-downs or write-offs and the sale of excess inventory at discounted prices or in less preferred distribution channels, which could impair our brand image and harm our business. For example, based on macro Household and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w:t>
      </w:r>
      <w:r>
        <w:rPr>
          <w:rFonts w:ascii="Times New Roman" w:cs="Times New Roman" w:eastAsia="Times New Roman" w:hAnsi="Times New Roman"/>
          <w:sz w:val="18"/>
          <w:szCs w:val="18"/>
          <w:color w:val="000000"/>
        </w:rPr>
        <w:t>$0.8 million during the nine months ended September 30, 2022 and</w:t>
      </w:r>
      <w:r>
        <w:rPr>
          <w:rFonts w:ascii="Times New Roman" w:cs="Times New Roman" w:eastAsia="Times New Roman" w:hAnsi="Times New Roman"/>
          <w:sz w:val="18"/>
          <w:szCs w:val="18"/>
          <w:color w:val="231F20"/>
        </w:rPr>
        <w:t xml:space="preserve"> $5.6 million for the year ended December 31, 2021 relating to certain sanitization and disinfecting products as the amount of inventory was significantly in excess of existing demand, and we may record inventory write-offs in the future. For example, d</w:t>
      </w:r>
      <w:r>
        <w:rPr>
          <w:rFonts w:ascii="Times New Roman" w:cs="Times New Roman" w:eastAsia="Times New Roman" w:hAnsi="Times New Roman"/>
          <w:sz w:val="18"/>
          <w:szCs w:val="18"/>
          <w:color w:val="000000"/>
        </w:rPr>
        <w:t>uring the three months ended September 30, 2022, we donated $1.5 million of excess sanitization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products. </w:t>
      </w:r>
      <w:r>
        <w:rPr>
          <w:rFonts w:ascii="Times New Roman" w:cs="Times New Roman" w:eastAsia="Times New Roman" w:hAnsi="Times New Roman"/>
          <w:sz w:val="18"/>
          <w:szCs w:val="18"/>
          <w:color w:val="231F20"/>
        </w:rPr>
        <w:t>In addition, if we underestimate the demand for our products, our third-party manufacturers may not be able to produce products to meet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consumer or customer requirements, and this could result in delays in the shipment of our products and our ability to recognize revenue, lost sales, as well as damage to our reputation and retailer and distributor relationships. For example, t</w:t>
      </w:r>
      <w:r>
        <w:rPr>
          <w:rFonts w:ascii="Times New Roman" w:cs="Times New Roman" w:eastAsia="Times New Roman" w:hAnsi="Times New Roman"/>
          <w:sz w:val="18"/>
          <w:szCs w:val="18"/>
          <w:color w:val="000000"/>
        </w:rPr>
        <w:t>he out-of-stock inventory due to supply chain disruptions has been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significant on several key items, particularly in our Skin and Personal Care and Diapers and Wipes product categories.</w:t>
      </w:r>
    </w:p>
    <w:p>
      <w:pPr>
        <w:spacing w:after="0" w:line="23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231F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results of operations and prospects.</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expend resources to maintain consumer awareness of our brand, build brand loyalty and generate interest in our products. Our marketing strategies and channels will evolve and our efforts may or may not be successful.</w:t>
      </w:r>
    </w:p>
    <w:p>
      <w:pPr>
        <w:spacing w:after="0" w:line="186"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231F20"/>
        </w:rPr>
        <w:t>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Additionally, we may choose to change one of our marketing or advertising partners, which may prove to be unsuccessful. Substantial advertising and promotional expenditures may be required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Further, social media platforms frequently change the algorithms that determine the ranking and display of results of a user’s search and may make other changes to the way results are displayed, which may</w:t>
      </w:r>
    </w:p>
    <w:p>
      <w:pPr>
        <w:sectPr>
          <w:pgSz w:w="11900" w:h="16838" w:orient="portrait"/>
          <w:cols w:equalWidth="0" w:num="1">
            <w:col w:w="11180"/>
          </w:cols>
          <w:pgMar w:left="320" w:top="87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type w:val="continuous"/>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231F20"/>
        </w:rPr>
        <w:t>negatively affect the placement of our links. Moreover, social media platforms and other digital advertising platforms have increased the costs of digital advertising which has made such marketing less cost effective and reduced the number of visits to our website and social media channels. In addition, social media platforms typically require compliance with their policies and procedures, which may be subject to change or new interpretation with limited ability to negotiate, which could negatively impact our marketing capabilities. If we are unable to maintain and promote a favorable perception of our brand and products on a cost-effective basis, our business, financial condition, results of operations and prospects could be adversely affected.</w:t>
      </w:r>
    </w:p>
    <w:p>
      <w:pPr>
        <w:spacing w:after="0" w:line="58"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8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respectively, that those hurdles had been met. In addition, in the third quarter of 2022, we received requests from the same two third-party manufacturers to renegotiate purchase costs due to continued increases in raw material costs. As a result, we negotiated and agreed to higher purchase prices which will negatively impact our cost of goods in 2022 and we expect higher purchase prices in 2023, which will negatively impact our cost of goods in 2023, which we may not be able to offset with price increases. We have also continued to experience record-high freight and shipping costs. As we expand into new categories and product types, we expect that we may not have strong purchasing power in these new areas, which could lead to higher costs than we have historically seen in our current categories. We may also be limited in our ability to pass increased costs on to consumers,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216"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brand or reputation could be harmed if customers or consumers and potential consumers believe that our products do not meet their expectations, are not properly labeled or are damaged.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w:t>
      </w:r>
    </w:p>
    <w:p>
      <w:pPr>
        <w:spacing w:after="0" w:line="21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7"/>
          <w:szCs w:val="17"/>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For example, Valor Brands LLC (dba Ontex North America), or Ontex, which manufactures and supplies certain diaper products for us, have opened a new manufacturing facility in North Carolina and its new facility may not be able to manufacture our diapers in a timely, cost-effective manner or meet our quality standards. In addition, we do not maintain long-term supply contracts with many of our suppliers and these suppliers could discontinue selling to us at any time. However, we have a long-term supply agreement with Ontex for the manufacture and supply of certain diaper products. The current term of the supply agreement with Ontex ends on December 31, 2023. In addition, our agreement with Ontex provides that Ontex will be our exclusive supplier of diaper and training pant products so long as Ontex is able to provide us such products. Either party may terminate the agreement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as a result of the COVID-19 pandemic or otherwise,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w:t>
      </w:r>
    </w:p>
    <w:p>
      <w:pPr>
        <w:spacing w:after="0" w:line="21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as a result of the COVID-19 pandemic or otherwise,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principal suppliers currently provide us with certain incentives such as volume purchasing, trade discounts, cooperative advertising and market development funds. A reduction or discontinuance of these incentives would increase our costs and could reduce our ability to achieve or maintain profitability. Similarly, if one or more of our suppliers were to offer these incentives, including preferential pricing, to our competitors, our competitive advantage would be reduced, which could have an adverse effect on our business, financial condition, results of operations and prospects.</w:t>
      </w:r>
    </w:p>
    <w:p>
      <w:pPr>
        <w:spacing w:after="0" w:line="208"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In addition, we have warehouse fulfillment centers located in Las Vegas, Nevada, Breinigsville, Pennsylvania and the Netherlands, all of which are managed by a single distribution partner, GEODIS Logistics LLC, or GEODIS. We have an agreement with GEODIS pursuant to which GEODIS provides warehousing, distribution and fulfillment services to us. Our agreement with GEODIS may be terminated for any reason by us or by GEODIS on delivery of prior written notice, and is renewable on an annual basis. If the agreement with GEODIS is terminated, is not renewed or if one fulfillment center is consolidated into another warehouse fulfillment center or if GEODIS becomes insolvent, ceases or significantly reduces its operations or experiences financial distress, as a result of the COVID-19 pandemic or otherwise,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 For example, we are negotiating the renewal of our agreement with GEODIS for services at our Las Vegas, Breinigsville and Netherlands fulfillment centers. If we are not successful negotiating that renewal, our business, financial condition, results of operations and prospects could be adversely affected. As part of these negotiations GEODIS may pass on increased service and inflation related costs to us, including warehouse labor cost, which would negatively impact our cost of revenue.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international business uncertainties.</w:t>
      </w:r>
    </w:p>
    <w:p>
      <w:pPr>
        <w:spacing w:after="0" w:line="2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In 2021, international sales represented 2% of total revenue and part of our strategy is to accelerate growth outside of the United States. In addition, our business relies on third-party suppliers and manufacturers located in China, Mexico, and certain other foreign countries. We intend to continue to sell to consumers outside the United States and maintain our relationships in China, Mexico, and other foreign countries where we have suppliers and manufacturers. Further, we may establish additional relationships in other countries to grow our operations.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territories. We cannot be assured that our international efforts will be successful. International sales and increased international operations may be subject to risks such as:</w:t>
      </w:r>
    </w:p>
    <w:p>
      <w:pPr>
        <w:spacing w:after="0" w:line="97"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difficulties in staffing and managing foreign operations and geographically dispersed operations;</w:t>
      </w:r>
    </w:p>
    <w:p>
      <w:pPr>
        <w:spacing w:after="0" w:line="107" w:lineRule="exact"/>
        <w:rPr>
          <w:rFonts w:ascii="Times New Roman" w:cs="Times New Roman" w:eastAsia="Times New Roman" w:hAnsi="Times New Roman"/>
          <w:sz w:val="20"/>
          <w:szCs w:val="20"/>
          <w:color w:val="auto"/>
        </w:rPr>
      </w:pPr>
    </w:p>
    <w:p>
      <w:pPr>
        <w:ind w:left="660" w:right="500" w:hanging="328"/>
        <w:spacing w:after="0" w:line="271"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burdens of complying with a wide variety of laws and regulations, including more stringent regulations relating to data privacy and security, particularly in the European Union;</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adverse tax effects and foreign exchange controls making it difficult to repatriate earnings and cash;</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political and economic instability;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terrorist activities and natural disasters;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trade restrictions;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differing employment practices and laws and labor disruptions;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imposition of government controls;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 inability to use or to obtain adequate intellectual property protection for our brand and key products;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difficulties in enforcing contracts and legal decisions;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tariffs and customs duties and the classifications of our goods by applicable governmental bodies;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 legal system subject to undue influence or corruption;</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 business culture in which illegal sales practices may be prevalent;</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logistics and sourcing;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military conflicts.</w:t>
      </w:r>
    </w:p>
    <w:p>
      <w:pPr>
        <w:spacing w:after="0" w:line="10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231F20"/>
        </w:rPr>
        <w:t>The occurrence of any of these risks could have an adverse effect on our international business and consequently our overall business, financial condition, results of operations and prospects.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47" w:name="page48"/>
    <w:bookmarkEnd w:id="47"/>
    <w:p>
      <w:pPr>
        <w:ind w:firstLine="648"/>
        <w:spacing w:after="0" w:line="236" w:lineRule="auto"/>
        <w:rPr>
          <w:sz w:val="20"/>
          <w:szCs w:val="20"/>
          <w:color w:val="auto"/>
        </w:rPr>
      </w:pPr>
      <w:r>
        <w:rPr>
          <w:rFonts w:ascii="Times New Roman" w:cs="Times New Roman" w:eastAsia="Times New Roman" w:hAnsi="Times New Roman"/>
          <w:sz w:val="18"/>
          <w:szCs w:val="18"/>
          <w:color w:val="auto"/>
        </w:rPr>
        <w:t>In addition, following Russia’s military invasion of Ukraine in February 2022, the United States, European Union, and other nations announced various sanctions against Russia and Belarus.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and supply chains, any or all of which could adversely affect our business, financial condition, results of operations and prospects. For example, although we don't rely directly on Russia for oil supplies, the suppliers we do source oil from could pass on price increases to us, as a result of the overall increase in oil prices. In addition, Russia's invasion of Ukraine has impacted the availability of sunflower seed oil and its derivatives, which are used in a number of our Skin and Personal Care products, and has resulted in heightened demand for replacement ingredients, such as palm kernel oil, which have availability constraints or are subject to trade restrictions. While we believe we have supply assurances or alternate sources of supply for both sunflower seed oil, its derivatives and palm kernel oil, additional market availability constraints of these raw materials could have an adverse effect on our business, financial condition, results of operations and prospects. Additionally, Russia's military invasion has increased the cost of energy in the European Union, which has impacted the cost of raw material component parts from our European Union manufacturers, including the cost of fluff-pulp, a key ingredient in the manufacturing of our diapers. These price increases have led to additional price increase requests from our manufacturers on our diapers, which could lead to additional price increases from us and negatively impact consumer demand. We may also have to seek a raw material replacement, which could impact the timing of new innovation.</w:t>
      </w:r>
    </w:p>
    <w:p>
      <w:pPr>
        <w:spacing w:after="0" w:line="211"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Consolidation of retail customers, the loss of a significant retail or third-party ecommerce customer or a significant change in such customer's historical purchasing patterns could negatively impact our sales and ability to achieve or maintain profitability.</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omnichannel strategy includes selling our products through third-party ecommerce and retail customers (including their websites), which have been undergoing consolidation in recent years. This consolidation has produced larger, more sophisticated organizations with increased negotiating and buying power that are able to resist price increases, demand higher levels of marketing and promotional support, operate with lower inventories, decrease the number of brands that they carry and increase their emphasis on private label products, all of which could negatively impact our business.</w:t>
      </w:r>
    </w:p>
    <w:p>
      <w:pPr>
        <w:spacing w:after="0" w:line="208"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We sell products to Target and Amazon under each of their standard vendor agreements. Our vendor agreements with Target and Amazon do not include a term or duration as sales under each vendor agreement are generally made on a purchase order basis. Our vendor agreement with Amazon provides that either party may terminate the agreement with 60 days’ prior written notice, provided that we are required to fulfill any purchase orders that we accept before the effective date of termination. Our vendor agreement with Target does not include any termination provisions. The loss of Target and Amazon or any other large customer, the reduction of purchasing levels or the cancellation of any business from Target and Amazon or any other large customer for an extended length of time could negatively impact our sales and ability to achieve or maintain profitability. For example, Target implemented a new inventory management system to decrease weeks of supply on hand. Additionally, Amazon is holding fewer weeks of inventory supply on hand, which could impact the consumer experience and ultimate consumption, and has and could continue to negatively impact our results of operations.</w:t>
      </w:r>
    </w:p>
    <w:p>
      <w:pPr>
        <w:spacing w:after="0" w:line="19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 third-party ecommerce or retail customers may take actions that affect us for reasons that we cannot always anticipate or control, such as their financial condition, changes in their business strategy or operations, the introduction of competing products or the perceived quality of our products. In the second quarter of 2021, we experienced volatility in orders from a key digital customer that reduced its inventory on-hand in consumables to free up space for other products ahead of a major promotional event. Despite operating in different channel segments, our third-party ecommerce and retail customers sometimes compete for the same consumers. Because of actual or perceived conflicts resulting from this competition, third-party ecommerce or retail customers may take actions that negatively affect us. Consequently, our financial results may fluctuate significantly from period to period based on the actions of one or more significant third-party ecommerce or retail customers.</w:t>
      </w:r>
    </w:p>
    <w:p>
      <w:pPr>
        <w:spacing w:after="0" w:line="212"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maintain, scale and upgrade our information technology systems, and our failure to do so could have an adverse effect on our business, financial condition, results of operations and prospects.</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have identified the need to significantly expand, scale and improve our information technology systems and personnel to support recent and expected future growth. As such, we are in the process of implementing, and will continue to invest in and implement, significant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to leverage our Retail channel or fulfill customer orders, potential disruption of our internal control structure, substantial capital expenditures, additional administration and operating expenses, the need to acquire and retain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48" w:name="page49"/>
    <w:bookmarkEnd w:id="48"/>
    <w:p>
      <w:pPr>
        <w:spacing w:after="0" w:line="245" w:lineRule="auto"/>
        <w:rPr>
          <w:sz w:val="20"/>
          <w:szCs w:val="20"/>
          <w:color w:val="auto"/>
        </w:rPr>
      </w:pPr>
      <w:r>
        <w:rPr>
          <w:rFonts w:ascii="Times New Roman" w:cs="Times New Roman" w:eastAsia="Times New Roman" w:hAnsi="Times New Roman"/>
          <w:sz w:val="18"/>
          <w:szCs w:val="18"/>
          <w:color w:val="auto"/>
        </w:rPr>
        <w:t>modify our information systems to respond to changes in our business needs may cause disruptions in our business operations and could have an adverse effect on our business, financial condition, results of operations and prospects. For example, we recently replaced our order management system. If we experience any difficulties with this new system, we may encounter problems with fulfilling customer orders, which could have an adverse effect on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56"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1226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6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36830</wp:posOffset>
            </wp:positionV>
            <wp:extent cx="57689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Amended and Restated Articles of Incorporation, as currently in effect (incorporated herein by reference to Exhibit 3.1 to the Company’s Current Report on Form 8-K (File No. 001-40378), filed with the SEC on May 11, 2021).</w:t>
      </w:r>
    </w:p>
    <w:p>
      <w:pPr>
        <w:ind w:right="440"/>
        <w:spacing w:after="0" w:line="266" w:lineRule="auto"/>
        <w:rPr>
          <w:sz w:val="20"/>
          <w:szCs w:val="20"/>
          <w:color w:val="auto"/>
        </w:rPr>
      </w:pPr>
      <w:r>
        <w:rPr>
          <w:rFonts w:ascii="Times New Roman" w:cs="Times New Roman" w:eastAsia="Times New Roman" w:hAnsi="Times New Roman"/>
          <w:sz w:val="18"/>
          <w:szCs w:val="18"/>
          <w:color w:val="auto"/>
        </w:rPr>
        <w:t>Amended and Restated Bylaws, as currently in effect (incorporated herein by reference to Exhibit 3.2 to the Company’s Current Report on Form 8-K (File No. 001-40378), filed with the SEC on May 11, 2021).</w:t>
      </w:r>
    </w:p>
    <w:p>
      <w:pPr>
        <w:spacing w:after="0" w:line="1" w:lineRule="exact"/>
        <w:rPr>
          <w:sz w:val="20"/>
          <w:szCs w:val="20"/>
          <w:color w:val="auto"/>
        </w:rPr>
      </w:pPr>
    </w:p>
    <w:p>
      <w:pPr>
        <w:sectPr>
          <w:pgSz w:w="11900" w:h="16838" w:orient="portrait"/>
          <w:cols w:equalWidth="0" w:num="2">
            <w:col w:w="1520" w:space="660"/>
            <w:col w:w="9040"/>
          </w:cols>
          <w:pgMar w:left="320" w:top="684"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Amendment Twenty One to the Logistics Services Agreement, dated as of September 2, 2022, by and between the Company</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and Geodis Logistics, LLC.</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9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5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3"/>
                <w:szCs w:val="23"/>
                <w:color w:val="auto"/>
              </w:rPr>
            </w:pPr>
          </w:p>
        </w:tc>
        <w:tc>
          <w:tcPr>
            <w:tcW w:w="9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748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firstLine="8"/>
        <w:spacing w:after="0" w:line="190" w:lineRule="auto"/>
        <w:tabs>
          <w:tab w:leader="none" w:pos="88"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Portions of this exhibit (indicated by asterisks) have been omitted because the registrant has determined that the information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type w:val="continuous"/>
        </w:sectPr>
      </w:pPr>
    </w:p>
    <w:bookmarkStart w:id="50" w:name="page51"/>
    <w:bookmarkEnd w:id="50"/>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7"/>
          <w:szCs w:val="17"/>
          <w:color w:val="auto"/>
        </w:rPr>
        <w:t>By: /s/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Nikolaos Vlahos</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6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7"/>
          <w:szCs w:val="17"/>
          <w:color w:val="auto"/>
        </w:rPr>
        <w:t>By: /s/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Kelly J. Kennedy</w:t>
      </w:r>
    </w:p>
    <w:p>
      <w:pPr>
        <w:spacing w:after="0" w:line="3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p>
      <w:pPr>
        <w:spacing w:after="0" w:line="5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0520"/>
          </w:cols>
          <w:pgMar w:left="320" w:top="1008" w:right="10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151515"/>
        </w:rPr>
        <w:t>AMENDMENT TWENTY-ONE TO THE LOGISTICS SERVICES AGREEMENT</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51515"/>
        </w:rPr>
        <w:t xml:space="preserve">This </w:t>
      </w:r>
      <w:r>
        <w:rPr>
          <w:rFonts w:ascii="Times New Roman" w:cs="Times New Roman" w:eastAsia="Times New Roman" w:hAnsi="Times New Roman"/>
          <w:sz w:val="20"/>
          <w:szCs w:val="20"/>
          <w:b w:val="1"/>
          <w:bCs w:val="1"/>
          <w:color w:val="151515"/>
        </w:rPr>
        <w:t>AMENDMENT TWENTY-ONE TO THE LOGISTICS SERVICES AGREEMENT</w:t>
      </w:r>
    </w:p>
    <w:p>
      <w:pPr>
        <w:spacing w:after="0" w:line="26" w:lineRule="exact"/>
        <w:rPr>
          <w:sz w:val="20"/>
          <w:szCs w:val="20"/>
          <w:color w:val="auto"/>
        </w:rPr>
      </w:pPr>
    </w:p>
    <w:p>
      <w:pPr>
        <w:ind w:left="80" w:right="180"/>
        <w:spacing w:after="0" w:line="236" w:lineRule="auto"/>
        <w:rPr>
          <w:sz w:val="20"/>
          <w:szCs w:val="20"/>
          <w:color w:val="auto"/>
        </w:rPr>
      </w:pPr>
      <w:r>
        <w:rPr>
          <w:rFonts w:ascii="Times New Roman" w:cs="Times New Roman" w:eastAsia="Times New Roman" w:hAnsi="Times New Roman"/>
          <w:sz w:val="20"/>
          <w:szCs w:val="20"/>
          <w:color w:val="151515"/>
        </w:rPr>
        <w:t>(the “Amendment”), dated as of September 2, 2022, is by and between The Honest Company, Inc. (“CLIENT”) and GEODIS Logistics LLC (“GEODIS”). CLIENT and GEODIS each individually a “Party” and collectively referred to herein as the “Parties.”</w:t>
      </w: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51515"/>
        </w:rPr>
        <w:t>RECITALS:</w:t>
      </w:r>
    </w:p>
    <w:p>
      <w:pPr>
        <w:spacing w:after="0" w:line="233" w:lineRule="exact"/>
        <w:rPr>
          <w:sz w:val="20"/>
          <w:szCs w:val="20"/>
          <w:color w:val="auto"/>
        </w:rPr>
      </w:pPr>
    </w:p>
    <w:p>
      <w:pPr>
        <w:ind w:left="720" w:right="180" w:hanging="318"/>
        <w:spacing w:after="0" w:line="269" w:lineRule="auto"/>
        <w:tabs>
          <w:tab w:leader="none" w:pos="710" w:val="left"/>
        </w:tabs>
        <w:numPr>
          <w:ilvl w:val="0"/>
          <w:numId w:val="28"/>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color w:val="151515"/>
        </w:rPr>
        <w:t>The Parties entered into that certain Logistics Services Agreement dated January 31, 2014, as amended from time-to-time (collectively the “Agreement”);</w:t>
      </w:r>
    </w:p>
    <w:p>
      <w:pPr>
        <w:spacing w:after="0" w:line="186" w:lineRule="exact"/>
        <w:rPr>
          <w:rFonts w:ascii="Times New Roman" w:cs="Times New Roman" w:eastAsia="Times New Roman" w:hAnsi="Times New Roman"/>
          <w:sz w:val="20"/>
          <w:szCs w:val="20"/>
          <w:b w:val="1"/>
          <w:bCs w:val="1"/>
          <w:color w:val="151515"/>
        </w:rPr>
      </w:pPr>
    </w:p>
    <w:p>
      <w:pPr>
        <w:jc w:val="both"/>
        <w:ind w:left="720" w:right="180" w:hanging="318"/>
        <w:spacing w:after="0" w:line="254" w:lineRule="auto"/>
        <w:tabs>
          <w:tab w:leader="none" w:pos="712" w:val="left"/>
        </w:tabs>
        <w:numPr>
          <w:ilvl w:val="0"/>
          <w:numId w:val="28"/>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color w:val="151515"/>
        </w:rPr>
        <w:t>GEODIS currently provides warehousing, distribution, and fulfillment services for CLIENT at the CLIENT-leased facility located at 5550 Donovan Way, North Las Vegas, NV 89081 (the “Las Vegas Facility”) and the Initial Term of services at the Las Vegas Facility is set to expire September 2, 2022, pursuant to Amendment Twenty to the Agreement;</w:t>
      </w:r>
    </w:p>
    <w:p>
      <w:pPr>
        <w:spacing w:after="0" w:line="201" w:lineRule="exact"/>
        <w:rPr>
          <w:rFonts w:ascii="Times New Roman" w:cs="Times New Roman" w:eastAsia="Times New Roman" w:hAnsi="Times New Roman"/>
          <w:sz w:val="20"/>
          <w:szCs w:val="20"/>
          <w:b w:val="1"/>
          <w:bCs w:val="1"/>
          <w:color w:val="151515"/>
        </w:rPr>
      </w:pPr>
    </w:p>
    <w:p>
      <w:pPr>
        <w:jc w:val="both"/>
        <w:ind w:left="720" w:right="180" w:hanging="318"/>
        <w:spacing w:after="0" w:line="247" w:lineRule="auto"/>
        <w:tabs>
          <w:tab w:leader="none" w:pos="710" w:val="left"/>
        </w:tabs>
        <w:numPr>
          <w:ilvl w:val="0"/>
          <w:numId w:val="28"/>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color w:val="151515"/>
        </w:rPr>
        <w:t>GEODIS also provides warehousing, distribution, and fulfillment services for CLIENT at the GEODIS-leased facility located at 651 Boulder Drive, Breinigsville, PA 18031 (the “PA Facility”) and the Initial Term of services at the PA Facility is set to expire February 28, 2023, pursuant to Amendment Eighteen to the Agreement; and</w:t>
      </w:r>
    </w:p>
    <w:p>
      <w:pPr>
        <w:spacing w:after="0" w:line="194" w:lineRule="exact"/>
        <w:rPr>
          <w:rFonts w:ascii="Times New Roman" w:cs="Times New Roman" w:eastAsia="Times New Roman" w:hAnsi="Times New Roman"/>
          <w:sz w:val="20"/>
          <w:szCs w:val="20"/>
          <w:b w:val="1"/>
          <w:bCs w:val="1"/>
          <w:color w:val="151515"/>
        </w:rPr>
      </w:pPr>
    </w:p>
    <w:p>
      <w:pPr>
        <w:ind w:left="720" w:hanging="319"/>
        <w:spacing w:after="0"/>
        <w:tabs>
          <w:tab w:leader="none" w:pos="720" w:val="left"/>
        </w:tabs>
        <w:numPr>
          <w:ilvl w:val="0"/>
          <w:numId w:val="28"/>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color w:val="151515"/>
        </w:rPr>
        <w:t>The Parties desire to amend the Agreement as set forth herein.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151515"/>
        </w:rPr>
        <w:t xml:space="preserve">NOW, THEREFORE, </w:t>
      </w:r>
      <w:r>
        <w:rPr>
          <w:rFonts w:ascii="Times New Roman" w:cs="Times New Roman" w:eastAsia="Times New Roman" w:hAnsi="Times New Roman"/>
          <w:sz w:val="20"/>
          <w:szCs w:val="20"/>
          <w:color w:val="151515"/>
        </w:rPr>
        <w:t>for good and valuable consideration, the receipt and sufficiency of which are hereby acknowledged, the</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151515"/>
        </w:rPr>
        <w:t>Parties agree to amend the Agreement with respect to the Las Vegas Facility and the PA Facility as follows:</w:t>
      </w:r>
    </w:p>
    <w:p>
      <w:pPr>
        <w:spacing w:after="0" w:line="203" w:lineRule="exact"/>
        <w:rPr>
          <w:sz w:val="20"/>
          <w:szCs w:val="20"/>
          <w:color w:val="auto"/>
        </w:rPr>
      </w:pPr>
    </w:p>
    <w:p>
      <w:pPr>
        <w:ind w:left="400" w:hanging="323"/>
        <w:spacing w:after="0"/>
        <w:tabs>
          <w:tab w:leader="none" w:pos="400" w:val="left"/>
        </w:tabs>
        <w:numPr>
          <w:ilvl w:val="0"/>
          <w:numId w:val="29"/>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b w:val="1"/>
          <w:bCs w:val="1"/>
          <w:color w:val="151515"/>
        </w:rPr>
        <w:t>Las Vegas Facility.</w:t>
      </w:r>
    </w:p>
    <w:p>
      <w:pPr>
        <w:spacing w:after="0" w:line="229" w:lineRule="exact"/>
        <w:rPr>
          <w:rFonts w:ascii="Times New Roman" w:cs="Times New Roman" w:eastAsia="Times New Roman" w:hAnsi="Times New Roman"/>
          <w:sz w:val="20"/>
          <w:szCs w:val="20"/>
          <w:b w:val="1"/>
          <w:bCs w:val="1"/>
          <w:color w:val="151515"/>
        </w:rPr>
      </w:pPr>
    </w:p>
    <w:p>
      <w:pPr>
        <w:ind w:left="800" w:right="180" w:hanging="389"/>
        <w:spacing w:after="0" w:line="273" w:lineRule="auto"/>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b w:val="1"/>
          <w:bCs w:val="1"/>
          <w:color w:val="151515"/>
        </w:rPr>
        <w:t>1.1. Extension</w:t>
      </w:r>
      <w:r>
        <w:rPr>
          <w:rFonts w:ascii="Times New Roman" w:cs="Times New Roman" w:eastAsia="Times New Roman" w:hAnsi="Times New Roman"/>
          <w:sz w:val="20"/>
          <w:szCs w:val="20"/>
          <w:color w:val="151515"/>
        </w:rPr>
        <w:t>. The Initial Term of the Agreement, as set forth in Amendment Twenty to the Agreement, is hereby extended from</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September 2, 2022, through December 31, 2022.</w:t>
      </w:r>
    </w:p>
    <w:p>
      <w:pPr>
        <w:spacing w:after="0" w:line="165" w:lineRule="exact"/>
        <w:rPr>
          <w:rFonts w:ascii="Times New Roman" w:cs="Times New Roman" w:eastAsia="Times New Roman" w:hAnsi="Times New Roman"/>
          <w:sz w:val="20"/>
          <w:szCs w:val="20"/>
          <w:b w:val="1"/>
          <w:bCs w:val="1"/>
          <w:color w:val="151515"/>
        </w:rPr>
      </w:pPr>
    </w:p>
    <w:p>
      <w:pPr>
        <w:ind w:left="400" w:hanging="323"/>
        <w:spacing w:after="0"/>
        <w:tabs>
          <w:tab w:leader="none" w:pos="400" w:val="left"/>
        </w:tabs>
        <w:numPr>
          <w:ilvl w:val="0"/>
          <w:numId w:val="29"/>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b w:val="1"/>
          <w:bCs w:val="1"/>
          <w:color w:val="151515"/>
        </w:rPr>
        <w:t>PA Facility.</w:t>
      </w:r>
    </w:p>
    <w:p>
      <w:pPr>
        <w:spacing w:after="0" w:line="229" w:lineRule="exact"/>
        <w:rPr>
          <w:rFonts w:ascii="Times New Roman" w:cs="Times New Roman" w:eastAsia="Times New Roman" w:hAnsi="Times New Roman"/>
          <w:sz w:val="20"/>
          <w:szCs w:val="20"/>
          <w:b w:val="1"/>
          <w:bCs w:val="1"/>
          <w:color w:val="151515"/>
        </w:rPr>
      </w:pPr>
    </w:p>
    <w:p>
      <w:pPr>
        <w:ind w:left="800" w:right="180" w:hanging="389"/>
        <w:spacing w:after="0"/>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b w:val="1"/>
          <w:bCs w:val="1"/>
          <w:color w:val="151515"/>
        </w:rPr>
        <w:t xml:space="preserve">2.1. PA Racking Install. </w:t>
      </w:r>
      <w:r>
        <w:rPr>
          <w:rFonts w:ascii="Times New Roman" w:cs="Times New Roman" w:eastAsia="Times New Roman" w:hAnsi="Times New Roman"/>
          <w:sz w:val="20"/>
          <w:szCs w:val="20"/>
          <w:color w:val="151515"/>
        </w:rPr>
        <w:t>To support the Services at the PA Facility, CLIENT requires additional racking to be installed (which shall</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be CLIENT-owned equipment), and the installation of the racking requires additional IT infrastructure. CLIENT shall pay the costs associated with the rack install up to a maximum of [***] and the costs associated with the additional IT infrastructure up to a maximum of [***]. These amounts will be billed to CLIENT as incurred and shall be due to GEODIS by CLIENT pursuant to Section 5(C) – Invoices and Payment Terms of the Agreement.</w:t>
      </w:r>
    </w:p>
    <w:p>
      <w:pPr>
        <w:spacing w:after="0" w:line="213" w:lineRule="exact"/>
        <w:rPr>
          <w:rFonts w:ascii="Times New Roman" w:cs="Times New Roman" w:eastAsia="Times New Roman" w:hAnsi="Times New Roman"/>
          <w:sz w:val="20"/>
          <w:szCs w:val="20"/>
          <w:b w:val="1"/>
          <w:bCs w:val="1"/>
          <w:color w:val="151515"/>
        </w:rPr>
      </w:pPr>
    </w:p>
    <w:p>
      <w:pPr>
        <w:jc w:val="both"/>
        <w:ind w:left="400" w:right="180" w:hanging="322"/>
        <w:spacing w:after="0" w:line="250" w:lineRule="auto"/>
        <w:tabs>
          <w:tab w:leader="none" w:pos="400" w:val="left"/>
        </w:tabs>
        <w:numPr>
          <w:ilvl w:val="0"/>
          <w:numId w:val="29"/>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b w:val="1"/>
          <w:bCs w:val="1"/>
          <w:color w:val="151515"/>
        </w:rPr>
        <w:t xml:space="preserve">Future Amendment of the Agreement. </w:t>
      </w:r>
      <w:r>
        <w:rPr>
          <w:rFonts w:ascii="Times New Roman" w:cs="Times New Roman" w:eastAsia="Times New Roman" w:hAnsi="Times New Roman"/>
          <w:sz w:val="20"/>
          <w:szCs w:val="20"/>
          <w:color w:val="151515"/>
        </w:rPr>
        <w:t>The Parties shall use their respective good faith efforts to negotiate and enter into a mutually</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acceptable amendment (the “Future Amendment”) to the Agreement which shall extend the Term of the Services at both the Las Vegas Facility and the PA Facility, provide a backstop agreement for the warehouse lease renewal, and address the annual and exceptional review of rates. The Parties will endeavor to complete the Future Amendment on or before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51515"/>
        </w:rPr>
        <w:t xml:space="preserve">Page </w:t>
      </w:r>
      <w:r>
        <w:rPr>
          <w:rFonts w:ascii="Times New Roman" w:cs="Times New Roman" w:eastAsia="Times New Roman" w:hAnsi="Times New Roman"/>
          <w:sz w:val="22"/>
          <w:szCs w:val="22"/>
          <w:b w:val="1"/>
          <w:bCs w:val="1"/>
          <w:color w:val="151515"/>
        </w:rPr>
        <w:t>1</w:t>
      </w:r>
      <w:r>
        <w:rPr>
          <w:rFonts w:ascii="Times New Roman" w:cs="Times New Roman" w:eastAsia="Times New Roman" w:hAnsi="Times New Roman"/>
          <w:sz w:val="22"/>
          <w:szCs w:val="22"/>
          <w:color w:val="151515"/>
        </w:rPr>
        <w:t xml:space="preserve"> of </w:t>
      </w:r>
      <w:r>
        <w:rPr>
          <w:rFonts w:ascii="Times New Roman" w:cs="Times New Roman" w:eastAsia="Times New Roman" w:hAnsi="Times New Roman"/>
          <w:sz w:val="22"/>
          <w:szCs w:val="22"/>
          <w:b w:val="1"/>
          <w:bCs w:val="1"/>
          <w:color w:val="151515"/>
        </w:rPr>
        <w:t>2</w:t>
      </w:r>
    </w:p>
    <w:p>
      <w:pPr>
        <w:sectPr>
          <w:pgSz w:w="11900" w:h="16838" w:orient="portrait"/>
          <w:cols w:equalWidth="0" w:num="1">
            <w:col w:w="11220"/>
          </w:cols>
          <w:pgMar w:left="340" w:top="28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400" w:right="180" w:hanging="322"/>
        <w:spacing w:after="0" w:line="244" w:lineRule="auto"/>
        <w:tabs>
          <w:tab w:leader="none" w:pos="400" w:val="left"/>
        </w:tabs>
        <w:numPr>
          <w:ilvl w:val="0"/>
          <w:numId w:val="30"/>
        </w:numPr>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color w:val="151515"/>
        </w:rPr>
        <w:t>Any capitalized terms not defined herein shall have the meanings set forth in the Agreement and its amendments. Except as provided herein, the Agreement shall remain unchanged and in full force and effect in accordance with its terms. It is specifically understood and agreed that the foregoing shall not be deemed to be a waiver or amendment of any other provision of the Agreement or either Party’s rights or remedies under the Agreement.</w:t>
      </w:r>
    </w:p>
    <w:p>
      <w:pPr>
        <w:spacing w:after="0" w:line="200" w:lineRule="exact"/>
        <w:rPr>
          <w:rFonts w:ascii="Times New Roman" w:cs="Times New Roman" w:eastAsia="Times New Roman" w:hAnsi="Times New Roman"/>
          <w:sz w:val="20"/>
          <w:szCs w:val="20"/>
          <w:b w:val="1"/>
          <w:bCs w:val="1"/>
          <w:color w:val="151515"/>
        </w:rPr>
      </w:pPr>
    </w:p>
    <w:p>
      <w:pPr>
        <w:spacing w:after="0" w:line="200" w:lineRule="exact"/>
        <w:rPr>
          <w:rFonts w:ascii="Times New Roman" w:cs="Times New Roman" w:eastAsia="Times New Roman" w:hAnsi="Times New Roman"/>
          <w:sz w:val="20"/>
          <w:szCs w:val="20"/>
          <w:b w:val="1"/>
          <w:bCs w:val="1"/>
          <w:color w:val="151515"/>
        </w:rPr>
      </w:pPr>
    </w:p>
    <w:p>
      <w:pPr>
        <w:spacing w:after="0" w:line="213" w:lineRule="exact"/>
        <w:rPr>
          <w:rFonts w:ascii="Times New Roman" w:cs="Times New Roman" w:eastAsia="Times New Roman" w:hAnsi="Times New Roman"/>
          <w:sz w:val="20"/>
          <w:szCs w:val="20"/>
          <w:b w:val="1"/>
          <w:bCs w:val="1"/>
          <w:color w:val="151515"/>
        </w:rPr>
      </w:pPr>
    </w:p>
    <w:p>
      <w:pPr>
        <w:ind w:left="400"/>
        <w:spacing w:after="0"/>
        <w:rPr>
          <w:rFonts w:ascii="Times New Roman" w:cs="Times New Roman" w:eastAsia="Times New Roman" w:hAnsi="Times New Roman"/>
          <w:sz w:val="20"/>
          <w:szCs w:val="20"/>
          <w:b w:val="1"/>
          <w:bCs w:val="1"/>
          <w:color w:val="151515"/>
        </w:rPr>
      </w:pPr>
      <w:r>
        <w:rPr>
          <w:rFonts w:ascii="Times New Roman" w:cs="Times New Roman" w:eastAsia="Times New Roman" w:hAnsi="Times New Roman"/>
          <w:sz w:val="20"/>
          <w:szCs w:val="20"/>
          <w:b w:val="1"/>
          <w:bCs w:val="1"/>
          <w:color w:val="151515"/>
        </w:rPr>
        <w:t xml:space="preserve">IN WITNESS WHEREOF, </w:t>
      </w:r>
      <w:r>
        <w:rPr>
          <w:rFonts w:ascii="Times New Roman" w:cs="Times New Roman" w:eastAsia="Times New Roman" w:hAnsi="Times New Roman"/>
          <w:sz w:val="20"/>
          <w:szCs w:val="20"/>
          <w:color w:val="151515"/>
        </w:rPr>
        <w:t>the Parties hereto have executive this Amendment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THE HONEST COMPANY, INC.</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b w:val="1"/>
                <w:bCs w:val="1"/>
                <w:color w:val="auto"/>
                <w:w w:val="98"/>
              </w:rPr>
              <w:t>GEODIS LOGISTICS LLC</w:t>
            </w:r>
          </w:p>
        </w:tc>
      </w:tr>
      <w:tr>
        <w:trPr>
          <w:trHeight w:val="212"/>
        </w:trPr>
        <w:tc>
          <w:tcPr>
            <w:tcW w:w="50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By: /s/ Kelly Kennedy</w:t>
            </w:r>
          </w:p>
        </w:tc>
        <w:tc>
          <w:tcPr>
            <w:tcW w:w="4540" w:type="dxa"/>
            <w:vAlign w:val="bottom"/>
            <w:gridSpan w:val="3"/>
          </w:tcPr>
          <w:p>
            <w:pPr>
              <w:ind w:left="2160"/>
              <w:spacing w:after="0" w:line="212" w:lineRule="exact"/>
              <w:rPr>
                <w:sz w:val="20"/>
                <w:szCs w:val="20"/>
                <w:color w:val="auto"/>
              </w:rPr>
            </w:pPr>
            <w:r>
              <w:rPr>
                <w:rFonts w:ascii="Times New Roman" w:cs="Times New Roman" w:eastAsia="Times New Roman" w:hAnsi="Times New Roman"/>
                <w:sz w:val="20"/>
                <w:szCs w:val="20"/>
                <w:color w:val="auto"/>
              </w:rPr>
              <w:t>By: /s/ Anthony Jordan</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1"/>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Kelly Kennedy</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color w:val="auto"/>
              </w:rPr>
              <w:t>Name: Anthony Jordan</w:t>
            </w:r>
          </w:p>
        </w:tc>
      </w:tr>
      <w:tr>
        <w:trPr>
          <w:trHeight w:val="257"/>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Chief Financial Officer</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color w:val="auto"/>
                <w:w w:val="98"/>
              </w:rPr>
              <w:t>Title: Chief Operating Officer</w:t>
            </w:r>
          </w:p>
        </w:tc>
      </w:tr>
      <w:tr>
        <w:trPr>
          <w:trHeight w:val="258"/>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9/6/2022</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color w:val="auto"/>
              </w:rPr>
              <w:t>Date: 9/6/2022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151515"/>
        </w:rPr>
        <w:t>[Signature Page to Amendment 21 to the LSA]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51515"/>
        </w:rPr>
        <w:t xml:space="preserve">Page </w:t>
      </w:r>
      <w:r>
        <w:rPr>
          <w:rFonts w:ascii="Times New Roman" w:cs="Times New Roman" w:eastAsia="Times New Roman" w:hAnsi="Times New Roman"/>
          <w:sz w:val="22"/>
          <w:szCs w:val="22"/>
          <w:b w:val="1"/>
          <w:bCs w:val="1"/>
          <w:color w:val="151515"/>
        </w:rPr>
        <w:t>2</w:t>
      </w:r>
      <w:r>
        <w:rPr>
          <w:rFonts w:ascii="Times New Roman" w:cs="Times New Roman" w:eastAsia="Times New Roman" w:hAnsi="Times New Roman"/>
          <w:sz w:val="22"/>
          <w:szCs w:val="22"/>
          <w:color w:val="151515"/>
        </w:rPr>
        <w:t xml:space="preserve"> of </w:t>
      </w:r>
      <w:r>
        <w:rPr>
          <w:rFonts w:ascii="Times New Roman" w:cs="Times New Roman" w:eastAsia="Times New Roman" w:hAnsi="Times New Roman"/>
          <w:sz w:val="22"/>
          <w:szCs w:val="22"/>
          <w:b w:val="1"/>
          <w:bCs w:val="1"/>
          <w:color w:val="151515"/>
        </w:rPr>
        <w:t>2</w:t>
      </w:r>
    </w:p>
    <w:p>
      <w:pPr>
        <w:sectPr>
          <w:pgSz w:w="11900" w:h="16838" w:orient="portrait"/>
          <w:cols w:equalWidth="0" w:num="1">
            <w:col w:w="11220"/>
          </w:cols>
          <w:pgMar w:left="340" w:top="288" w:right="339" w:bottom="1440" w:gutter="0" w:footer="0" w:header="0"/>
        </w:sectPr>
      </w:pPr>
    </w:p>
    <w:bookmarkStart w:id="53" w:name="page54"/>
    <w:bookmarkEnd w:id="53"/>
    <w:p>
      <w:pPr>
        <w:ind w:left="94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Nikolaos Vlahos, certify that:</w:t>
      </w:r>
    </w:p>
    <w:p>
      <w:pPr>
        <w:spacing w:after="0" w:line="252" w:lineRule="exact"/>
        <w:rPr>
          <w:sz w:val="20"/>
          <w:szCs w:val="20"/>
          <w:color w:val="auto"/>
        </w:rPr>
      </w:pPr>
    </w:p>
    <w:p>
      <w:pPr>
        <w:ind w:left="560" w:hanging="545"/>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52" w:lineRule="exact"/>
        <w:rPr>
          <w:rFonts w:ascii="Times New Roman" w:cs="Times New Roman" w:eastAsia="Times New Roman" w:hAnsi="Times New Roman"/>
          <w:sz w:val="18"/>
          <w:szCs w:val="18"/>
          <w:color w:val="auto"/>
        </w:rPr>
      </w:pPr>
    </w:p>
    <w:p>
      <w:pPr>
        <w:jc w:val="both"/>
        <w:ind w:left="560" w:hanging="545"/>
        <w:spacing w:after="0" w:line="281" w:lineRule="auto"/>
        <w:tabs>
          <w:tab w:leader="none" w:pos="5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Times New Roman" w:cs="Times New Roman" w:eastAsia="Times New Roman" w:hAnsi="Times New Roman"/>
          <w:sz w:val="18"/>
          <w:szCs w:val="18"/>
          <w:color w:val="auto"/>
        </w:rPr>
      </w:pPr>
    </w:p>
    <w:p>
      <w:pPr>
        <w:ind w:left="560" w:right="20" w:hanging="545"/>
        <w:spacing w:after="0" w:line="344" w:lineRule="auto"/>
        <w:tabs>
          <w:tab w:leader="none" w:pos="5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60" w:right="180" w:hanging="545"/>
        <w:spacing w:after="0" w:line="313" w:lineRule="auto"/>
        <w:tabs>
          <w:tab w:leader="none" w:pos="5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100" w:right="160" w:hanging="539"/>
        <w:spacing w:after="0" w:line="281" w:lineRule="auto"/>
        <w:tabs>
          <w:tab w:leader="none" w:pos="109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100" w:hanging="539"/>
        <w:spacing w:after="0"/>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92" w:lineRule="exact"/>
        <w:rPr>
          <w:rFonts w:ascii="Times New Roman" w:cs="Times New Roman" w:eastAsia="Times New Roman" w:hAnsi="Times New Roman"/>
          <w:sz w:val="18"/>
          <w:szCs w:val="18"/>
          <w:color w:val="auto"/>
        </w:rPr>
      </w:pPr>
    </w:p>
    <w:p>
      <w:pPr>
        <w:ind w:left="1100" w:right="120" w:hanging="539"/>
        <w:spacing w:after="0" w:line="376" w:lineRule="auto"/>
        <w:tabs>
          <w:tab w:leader="none" w:pos="109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8"/>
          <w:szCs w:val="18"/>
          <w:color w:val="auto"/>
        </w:rPr>
      </w:pPr>
    </w:p>
    <w:p>
      <w:pPr>
        <w:ind w:left="1100" w:right="260" w:hanging="539"/>
        <w:spacing w:after="0" w:line="281" w:lineRule="auto"/>
        <w:tabs>
          <w:tab w:leader="none" w:pos="10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4" w:lineRule="exact"/>
        <w:rPr>
          <w:rFonts w:ascii="Times New Roman" w:cs="Times New Roman" w:eastAsia="Times New Roman" w:hAnsi="Times New Roman"/>
          <w:sz w:val="18"/>
          <w:szCs w:val="18"/>
          <w:color w:val="auto"/>
        </w:rPr>
      </w:pPr>
    </w:p>
    <w:p>
      <w:pPr>
        <w:ind w:left="560" w:right="200" w:hanging="545"/>
        <w:spacing w:after="0" w:line="412" w:lineRule="auto"/>
        <w:tabs>
          <w:tab w:leader="none" w:pos="5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1100" w:right="500" w:hanging="539"/>
        <w:spacing w:after="0" w:line="376" w:lineRule="auto"/>
        <w:tabs>
          <w:tab w:leader="none" w:pos="109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00" w:right="200" w:hanging="539"/>
        <w:spacing w:after="0" w:line="313" w:lineRule="auto"/>
        <w:tabs>
          <w:tab w:leader="none" w:pos="10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480" w:val="left"/>
          <w:tab w:leader="none" w:pos="618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Nikolaos Vlahos</w:t>
      </w:r>
    </w:p>
    <w:p>
      <w:pPr>
        <w:spacing w:after="0" w:line="27"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080"/>
          </w:cols>
          <w:pgMar w:left="320" w:top="1413" w:right="4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Kelly J. Kennedy, certify that:</w:t>
      </w:r>
    </w:p>
    <w:p>
      <w:pPr>
        <w:spacing w:after="0" w:line="220" w:lineRule="exact"/>
        <w:rPr>
          <w:sz w:val="20"/>
          <w:szCs w:val="20"/>
          <w:color w:val="auto"/>
        </w:rPr>
      </w:pPr>
    </w:p>
    <w:p>
      <w:pPr>
        <w:ind w:left="1600" w:hanging="656"/>
        <w:spacing w:after="0"/>
        <w:tabs>
          <w:tab w:leader="none" w:pos="1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52" w:lineRule="exact"/>
        <w:rPr>
          <w:rFonts w:ascii="Times New Roman" w:cs="Times New Roman" w:eastAsia="Times New Roman" w:hAnsi="Times New Roman"/>
          <w:sz w:val="18"/>
          <w:szCs w:val="18"/>
          <w:color w:val="auto"/>
        </w:rPr>
      </w:pPr>
    </w:p>
    <w:p>
      <w:pPr>
        <w:jc w:val="both"/>
        <w:ind w:left="300" w:firstLine="644"/>
        <w:spacing w:after="0" w:line="281" w:lineRule="auto"/>
        <w:tabs>
          <w:tab w:leader="none" w:pos="15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Times New Roman" w:cs="Times New Roman" w:eastAsia="Times New Roman" w:hAnsi="Times New Roman"/>
          <w:sz w:val="18"/>
          <w:szCs w:val="18"/>
          <w:color w:val="auto"/>
        </w:rPr>
      </w:pPr>
    </w:p>
    <w:p>
      <w:pPr>
        <w:jc w:val="both"/>
        <w:ind w:left="300" w:right="220" w:firstLine="644"/>
        <w:spacing w:after="0" w:line="328" w:lineRule="auto"/>
        <w:tabs>
          <w:tab w:leader="none" w:pos="15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300" w:right="560" w:firstLine="644"/>
        <w:spacing w:after="0" w:line="313" w:lineRule="auto"/>
        <w:tabs>
          <w:tab w:leader="none" w:pos="15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left="300" w:right="160" w:firstLine="644"/>
        <w:spacing w:after="0" w:line="281" w:lineRule="auto"/>
        <w:tabs>
          <w:tab w:leader="none" w:pos="15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580" w:hanging="636"/>
        <w:spacing w:after="0"/>
        <w:tabs>
          <w:tab w:leader="none" w:pos="1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92" w:lineRule="exact"/>
        <w:rPr>
          <w:rFonts w:ascii="Times New Roman" w:cs="Times New Roman" w:eastAsia="Times New Roman" w:hAnsi="Times New Roman"/>
          <w:sz w:val="18"/>
          <w:szCs w:val="18"/>
          <w:color w:val="auto"/>
        </w:rPr>
      </w:pPr>
    </w:p>
    <w:p>
      <w:pPr>
        <w:jc w:val="both"/>
        <w:ind w:left="300" w:firstLine="644"/>
        <w:spacing w:after="0" w:line="360" w:lineRule="auto"/>
        <w:tabs>
          <w:tab w:leader="none" w:pos="15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300" w:right="280" w:firstLine="644"/>
        <w:spacing w:after="0" w:line="281" w:lineRule="auto"/>
        <w:tabs>
          <w:tab w:leader="none" w:pos="15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5" w:lineRule="exact"/>
        <w:rPr>
          <w:sz w:val="20"/>
          <w:szCs w:val="20"/>
          <w:color w:val="auto"/>
        </w:rPr>
      </w:pPr>
    </w:p>
    <w:p>
      <w:pPr>
        <w:ind w:left="300" w:right="80" w:firstLine="644"/>
        <w:spacing w:after="0" w:line="360" w:lineRule="auto"/>
        <w:tabs>
          <w:tab w:leader="none" w:pos="15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300" w:right="240" w:firstLine="644"/>
        <w:spacing w:after="0" w:line="412" w:lineRule="auto"/>
        <w:tabs>
          <w:tab w:leader="none" w:pos="159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7"/>
          <w:szCs w:val="17"/>
          <w:color w:val="auto"/>
        </w:rPr>
      </w:pPr>
    </w:p>
    <w:p>
      <w:pPr>
        <w:ind w:left="300" w:right="620" w:firstLine="644"/>
        <w:spacing w:after="0" w:line="313" w:lineRule="auto"/>
        <w:tabs>
          <w:tab w:leader="none" w:pos="15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tabs>
          <w:tab w:leader="none" w:pos="4380" w:val="left"/>
          <w:tab w:leader="none" w:pos="508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17145</wp:posOffset>
            </wp:positionV>
            <wp:extent cx="39344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3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Kelly J. Kennedy</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0560"/>
          </w:cols>
          <w:pgMar w:left="680" w:top="1413" w:right="659" w:bottom="1440" w:gutter="0" w:footer="0" w:header="0"/>
        </w:sectPr>
      </w:pPr>
    </w:p>
    <w:bookmarkStart w:id="55" w:name="page56"/>
    <w:bookmarkEnd w:id="55"/>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September 30, 2022 as filed with the Securities and Exchange Commission on the date hereof (the “Report”), I, Nikolaos Vlahos,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560" w:right="400" w:hanging="504"/>
        <w:spacing w:after="0" w:line="282" w:lineRule="auto"/>
        <w:tabs>
          <w:tab w:leader="none" w:pos="5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88"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Nikolaos Vlahos</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September 30, 2022 as filed with the Securities and Exchange Commission on the date hereof (the “Report”), I, Kelly J. Kennedy, Chief Financial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560" w:right="200" w:hanging="504"/>
        <w:spacing w:after="0" w:line="282" w:lineRule="auto"/>
        <w:tabs>
          <w:tab w:leader="none" w:pos="5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88"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Kelly J. Kennedy</w:t>
      </w:r>
    </w:p>
    <w:p>
      <w:pPr>
        <w:spacing w:after="0" w:line="2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1."/>
      <w:numFmt w:val="decimal"/>
      <w:start w:val="4"/>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1."/>
      <w:numFmt w:val="decimal"/>
      <w:start w:val="12"/>
    </w:lvl>
  </w:abstractNum>
  <w:abstractNum w:abstractNumId="16">
    <w:nsid w:val="54E49EB4"/>
    <w:multiLevelType w:val="hybridMultilevel"/>
    <w:lvl w:ilvl="0">
      <w:lvlJc w:val="left"/>
      <w:lvlText w:val="%1."/>
      <w:numFmt w:val="decimal"/>
      <w:start w:val="13"/>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3"/>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upperLetter"/>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4"/>
    </w:lvl>
  </w:abstractNum>
  <w:abstractNum w:abstractNumId="30">
    <w:nsid w:val="614FD4A1"/>
    <w:multiLevelType w:val="hybridMultilevel"/>
    <w:lvl w:ilvl="0">
      <w:lvlJc w:val="left"/>
      <w:lvlText w:val="%1."/>
      <w:numFmt w:val="decimal"/>
      <w:start w:val="1"/>
    </w:lvl>
    <w:lvl w:ilvl="1">
      <w:lvlJc w:val="left"/>
      <w:lvlText w:val="(%2)"/>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1" Type="http://schemas.openxmlformats.org/officeDocument/2006/relationships/hyperlink" Target="https://www.sec.gov/Archives/edgar/data/0001530979/000119312521157761/d488865dex31.htm" TargetMode="External"/><Relationship Id="rId62" Type="http://schemas.openxmlformats.org/officeDocument/2006/relationships/hyperlink" Target="https://www.sec.gov/Archives/edgar/data/0001530979/000119312521157761/d48886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2022-11-10T08:09:17Z</dcterms:created>
  <dcterms:modified xsi:type="dcterms:W3CDTF">2022-11-10T08:09:17Z</dcterms:modified>
</cp:coreProperties>
</file>