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3920" w:right="2000" w:hanging="3887"/>
        <w:spacing w:after="0" w:line="200" w:lineRule="auto"/>
        <w:tabs>
          <w:tab w:leader="none" w:pos="437" w:val="left"/>
        </w:tabs>
        <w:numPr>
          <w:ilvl w:val="0"/>
          <w:numId w:val="1"/>
        </w:numPr>
        <w:rPr>
          <w:rFonts w:ascii="MS PGothic" w:cs="MS PGothic" w:eastAsia="MS PGothic" w:hAnsi="MS PGothic"/>
          <w:sz w:val="40"/>
          <w:szCs w:val="40"/>
          <w:color w:val="auto"/>
          <w:vertAlign w:val="superscript"/>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40" w:hanging="407"/>
        <w:spacing w:after="0"/>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43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191135</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285750</wp:posOffset>
            </wp:positionV>
            <wp:extent cx="1800225"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29210</wp:posOffset>
            </wp:positionV>
            <wp:extent cx="2931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940" w:type="dxa"/>
        <w:tblCellMar>
          <w:top w:w="0" w:type="dxa"/>
          <w:left w:w="0" w:type="dxa"/>
          <w:bottom w:w="0" w:type="dxa"/>
          <w:right w:w="0" w:type="dxa"/>
        </w:tblCellMar>
      </w:tblPr>
      <w:tr>
        <w:trPr>
          <w:trHeight w:val="238"/>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90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rPr>
              <w:t>(I.R.S. Employer</w:t>
            </w:r>
          </w:p>
        </w:tc>
      </w:tr>
      <w:tr>
        <w:trPr>
          <w:trHeight w:val="24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63"/>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12130 Millennium Drive, #500</w:t>
            </w:r>
          </w:p>
        </w:tc>
        <w:tc>
          <w:tcPr>
            <w:tcW w:w="590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590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5900" w:type="dxa"/>
            <w:vAlign w:val="bottom"/>
          </w:tcPr>
          <w:p>
            <w:pPr>
              <w:jc w:val="center"/>
              <w:ind w:left="4595"/>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263"/>
        </w:trPr>
        <w:tc>
          <w:tcPr>
            <w:tcW w:w="276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w w:val="99"/>
              </w:rPr>
              <w:t>(888) 862-8818</w:t>
            </w:r>
          </w:p>
        </w:tc>
      </w:tr>
      <w:tr>
        <w:trPr>
          <w:trHeight w:val="250"/>
        </w:trPr>
        <w:tc>
          <w:tcPr>
            <w:tcW w:w="2760" w:type="dxa"/>
            <w:vAlign w:val="bottom"/>
          </w:tcPr>
          <w:p>
            <w:pPr>
              <w:spacing w:after="0"/>
              <w:rPr>
                <w:sz w:val="21"/>
                <w:szCs w:val="21"/>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63"/>
        </w:trPr>
        <w:tc>
          <w:tcPr>
            <w:tcW w:w="2760" w:type="dxa"/>
            <w:vAlign w:val="bottom"/>
          </w:tcPr>
          <w:p>
            <w:pPr>
              <w:spacing w:after="0"/>
              <w:rPr>
                <w:sz w:val="22"/>
                <w:szCs w:val="22"/>
                <w:color w:val="auto"/>
              </w:rPr>
            </w:pPr>
          </w:p>
        </w:tc>
        <w:tc>
          <w:tcPr>
            <w:tcW w:w="5900" w:type="dxa"/>
            <w:vAlign w:val="bottom"/>
          </w:tcPr>
          <w:p>
            <w:pPr>
              <w:jc w:val="center"/>
              <w:ind w:right="1975"/>
              <w:spacing w:after="0"/>
              <w:rPr>
                <w:sz w:val="20"/>
                <w:szCs w:val="20"/>
                <w:color w:val="auto"/>
              </w:rPr>
            </w:pPr>
            <w:r>
              <w:rPr>
                <w:rFonts w:ascii="Times New Roman" w:cs="Times New Roman" w:eastAsia="Times New Roman" w:hAnsi="Times New Roman"/>
                <w:sz w:val="18"/>
                <w:szCs w:val="18"/>
                <w:b w:val="1"/>
                <w:bCs w:val="1"/>
                <w:color w:val="auto"/>
              </w:rPr>
              <w:t>N/A</w:t>
            </w:r>
          </w:p>
        </w:tc>
      </w:tr>
    </w:tbl>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60" w:type="dxa"/>
            <w:vAlign w:val="bottom"/>
          </w:tcPr>
          <w:p>
            <w:pPr>
              <w:spacing w:after="0"/>
              <w:rPr>
                <w:sz w:val="18"/>
                <w:szCs w:val="18"/>
                <w:color w:val="auto"/>
              </w:rPr>
            </w:pPr>
          </w:p>
        </w:tc>
      </w:tr>
      <w:tr>
        <w:trPr>
          <w:trHeight w:val="238"/>
        </w:trPr>
        <w:tc>
          <w:tcPr>
            <w:tcW w:w="4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6"/>
        </w:trPr>
        <w:tc>
          <w:tcPr>
            <w:tcW w:w="44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80" w:type="dxa"/>
            <w:vAlign w:val="bottom"/>
          </w:tcPr>
          <w:p>
            <w:pPr>
              <w:spacing w:after="0"/>
              <w:rPr>
                <w:sz w:val="20"/>
                <w:szCs w:val="20"/>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HNST</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_____________Common Shares____________</w:t>
      </w:r>
    </w:p>
    <w:p>
      <w:pPr>
        <w:spacing w:after="0" w:line="27" w:lineRule="exact"/>
        <w:rPr>
          <w:sz w:val="24"/>
          <w:szCs w:val="24"/>
          <w:color w:val="auto"/>
        </w:rPr>
      </w:pPr>
    </w:p>
    <w:p>
      <w:pPr>
        <w:ind w:right="1840"/>
        <w:spacing w:after="0" w:line="251"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No </w:t>
      </w:r>
      <w:r>
        <w:rPr>
          <w:rFonts w:ascii="MS PGothic" w:cs="MS PGothic" w:eastAsia="MS PGothic" w:hAnsi="MS PGothic"/>
          <w:sz w:val="17"/>
          <w:szCs w:val="17"/>
          <w:color w:val="auto"/>
        </w:rPr>
        <w:t>☒</w:t>
      </w:r>
    </w:p>
    <w:p>
      <w:pPr>
        <w:spacing w:after="0" w:line="1" w:lineRule="exact"/>
        <w:rPr>
          <w:sz w:val="24"/>
          <w:szCs w:val="24"/>
          <w:color w:val="auto"/>
        </w:rPr>
      </w:pPr>
    </w:p>
    <w:p>
      <w:pPr>
        <w:jc w:val="both"/>
        <w:ind w:firstLine="539"/>
        <w:spacing w:after="0" w:line="18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2" w:lineRule="exact"/>
        <w:rPr>
          <w:sz w:val="24"/>
          <w:szCs w:val="24"/>
          <w:color w:val="auto"/>
        </w:rPr>
      </w:pPr>
    </w:p>
    <w:p>
      <w:pPr>
        <w:jc w:val="both"/>
        <w:ind w:firstLine="539"/>
        <w:spacing w:after="0" w:line="1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9" w:lineRule="exact"/>
        <w:rPr>
          <w:sz w:val="24"/>
          <w:szCs w:val="24"/>
          <w:color w:val="auto"/>
        </w:rPr>
      </w:pPr>
    </w:p>
    <w:p>
      <w:pPr>
        <w:jc w:val="both"/>
        <w:ind w:firstLine="539"/>
        <w:spacing w:after="0" w:line="21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97" w:lineRule="exact"/>
        <w:rPr>
          <w:sz w:val="24"/>
          <w:szCs w:val="24"/>
          <w:color w:val="auto"/>
        </w:rPr>
      </w:pPr>
    </w:p>
    <w:p>
      <w:pPr>
        <w:ind w:right="280" w:firstLine="539"/>
        <w:spacing w:after="0" w:line="20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4"/>
          <w:szCs w:val="24"/>
          <w:color w:val="auto"/>
        </w:rPr>
      </w:pPr>
    </w:p>
    <w:p>
      <w:pPr>
        <w:ind w:firstLine="486"/>
        <w:spacing w:after="0" w:line="221"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ectPr>
          <w:pgSz w:w="11900" w:h="16930" w:orient="portrait"/>
          <w:cols w:equalWidth="0" w:num="1">
            <w:col w:w="11240"/>
          </w:cols>
          <w:pgMar w:left="320" w:top="1170"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or issued its audit report. </w:t>
      </w:r>
      <w:r>
        <w:rPr>
          <w:rFonts w:ascii="MS PGothic" w:cs="MS PGothic" w:eastAsia="MS PGothic" w:hAnsi="MS PGothic"/>
          <w:sz w:val="18"/>
          <w:szCs w:val="18"/>
          <w:color w:val="auto"/>
        </w:rPr>
        <w:t>☐</w:t>
      </w:r>
    </w:p>
    <w:p>
      <w:pPr>
        <w:spacing w:after="0" w:line="214" w:lineRule="exact"/>
        <w:rPr>
          <w:sz w:val="20"/>
          <w:szCs w:val="20"/>
          <w:color w:val="auto"/>
        </w:rPr>
      </w:pPr>
    </w:p>
    <w:p>
      <w:pPr>
        <w:ind w:firstLine="486"/>
        <w:spacing w:after="0" w:line="19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 w:right="419" w:bottom="1440" w:gutter="0" w:footer="0" w:header="0"/>
        </w:sectPr>
      </w:pPr>
    </w:p>
    <w:bookmarkStart w:id="2" w:name="page3"/>
    <w:bookmarkEnd w:id="2"/>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7"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7" w:lineRule="exact"/>
        <w:rPr>
          <w:sz w:val="20"/>
          <w:szCs w:val="20"/>
          <w:color w:val="auto"/>
        </w:rPr>
      </w:pPr>
    </w:p>
    <w:p>
      <w:pPr>
        <w:ind w:right="240" w:firstLine="539"/>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shares of common stock held by non-affiliates of the Registrant, based on the closing price of the Registrant’s shares of common stock on the Nasdaq Global Select Market on June 30, 2022, was approximately $188,904,751.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14, 2023, the registrant had 93,345,305 shares of common stock, $0.0001 par value per outstanding.</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24" w:lineRule="exact"/>
        <w:rPr>
          <w:sz w:val="20"/>
          <w:szCs w:val="20"/>
          <w:color w:val="auto"/>
        </w:rPr>
      </w:pPr>
    </w:p>
    <w:p>
      <w:pPr>
        <w:jc w:val="both"/>
        <w:ind w:firstLine="539"/>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6"/>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60" w:type="dxa"/>
            <w:vAlign w:val="bottom"/>
            <w:gridSpan w:val="9"/>
          </w:tcPr>
          <w:p>
            <w:pPr>
              <w:ind w:left="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44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1519FD"/>
                <w:w w:val="92"/>
              </w:rPr>
              <w:t>Part I</w:t>
            </w:r>
          </w:p>
        </w:tc>
        <w:tc>
          <w:tcPr>
            <w:tcW w:w="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0" w:type="dxa"/>
            <w:vAlign w:val="bottom"/>
            <w:vMerge w:val="continue"/>
          </w:tcPr>
          <w:p>
            <w:pPr>
              <w:spacing w:after="0"/>
              <w:rPr>
                <w:sz w:val="14"/>
                <w:szCs w:val="14"/>
                <w:color w:val="auto"/>
              </w:rPr>
            </w:pPr>
          </w:p>
        </w:tc>
        <w:tc>
          <w:tcPr>
            <w:tcW w:w="440" w:type="dxa"/>
            <w:vAlign w:val="bottom"/>
            <w:tcBorders>
              <w:bottom w:val="single" w:sz="8" w:color="1519FD"/>
            </w:tcBorders>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gridSpan w:val="5"/>
          </w:tcPr>
          <w:p>
            <w:pPr>
              <w:jc w:val="right"/>
              <w:ind w:right="20"/>
              <w:spacing w:after="0" w:line="169" w:lineRule="exact"/>
              <w:rPr>
                <w:sz w:val="20"/>
                <w:szCs w:val="20"/>
                <w:color w:val="auto"/>
              </w:rPr>
            </w:pPr>
            <w:r>
              <w:rPr>
                <w:rFonts w:ascii="Times New Roman" w:cs="Times New Roman" w:eastAsia="Times New Roman" w:hAnsi="Times New Roman"/>
                <w:sz w:val="18"/>
                <w:szCs w:val="18"/>
                <w:color w:val="1519FD"/>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1.</w:t>
            </w:r>
          </w:p>
        </w:tc>
        <w:tc>
          <w:tcPr>
            <w:tcW w:w="95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1519FD"/>
              </w:rPr>
              <w:t>Business</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9560" w:type="dxa"/>
            <w:vAlign w:val="bottom"/>
            <w:gridSpan w:val="23"/>
            <w:vMerge w:val="continue"/>
          </w:tcPr>
          <w:p>
            <w:pPr>
              <w:spacing w:after="0"/>
              <w:rPr>
                <w:sz w:val="19"/>
                <w:szCs w:val="19"/>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40" w:type="dxa"/>
            <w:vAlign w:val="bottom"/>
            <w:tcBorders>
              <w:right w:val="single" w:sz="8" w:color="1519FD"/>
            </w:tcBorders>
            <w:shd w:val="clear" w:color="auto" w:fill="1519FD"/>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1519FD"/>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1519FD"/>
              </w:rPr>
              <w:t>1A. Risk Factors</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40" w:type="dxa"/>
            <w:vAlign w:val="bottom"/>
            <w:tcBorders>
              <w:right w:val="single" w:sz="8" w:color="1519FD"/>
            </w:tcBorders>
            <w:shd w:val="clear" w:color="auto" w:fill="1519FD"/>
          </w:tcPr>
          <w:p>
            <w:pPr>
              <w:spacing w:after="0" w:line="20" w:lineRule="exact"/>
              <w:rPr>
                <w:sz w:val="1"/>
                <w:szCs w:val="1"/>
                <w:color w:val="auto"/>
              </w:rPr>
            </w:pPr>
          </w:p>
        </w:tc>
        <w:tc>
          <w:tcPr>
            <w:tcW w:w="700" w:type="dxa"/>
            <w:vAlign w:val="bottom"/>
            <w:gridSpan w:val="2"/>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519FD"/>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380" w:type="dxa"/>
            <w:vAlign w:val="bottom"/>
            <w:tcBorders>
              <w:bottom w:val="single" w:sz="8" w:color="1519FD"/>
            </w:tcBorders>
            <w:gridSpan w:val="12"/>
          </w:tcPr>
          <w:p>
            <w:pPr>
              <w:ind w:left="20"/>
              <w:spacing w:after="0"/>
              <w:rPr>
                <w:sz w:val="20"/>
                <w:szCs w:val="20"/>
                <w:color w:val="auto"/>
              </w:rPr>
            </w:pPr>
            <w:r>
              <w:rPr>
                <w:rFonts w:ascii="Times New Roman" w:cs="Times New Roman" w:eastAsia="Times New Roman" w:hAnsi="Times New Roman"/>
                <w:sz w:val="18"/>
                <w:szCs w:val="18"/>
                <w:color w:val="1519FD"/>
                <w:w w:val="99"/>
              </w:rPr>
              <w:t>1B. Unresolved Staff Comments</w:t>
            </w:r>
          </w:p>
        </w:tc>
        <w:tc>
          <w:tcPr>
            <w:tcW w:w="7420" w:type="dxa"/>
            <w:vAlign w:val="bottom"/>
            <w:gridSpan w:val="1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2.</w:t>
            </w: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1519FD"/>
                <w:w w:val="93"/>
              </w:rPr>
              <w:t>Properties</w:t>
            </w: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700" w:type="dxa"/>
            <w:vAlign w:val="bottom"/>
            <w:tcBorders>
              <w:bottom w:val="single" w:sz="8" w:color="1519FD"/>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3.</w:t>
            </w:r>
          </w:p>
        </w:tc>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1519FD"/>
                <w:w w:val="95"/>
              </w:rPr>
              <w:t>Legal Proceedings</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1300" w:type="dxa"/>
            <w:vAlign w:val="bottom"/>
            <w:tcBorders>
              <w:bottom w:val="single" w:sz="8" w:color="1519FD"/>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4.</w:t>
            </w:r>
          </w:p>
        </w:tc>
        <w:tc>
          <w:tcPr>
            <w:tcW w:w="17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1519FD"/>
                <w:w w:val="97"/>
              </w:rPr>
              <w:t>Mine Safety Disclosures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1740" w:type="dxa"/>
            <w:vAlign w:val="bottom"/>
            <w:tcBorders>
              <w:bottom w:val="single" w:sz="8" w:color="1519FD"/>
            </w:tcBorders>
            <w:gridSpan w:val="8"/>
            <w:vMerge w:val="continue"/>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1519FD"/>
                <w:w w:val="95"/>
              </w:rPr>
              <w:t>Part II</w:t>
            </w: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0" w:type="dxa"/>
            <w:vAlign w:val="bottom"/>
            <w:tcBorders>
              <w:bottom w:val="single" w:sz="8" w:color="1519FD"/>
            </w:tcBorders>
            <w:gridSpan w:val="6"/>
            <w:vMerge w:val="continue"/>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1519FD"/>
                <w:w w:val="99"/>
              </w:rPr>
              <w:t>Item 5. Market for Registrant's Common Equity, Related Stockholder Matters and Issuer Purchases of Equity Securities</w:t>
            </w: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0" w:type="dxa"/>
            <w:vAlign w:val="bottom"/>
            <w:tcBorders>
              <w:bottom w:val="single" w:sz="8" w:color="1519FD"/>
            </w:tcBorders>
            <w:gridSpan w:val="26"/>
            <w:vMerge w:val="continue"/>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6.</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1519FD"/>
                <w:w w:val="93"/>
              </w:rPr>
              <w:t>[ Reserved ]</w:t>
            </w:r>
          </w:p>
        </w:tc>
        <w:tc>
          <w:tcPr>
            <w:tcW w:w="5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840" w:type="dxa"/>
            <w:vAlign w:val="bottom"/>
            <w:tcBorders>
              <w:bottom w:val="single" w:sz="8" w:color="1519FD"/>
            </w:tcBorders>
            <w:gridSpan w:val="3"/>
            <w:vMerge w:val="continue"/>
          </w:tcPr>
          <w:p>
            <w:pPr>
              <w:spacing w:after="0"/>
              <w:rPr>
                <w:sz w:val="20"/>
                <w:szCs w:val="20"/>
                <w:color w:val="auto"/>
              </w:rPr>
            </w:pPr>
          </w:p>
        </w:tc>
        <w:tc>
          <w:tcPr>
            <w:tcW w:w="560" w:type="dxa"/>
            <w:vAlign w:val="bottom"/>
            <w:gridSpan w:val="3"/>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7.</w:t>
            </w:r>
          </w:p>
        </w:tc>
        <w:tc>
          <w:tcPr>
            <w:tcW w:w="64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1519FD"/>
                <w:w w:val="99"/>
              </w:rPr>
              <w:t>Management's Discussion and Analysis of Financial Condition and Results of Operations</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6400" w:type="dxa"/>
            <w:vAlign w:val="bottom"/>
            <w:tcBorders>
              <w:bottom w:val="single" w:sz="8" w:color="1519FD"/>
            </w:tcBorders>
            <w:gridSpan w:val="19"/>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4700" w:type="dxa"/>
            <w:vAlign w:val="bottom"/>
            <w:gridSpan w:val="17"/>
            <w:vMerge w:val="restart"/>
          </w:tcPr>
          <w:p>
            <w:pPr>
              <w:ind w:left="20"/>
              <w:spacing w:after="0"/>
              <w:rPr>
                <w:sz w:val="20"/>
                <w:szCs w:val="20"/>
                <w:color w:val="auto"/>
              </w:rPr>
            </w:pPr>
            <w:r>
              <w:rPr>
                <w:rFonts w:ascii="Times New Roman" w:cs="Times New Roman" w:eastAsia="Times New Roman" w:hAnsi="Times New Roman"/>
                <w:sz w:val="18"/>
                <w:szCs w:val="18"/>
                <w:color w:val="1519FD"/>
                <w:w w:val="99"/>
              </w:rPr>
              <w:t>7A. Quantitative and Qualitative Disclosures About Market Risk</w:t>
            </w: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4700" w:type="dxa"/>
            <w:vAlign w:val="bottom"/>
            <w:tcBorders>
              <w:bottom w:val="single" w:sz="8" w:color="1519FD"/>
            </w:tcBorders>
            <w:gridSpan w:val="17"/>
            <w:vMerge w:val="continue"/>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8.</w:t>
            </w:r>
          </w:p>
        </w:tc>
        <w:tc>
          <w:tcPr>
            <w:tcW w:w="33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1519FD"/>
                <w:w w:val="98"/>
              </w:rPr>
              <w:t>Financial Statements and Supplementary Data</w:t>
            </w:r>
          </w:p>
        </w:tc>
        <w:tc>
          <w:tcPr>
            <w:tcW w:w="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vMerge w:val="continue"/>
          </w:tcPr>
          <w:p>
            <w:pPr>
              <w:spacing w:after="0"/>
              <w:rPr>
                <w:sz w:val="20"/>
                <w:szCs w:val="20"/>
                <w:color w:val="auto"/>
              </w:rPr>
            </w:pPr>
          </w:p>
        </w:tc>
        <w:tc>
          <w:tcPr>
            <w:tcW w:w="240" w:type="dxa"/>
            <w:vAlign w:val="bottom"/>
            <w:tcBorders>
              <w:bottom w:val="single" w:sz="8" w:color="1519FD"/>
            </w:tcBorders>
            <w:vMerge w:val="continue"/>
          </w:tcPr>
          <w:p>
            <w:pPr>
              <w:spacing w:after="0"/>
              <w:rPr>
                <w:sz w:val="20"/>
                <w:szCs w:val="20"/>
                <w:color w:val="auto"/>
              </w:rPr>
            </w:pPr>
          </w:p>
        </w:tc>
        <w:tc>
          <w:tcPr>
            <w:tcW w:w="3300" w:type="dxa"/>
            <w:vAlign w:val="bottom"/>
            <w:tcBorders>
              <w:bottom w:val="single" w:sz="8" w:color="1519FD"/>
            </w:tcBorders>
            <w:gridSpan w:val="14"/>
            <w:vMerge w:val="continue"/>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160" w:type="dxa"/>
            <w:vAlign w:val="bottom"/>
            <w:gridSpan w:val="2"/>
          </w:tcPr>
          <w:p>
            <w:pPr>
              <w:spacing w:after="0"/>
              <w:rPr>
                <w:sz w:val="20"/>
                <w:szCs w:val="20"/>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1519FD"/>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1519FD"/>
              </w:rPr>
              <w:t>9.</w:t>
            </w:r>
          </w:p>
        </w:tc>
        <w:tc>
          <w:tcPr>
            <w:tcW w:w="65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1519FD"/>
                <w:w w:val="98"/>
              </w:rPr>
              <w:t>Changes in and Disagreements With Accountants on Accounting and Financial Disclosures</w:t>
            </w:r>
          </w:p>
        </w:tc>
        <w:tc>
          <w:tcPr>
            <w:tcW w:w="8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vMerge w:val="continue"/>
          </w:tcPr>
          <w:p>
            <w:pPr>
              <w:spacing w:after="0"/>
              <w:rPr>
                <w:sz w:val="21"/>
                <w:szCs w:val="21"/>
                <w:color w:val="auto"/>
              </w:rPr>
            </w:pPr>
          </w:p>
        </w:tc>
        <w:tc>
          <w:tcPr>
            <w:tcW w:w="240" w:type="dxa"/>
            <w:vAlign w:val="bottom"/>
            <w:tcBorders>
              <w:bottom w:val="single" w:sz="8" w:color="1519FD"/>
            </w:tcBorders>
            <w:vMerge w:val="continue"/>
          </w:tcPr>
          <w:p>
            <w:pPr>
              <w:spacing w:after="0"/>
              <w:rPr>
                <w:sz w:val="21"/>
                <w:szCs w:val="21"/>
                <w:color w:val="auto"/>
              </w:rPr>
            </w:pPr>
          </w:p>
        </w:tc>
        <w:tc>
          <w:tcPr>
            <w:tcW w:w="6540" w:type="dxa"/>
            <w:vAlign w:val="bottom"/>
            <w:tcBorders>
              <w:bottom w:val="single" w:sz="8" w:color="1519FD"/>
            </w:tcBorders>
            <w:gridSpan w:val="20"/>
            <w:vMerge w:val="continue"/>
          </w:tcPr>
          <w:p>
            <w:pPr>
              <w:spacing w:after="0"/>
              <w:rPr>
                <w:sz w:val="21"/>
                <w:szCs w:val="21"/>
                <w:color w:val="auto"/>
              </w:rPr>
            </w:pPr>
          </w:p>
        </w:tc>
        <w:tc>
          <w:tcPr>
            <w:tcW w:w="860" w:type="dxa"/>
            <w:vAlign w:val="bottom"/>
          </w:tcPr>
          <w:p>
            <w:pPr>
              <w:spacing w:after="0"/>
              <w:rPr>
                <w:sz w:val="21"/>
                <w:szCs w:val="21"/>
                <w:color w:val="auto"/>
              </w:rPr>
            </w:pPr>
          </w:p>
        </w:tc>
        <w:tc>
          <w:tcPr>
            <w:tcW w:w="21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1519FD"/>
              </w:rPr>
              <w:t>9A. Controls and Procedures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100" w:type="dxa"/>
            <w:vAlign w:val="bottom"/>
            <w:tcBorders>
              <w:top w:val="single" w:sz="8" w:color="1519FD"/>
            </w:tcBorders>
            <w:gridSpan w:val="10"/>
          </w:tcPr>
          <w:p>
            <w:pPr>
              <w:ind w:left="20"/>
              <w:spacing w:after="0"/>
              <w:rPr>
                <w:sz w:val="20"/>
                <w:szCs w:val="20"/>
                <w:color w:val="auto"/>
              </w:rPr>
            </w:pPr>
            <w:r>
              <w:rPr>
                <w:rFonts w:ascii="Times New Roman" w:cs="Times New Roman" w:eastAsia="Times New Roman" w:hAnsi="Times New Roman"/>
                <w:sz w:val="18"/>
                <w:szCs w:val="18"/>
                <w:color w:val="1519FD"/>
              </w:rPr>
              <w:t>9B. Other Information</w:t>
            </w:r>
          </w:p>
        </w:tc>
        <w:tc>
          <w:tcPr>
            <w:tcW w:w="7700" w:type="dxa"/>
            <w:vAlign w:val="bottom"/>
            <w:gridSpan w:val="14"/>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top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40" w:type="dxa"/>
            <w:vAlign w:val="bottom"/>
            <w:tcBorders>
              <w:right w:val="single" w:sz="8" w:color="1519FD"/>
            </w:tcBorders>
            <w:shd w:val="clear" w:color="auto" w:fill="1519FD"/>
          </w:tcPr>
          <w:p>
            <w:pPr>
              <w:spacing w:after="0" w:line="20" w:lineRule="exact"/>
              <w:rPr>
                <w:sz w:val="1"/>
                <w:szCs w:val="1"/>
                <w:color w:val="auto"/>
              </w:rPr>
            </w:pPr>
          </w:p>
        </w:tc>
        <w:tc>
          <w:tcPr>
            <w:tcW w:w="1400" w:type="dxa"/>
            <w:vAlign w:val="bottom"/>
            <w:gridSpan w:val="6"/>
            <w:shd w:val="clear" w:color="auto" w:fill="1519F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1519FD"/>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98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1519FD"/>
              </w:rPr>
              <w:t>9C. Disclosure Regarding Foreign Jurisdiction that Prevent Inspections.</w:t>
            </w: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107</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20" w:type="dxa"/>
            <w:vAlign w:val="bottom"/>
            <w:shd w:val="clear" w:color="auto" w:fill="1519FD"/>
          </w:tcPr>
          <w:p>
            <w:pPr>
              <w:spacing w:after="0" w:line="20" w:lineRule="exact"/>
              <w:rPr>
                <w:sz w:val="1"/>
                <w:szCs w:val="1"/>
                <w:color w:val="auto"/>
              </w:rPr>
            </w:pPr>
          </w:p>
        </w:tc>
        <w:tc>
          <w:tcPr>
            <w:tcW w:w="240" w:type="dxa"/>
            <w:vAlign w:val="bottom"/>
            <w:tcBorders>
              <w:right w:val="single" w:sz="8" w:color="1519FD"/>
            </w:tcBorders>
            <w:shd w:val="clear" w:color="auto" w:fill="1519FD"/>
          </w:tcPr>
          <w:p>
            <w:pPr>
              <w:spacing w:after="0" w:line="20" w:lineRule="exact"/>
              <w:rPr>
                <w:sz w:val="1"/>
                <w:szCs w:val="1"/>
                <w:color w:val="auto"/>
              </w:rPr>
            </w:pPr>
          </w:p>
        </w:tc>
        <w:tc>
          <w:tcPr>
            <w:tcW w:w="6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140" w:type="dxa"/>
            <w:vAlign w:val="bottom"/>
            <w:shd w:val="clear" w:color="auto" w:fill="1519FD"/>
          </w:tcPr>
          <w:p>
            <w:pPr>
              <w:spacing w:after="0" w:line="20" w:lineRule="exact"/>
              <w:rPr>
                <w:sz w:val="1"/>
                <w:szCs w:val="1"/>
                <w:color w:val="auto"/>
              </w:rPr>
            </w:pPr>
          </w:p>
        </w:tc>
        <w:tc>
          <w:tcPr>
            <w:tcW w:w="16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100" w:type="dxa"/>
            <w:vAlign w:val="bottom"/>
            <w:shd w:val="clear" w:color="auto" w:fill="1519FD"/>
          </w:tcPr>
          <w:p>
            <w:pPr>
              <w:spacing w:after="0" w:line="20" w:lineRule="exact"/>
              <w:rPr>
                <w:sz w:val="1"/>
                <w:szCs w:val="1"/>
                <w:color w:val="auto"/>
              </w:rPr>
            </w:pPr>
          </w:p>
        </w:tc>
        <w:tc>
          <w:tcPr>
            <w:tcW w:w="26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120" w:type="dxa"/>
            <w:vAlign w:val="bottom"/>
            <w:shd w:val="clear" w:color="auto" w:fill="1519FD"/>
          </w:tcPr>
          <w:p>
            <w:pPr>
              <w:spacing w:after="0" w:line="20" w:lineRule="exact"/>
              <w:rPr>
                <w:sz w:val="1"/>
                <w:szCs w:val="1"/>
                <w:color w:val="auto"/>
              </w:rPr>
            </w:pPr>
          </w:p>
        </w:tc>
        <w:tc>
          <w:tcPr>
            <w:tcW w:w="40" w:type="dxa"/>
            <w:vAlign w:val="bottom"/>
            <w:shd w:val="clear" w:color="auto" w:fill="1519FD"/>
          </w:tcPr>
          <w:p>
            <w:pPr>
              <w:spacing w:after="0" w:line="20" w:lineRule="exact"/>
              <w:rPr>
                <w:sz w:val="1"/>
                <w:szCs w:val="1"/>
                <w:color w:val="auto"/>
              </w:rPr>
            </w:pPr>
          </w:p>
        </w:tc>
        <w:tc>
          <w:tcPr>
            <w:tcW w:w="240" w:type="dxa"/>
            <w:vAlign w:val="bottom"/>
            <w:shd w:val="clear" w:color="auto" w:fill="1519FD"/>
          </w:tcPr>
          <w:p>
            <w:pPr>
              <w:spacing w:after="0" w:line="20" w:lineRule="exact"/>
              <w:rPr>
                <w:sz w:val="1"/>
                <w:szCs w:val="1"/>
                <w:color w:val="auto"/>
              </w:rPr>
            </w:pPr>
          </w:p>
        </w:tc>
        <w:tc>
          <w:tcPr>
            <w:tcW w:w="780" w:type="dxa"/>
            <w:vAlign w:val="bottom"/>
            <w:shd w:val="clear" w:color="auto" w:fill="1519FD"/>
          </w:tcPr>
          <w:p>
            <w:pPr>
              <w:spacing w:after="0" w:line="20" w:lineRule="exact"/>
              <w:rPr>
                <w:sz w:val="1"/>
                <w:szCs w:val="1"/>
                <w:color w:val="auto"/>
              </w:rPr>
            </w:pPr>
          </w:p>
        </w:tc>
        <w:tc>
          <w:tcPr>
            <w:tcW w:w="8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860" w:type="dxa"/>
            <w:vAlign w:val="bottom"/>
            <w:shd w:val="clear" w:color="auto" w:fill="1519FD"/>
          </w:tcPr>
          <w:p>
            <w:pPr>
              <w:spacing w:after="0" w:line="20" w:lineRule="exact"/>
              <w:rPr>
                <w:sz w:val="1"/>
                <w:szCs w:val="1"/>
                <w:color w:val="auto"/>
              </w:rPr>
            </w:pPr>
          </w:p>
        </w:tc>
        <w:tc>
          <w:tcPr>
            <w:tcW w:w="300" w:type="dxa"/>
            <w:vAlign w:val="bottom"/>
            <w:shd w:val="clear" w:color="auto" w:fill="1519FD"/>
          </w:tcPr>
          <w:p>
            <w:pPr>
              <w:spacing w:after="0" w:line="20" w:lineRule="exact"/>
              <w:rPr>
                <w:sz w:val="1"/>
                <w:szCs w:val="1"/>
                <w:color w:val="auto"/>
              </w:rPr>
            </w:pPr>
          </w:p>
        </w:tc>
        <w:tc>
          <w:tcPr>
            <w:tcW w:w="500" w:type="dxa"/>
            <w:vAlign w:val="bottom"/>
            <w:shd w:val="clear" w:color="auto" w:fill="1519FD"/>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1519FD"/>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1519FD"/>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1519FD"/>
                <w:w w:val="93"/>
              </w:rPr>
              <w:t>Part III</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4400" w:type="dxa"/>
            <w:vAlign w:val="bottom"/>
            <w:tcBorders>
              <w:bottom w:val="single" w:sz="8" w:color="1519FD"/>
            </w:tcBorders>
            <w:gridSpan w:val="16"/>
          </w:tcPr>
          <w:p>
            <w:pPr>
              <w:ind w:left="20"/>
              <w:spacing w:after="0"/>
              <w:rPr>
                <w:sz w:val="20"/>
                <w:szCs w:val="20"/>
                <w:color w:val="auto"/>
              </w:rPr>
            </w:pPr>
            <w:r>
              <w:rPr>
                <w:rFonts w:ascii="Times New Roman" w:cs="Times New Roman" w:eastAsia="Times New Roman" w:hAnsi="Times New Roman"/>
                <w:sz w:val="18"/>
                <w:szCs w:val="18"/>
                <w:color w:val="1519FD"/>
                <w:w w:val="99"/>
              </w:rPr>
              <w:t>10. Directors, Executive Officers and Corporate Governance</w:t>
            </w:r>
          </w:p>
        </w:tc>
        <w:tc>
          <w:tcPr>
            <w:tcW w:w="1340" w:type="dxa"/>
            <w:vAlign w:val="bottom"/>
            <w:gridSpan w:val="3"/>
          </w:tcPr>
          <w:p>
            <w:pPr>
              <w:spacing w:after="0"/>
              <w:rPr>
                <w:sz w:val="21"/>
                <w:szCs w:val="21"/>
                <w:color w:val="auto"/>
              </w:rPr>
            </w:pPr>
          </w:p>
        </w:tc>
        <w:tc>
          <w:tcPr>
            <w:tcW w:w="190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2140" w:type="dxa"/>
            <w:vAlign w:val="bottom"/>
            <w:tcBorders>
              <w:bottom w:val="single" w:sz="8" w:color="1519FD"/>
            </w:tcBorders>
            <w:gridSpan w:val="11"/>
          </w:tcPr>
          <w:p>
            <w:pPr>
              <w:ind w:left="20"/>
              <w:spacing w:after="0"/>
              <w:rPr>
                <w:sz w:val="20"/>
                <w:szCs w:val="20"/>
                <w:color w:val="auto"/>
              </w:rPr>
            </w:pPr>
            <w:r>
              <w:rPr>
                <w:rFonts w:ascii="Times New Roman" w:cs="Times New Roman" w:eastAsia="Times New Roman" w:hAnsi="Times New Roman"/>
                <w:sz w:val="18"/>
                <w:szCs w:val="18"/>
                <w:color w:val="1519FD"/>
              </w:rPr>
              <w:t>11. Executive Compensation</w:t>
            </w:r>
          </w:p>
        </w:tc>
        <w:tc>
          <w:tcPr>
            <w:tcW w:w="10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5"/>
          </w:tcPr>
          <w:p>
            <w:pPr>
              <w:spacing w:after="0"/>
              <w:rPr>
                <w:sz w:val="21"/>
                <w:szCs w:val="21"/>
                <w:color w:val="auto"/>
              </w:rPr>
            </w:pPr>
          </w:p>
        </w:tc>
        <w:tc>
          <w:tcPr>
            <w:tcW w:w="190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7640" w:type="dxa"/>
            <w:vAlign w:val="bottom"/>
            <w:tcBorders>
              <w:bottom w:val="single" w:sz="8" w:color="1519FD"/>
            </w:tcBorders>
            <w:gridSpan w:val="22"/>
          </w:tcPr>
          <w:p>
            <w:pPr>
              <w:ind w:left="20"/>
              <w:spacing w:after="0"/>
              <w:rPr>
                <w:sz w:val="20"/>
                <w:szCs w:val="20"/>
                <w:color w:val="auto"/>
              </w:rPr>
            </w:pPr>
            <w:r>
              <w:rPr>
                <w:rFonts w:ascii="Times New Roman" w:cs="Times New Roman" w:eastAsia="Times New Roman" w:hAnsi="Times New Roman"/>
                <w:sz w:val="18"/>
                <w:szCs w:val="18"/>
                <w:color w:val="1519FD"/>
              </w:rPr>
              <w:t>12. Security Ownership of Certain Beneficial Owners and Management and Related Stockholder Matters</w:t>
            </w:r>
          </w:p>
        </w:tc>
        <w:tc>
          <w:tcPr>
            <w:tcW w:w="216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57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1519FD"/>
                <w:w w:val="99"/>
              </w:rPr>
              <w:t>13. Certain Relationships and Related Transactions, and Director Independence</w:t>
            </w:r>
          </w:p>
        </w:tc>
        <w:tc>
          <w:tcPr>
            <w:tcW w:w="4060" w:type="dxa"/>
            <w:vAlign w:val="bottom"/>
            <w:gridSpan w:val="5"/>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108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1519FD"/>
            </w:tcBorders>
            <w:gridSpan w:val="5"/>
          </w:tcPr>
          <w:p>
            <w:pPr>
              <w:spacing w:after="0"/>
              <w:rPr>
                <w:sz w:val="2"/>
                <w:szCs w:val="2"/>
                <w:color w:val="auto"/>
              </w:rPr>
            </w:pPr>
          </w:p>
        </w:tc>
        <w:tc>
          <w:tcPr>
            <w:tcW w:w="1660" w:type="dxa"/>
            <w:vAlign w:val="bottom"/>
            <w:gridSpan w:val="7"/>
            <w:shd w:val="clear" w:color="auto" w:fill="1519FD"/>
          </w:tcPr>
          <w:p>
            <w:pPr>
              <w:spacing w:after="0"/>
              <w:rPr>
                <w:sz w:val="2"/>
                <w:szCs w:val="2"/>
                <w:color w:val="auto"/>
              </w:rPr>
            </w:pPr>
          </w:p>
        </w:tc>
        <w:tc>
          <w:tcPr>
            <w:tcW w:w="1260" w:type="dxa"/>
            <w:vAlign w:val="bottom"/>
            <w:gridSpan w:val="5"/>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6560" w:type="dxa"/>
            <w:vAlign w:val="bottom"/>
            <w:gridSpan w:val="10"/>
            <w:shd w:val="clear" w:color="auto" w:fill="1519FD"/>
          </w:tcPr>
          <w:p>
            <w:pPr>
              <w:spacing w:after="0"/>
              <w:rPr>
                <w:sz w:val="2"/>
                <w:szCs w:val="2"/>
                <w:color w:val="auto"/>
              </w:rPr>
            </w:pPr>
          </w:p>
        </w:tc>
        <w:tc>
          <w:tcPr>
            <w:tcW w:w="360" w:type="dxa"/>
            <w:vAlign w:val="bottom"/>
            <w:tcBorders>
              <w:right w:val="single" w:sz="8" w:color="1519FD"/>
            </w:tcBorders>
          </w:tcPr>
          <w:p>
            <w:pPr>
              <w:spacing w:after="0"/>
              <w:rPr>
                <w:sz w:val="2"/>
                <w:szCs w:val="2"/>
                <w:color w:val="auto"/>
              </w:rPr>
            </w:pPr>
          </w:p>
        </w:tc>
        <w:tc>
          <w:tcPr>
            <w:tcW w:w="260" w:type="dxa"/>
            <w:vAlign w:val="bottom"/>
            <w:gridSpan w:val="3"/>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tcBorders>
              <w:bottom w:val="single" w:sz="8" w:color="1519FD"/>
            </w:tcBorders>
            <w:gridSpan w:val="17"/>
          </w:tcPr>
          <w:p>
            <w:pPr>
              <w:spacing w:after="0"/>
              <w:rPr>
                <w:sz w:val="20"/>
                <w:szCs w:val="20"/>
                <w:color w:val="auto"/>
              </w:rPr>
            </w:pPr>
            <w:r>
              <w:rPr>
                <w:rFonts w:ascii="Times New Roman" w:cs="Times New Roman" w:eastAsia="Times New Roman" w:hAnsi="Times New Roman"/>
                <w:sz w:val="18"/>
                <w:szCs w:val="18"/>
                <w:color w:val="1519FD"/>
              </w:rPr>
              <w:t>Item 14. Principal Accountant Fees and Services</w:t>
            </w:r>
          </w:p>
        </w:tc>
        <w:tc>
          <w:tcPr>
            <w:tcW w:w="6640" w:type="dxa"/>
            <w:vAlign w:val="bottom"/>
            <w:gridSpan w:val="11"/>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0" w:type="dxa"/>
            <w:vAlign w:val="bottom"/>
            <w:tcBorders>
              <w:bottom w:val="single" w:sz="8" w:color="1519FD"/>
            </w:tcBorders>
            <w:gridSpan w:val="6"/>
          </w:tcPr>
          <w:p>
            <w:pPr>
              <w:jc w:val="right"/>
              <w:spacing w:after="0"/>
              <w:rPr>
                <w:sz w:val="20"/>
                <w:szCs w:val="20"/>
                <w:color w:val="auto"/>
              </w:rPr>
            </w:pPr>
            <w:r>
              <w:rPr>
                <w:rFonts w:ascii="Times New Roman" w:cs="Times New Roman" w:eastAsia="Times New Roman" w:hAnsi="Times New Roman"/>
                <w:sz w:val="18"/>
                <w:szCs w:val="18"/>
                <w:color w:val="1519FD"/>
                <w:w w:val="95"/>
              </w:rPr>
              <w:t>Part IV</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3240" w:type="dxa"/>
            <w:vAlign w:val="bottom"/>
            <w:tcBorders>
              <w:bottom w:val="single" w:sz="8" w:color="1519FD"/>
            </w:tcBorders>
            <w:gridSpan w:val="14"/>
          </w:tcPr>
          <w:p>
            <w:pPr>
              <w:ind w:left="20"/>
              <w:spacing w:after="0"/>
              <w:rPr>
                <w:sz w:val="20"/>
                <w:szCs w:val="20"/>
                <w:color w:val="auto"/>
              </w:rPr>
            </w:pPr>
            <w:r>
              <w:rPr>
                <w:rFonts w:ascii="Times New Roman" w:cs="Times New Roman" w:eastAsia="Times New Roman" w:hAnsi="Times New Roman"/>
                <w:sz w:val="18"/>
                <w:szCs w:val="18"/>
                <w:color w:val="1519FD"/>
              </w:rPr>
              <w:t>15. Exhibits, Financial Statement Schedules</w:t>
            </w:r>
          </w:p>
        </w:tc>
        <w:tc>
          <w:tcPr>
            <w:tcW w:w="6560" w:type="dxa"/>
            <w:vAlign w:val="bottom"/>
            <w:gridSpan w:val="10"/>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1519FD"/>
            </w:tcBorders>
            <w:gridSpan w:val="3"/>
          </w:tcPr>
          <w:p>
            <w:pPr>
              <w:jc w:val="right"/>
              <w:spacing w:after="0"/>
              <w:rPr>
                <w:sz w:val="20"/>
                <w:szCs w:val="20"/>
                <w:color w:val="auto"/>
              </w:rPr>
            </w:pPr>
            <w:r>
              <w:rPr>
                <w:rFonts w:ascii="Times New Roman" w:cs="Times New Roman" w:eastAsia="Times New Roman" w:hAnsi="Times New Roman"/>
                <w:sz w:val="18"/>
                <w:szCs w:val="18"/>
                <w:color w:val="1519FD"/>
                <w:w w:val="88"/>
              </w:rPr>
              <w:t>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1519F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1519FD"/>
                <w:w w:val="84"/>
              </w:rPr>
              <w:t>Item</w:t>
            </w:r>
          </w:p>
        </w:tc>
        <w:tc>
          <w:tcPr>
            <w:tcW w:w="1900" w:type="dxa"/>
            <w:vAlign w:val="bottom"/>
            <w:tcBorders>
              <w:bottom w:val="single" w:sz="8" w:color="1519FD"/>
            </w:tcBorders>
            <w:gridSpan w:val="8"/>
          </w:tcPr>
          <w:p>
            <w:pPr>
              <w:ind w:left="20"/>
              <w:spacing w:after="0"/>
              <w:rPr>
                <w:sz w:val="20"/>
                <w:szCs w:val="20"/>
                <w:color w:val="auto"/>
              </w:rPr>
            </w:pPr>
            <w:r>
              <w:rPr>
                <w:rFonts w:ascii="Times New Roman" w:cs="Times New Roman" w:eastAsia="Times New Roman" w:hAnsi="Times New Roman"/>
                <w:sz w:val="18"/>
                <w:szCs w:val="18"/>
                <w:color w:val="1519FD"/>
              </w:rPr>
              <w:t>16. Form 10-K Summary</w:t>
            </w:r>
          </w:p>
        </w:tc>
        <w:tc>
          <w:tcPr>
            <w:tcW w:w="7900" w:type="dxa"/>
            <w:vAlign w:val="bottom"/>
            <w:gridSpan w:val="16"/>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111</w:t>
            </w:r>
          </w:p>
        </w:tc>
        <w:tc>
          <w:tcPr>
            <w:tcW w:w="0" w:type="dxa"/>
            <w:vAlign w:val="bottom"/>
          </w:tcPr>
          <w:p>
            <w:pPr>
              <w:spacing w:after="0"/>
              <w:rPr>
                <w:sz w:val="1"/>
                <w:szCs w:val="1"/>
                <w:color w:val="auto"/>
              </w:rPr>
            </w:pPr>
          </w:p>
        </w:tc>
      </w:tr>
      <w:tr>
        <w:trPr>
          <w:trHeight w:val="20"/>
        </w:trPr>
        <w:tc>
          <w:tcPr>
            <w:tcW w:w="7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1519FD"/>
                <w:w w:val="94"/>
              </w:rPr>
              <w:t>Signatures</w:t>
            </w:r>
          </w:p>
        </w:tc>
        <w:tc>
          <w:tcPr>
            <w:tcW w:w="9560" w:type="dxa"/>
            <w:vAlign w:val="bottom"/>
            <w:gridSpan w:val="23"/>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shd w:val="clear" w:color="auto" w:fill="1519F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 w:type="dxa"/>
            <w:vAlign w:val="bottom"/>
            <w:gridSpan w:val="7"/>
            <w:vMerge w:val="continue"/>
          </w:tcPr>
          <w:p>
            <w:pPr>
              <w:spacing w:after="0"/>
              <w:rPr>
                <w:sz w:val="20"/>
                <w:szCs w:val="20"/>
                <w:color w:val="auto"/>
              </w:rPr>
            </w:pPr>
          </w:p>
        </w:tc>
        <w:tc>
          <w:tcPr>
            <w:tcW w:w="9560" w:type="dxa"/>
            <w:vAlign w:val="bottom"/>
            <w:gridSpan w:val="23"/>
            <w:vMerge w:val="continue"/>
          </w:tcPr>
          <w:p>
            <w:pPr>
              <w:spacing w:after="0"/>
              <w:rPr>
                <w:sz w:val="20"/>
                <w:szCs w:val="20"/>
                <w:color w:val="auto"/>
              </w:rPr>
            </w:pPr>
          </w:p>
        </w:tc>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1519FD"/>
              </w:rPr>
              <w:t>111</w:t>
            </w:r>
          </w:p>
        </w:tc>
        <w:tc>
          <w:tcPr>
            <w:tcW w:w="0" w:type="dxa"/>
            <w:vAlign w:val="bottom"/>
          </w:tcPr>
          <w:p>
            <w:pPr>
              <w:spacing w:after="0"/>
              <w:rPr>
                <w:sz w:val="1"/>
                <w:szCs w:val="1"/>
                <w:color w:val="auto"/>
              </w:rPr>
            </w:pPr>
          </w:p>
        </w:tc>
      </w:tr>
      <w:tr>
        <w:trPr>
          <w:trHeight w:val="27"/>
        </w:trPr>
        <w:tc>
          <w:tcPr>
            <w:tcW w:w="6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40" w:type="dxa"/>
            <w:vAlign w:val="bottom"/>
            <w:shd w:val="clear" w:color="auto" w:fill="1519FD"/>
          </w:tcPr>
          <w:p>
            <w:pPr>
              <w:spacing w:after="0"/>
              <w:rPr>
                <w:sz w:val="2"/>
                <w:szCs w:val="2"/>
                <w:color w:val="auto"/>
              </w:rPr>
            </w:pPr>
          </w:p>
        </w:tc>
        <w:tc>
          <w:tcPr>
            <w:tcW w:w="20" w:type="dxa"/>
            <w:vAlign w:val="bottom"/>
            <w:shd w:val="clear" w:color="auto" w:fill="1519FD"/>
          </w:tcPr>
          <w:p>
            <w:pPr>
              <w:spacing w:after="0"/>
              <w:rPr>
                <w:sz w:val="2"/>
                <w:szCs w:val="2"/>
                <w:color w:val="auto"/>
              </w:rPr>
            </w:pPr>
          </w:p>
        </w:tc>
        <w:tc>
          <w:tcPr>
            <w:tcW w:w="300" w:type="dxa"/>
            <w:vAlign w:val="bottom"/>
            <w:shd w:val="clear" w:color="auto" w:fill="1519FD"/>
          </w:tcPr>
          <w:p>
            <w:pPr>
              <w:spacing w:after="0"/>
              <w:rPr>
                <w:sz w:val="2"/>
                <w:szCs w:val="2"/>
                <w:color w:val="auto"/>
              </w:rPr>
            </w:pPr>
          </w:p>
        </w:tc>
        <w:tc>
          <w:tcPr>
            <w:tcW w:w="20" w:type="dxa"/>
            <w:vAlign w:val="bottom"/>
            <w:shd w:val="clear" w:color="auto" w:fill="1519FD"/>
          </w:tcPr>
          <w:p>
            <w:pPr>
              <w:spacing w:after="0"/>
              <w:rPr>
                <w:sz w:val="2"/>
                <w:szCs w:val="2"/>
                <w:color w:val="auto"/>
              </w:rPr>
            </w:pPr>
          </w:p>
        </w:tc>
        <w:tc>
          <w:tcPr>
            <w:tcW w:w="240" w:type="dxa"/>
            <w:vAlign w:val="bottom"/>
            <w:tcBorders>
              <w:right w:val="single" w:sz="8" w:color="1519FD"/>
            </w:tcBorders>
            <w:shd w:val="clear" w:color="auto" w:fill="1519FD"/>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80" w:type="dxa"/>
            <w:vAlign w:val="bottom"/>
            <w:shd w:val="clear" w:color="auto" w:fill="1519FD"/>
          </w:tcPr>
          <w:p>
            <w:pPr>
              <w:spacing w:after="0"/>
              <w:rPr>
                <w:sz w:val="2"/>
                <w:szCs w:val="2"/>
                <w:color w:val="auto"/>
              </w:rPr>
            </w:pPr>
          </w:p>
        </w:tc>
        <w:tc>
          <w:tcPr>
            <w:tcW w:w="100" w:type="dxa"/>
            <w:vAlign w:val="bottom"/>
            <w:shd w:val="clear" w:color="auto" w:fill="1519FD"/>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78740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125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 Item 1A, “Risk Factors,” and other factors set forth in other parts of this Annual Report on Form 10-K.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cost of revenue, operating expenses, gross margin, adjusted EBITDA and other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and priorities, including the timing, focus and cadence of our marketing, innovation, and distribution and costovation strategies;</w:t>
      </w:r>
    </w:p>
    <w:p>
      <w:pPr>
        <w:ind w:left="660" w:right="26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the high inflationary environment, including commodity prices, labor costs, input cost and transportation cost inflation with price increases, productivity or investing in digital capabilities and a growing revenue base;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strategy to deliver sustained long-term growth and profitability;</w:t>
      </w:r>
    </w:p>
    <w:p>
      <w:pPr>
        <w:ind w:left="660" w:right="200" w:hanging="328"/>
        <w:spacing w:after="0" w:line="23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factors, such as COVID-19 or other public health crises, supply chain disruptions and inflation on our business and the global economy, including our costs and expenses and shifting consumer demand between our Digital and Retail channels;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a potential recession and inflationary pressures and their impact on consumer spending and our operating results;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revenue growth through our omnichannel strategy and ability to capture growth in whitespace opportunities in the Retail channel;</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marketing efforts, and our ability to grow brand awareness and maintain, protect and enhance our brand;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household penetration and increase market share in our product categories;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innovation and digital capabilities to fuel growth;</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shift towards clean and natural products and the whitespace opportunity it provides for further market penetration and category growth in the clean and natural segments;</w:t>
      </w:r>
    </w:p>
    <w:p>
      <w:pPr>
        <w:ind w:left="660" w:right="2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to address the reduction in demand of certain products in our Household and Wellness product category and the related impact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consumers and successfully retain existing consumers, including their level of spend with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 retail and digital customers;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new distribution partners;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bring new products to market and to identify and successfully launch new category adjacencies;</w:t>
      </w:r>
    </w:p>
    <w:p>
      <w:pPr>
        <w:spacing w:after="0" w:line="1" w:lineRule="exact"/>
        <w:rPr>
          <w:rFonts w:ascii="Arial" w:cs="Arial" w:eastAsia="Arial" w:hAnsi="Arial"/>
          <w:sz w:val="22"/>
          <w:szCs w:val="22"/>
          <w:color w:val="auto"/>
        </w:rPr>
      </w:pP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consumer demand and the timing and amount of orders from key customers;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practices, commitments and performance related to environmental, social and governance matters;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ind w:left="660" w:hanging="328"/>
        <w:spacing w:after="0" w:line="23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offset rising consumer uncertainty and tighter inventory management by retailers;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 and maintain sufficient inventory to satisfy customer demands and meet revenue targets;</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liquidate excess inventory related to drops in consumer demand for our products, product discontinuations or product restages;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gauge consumer trends and changing consumer preferences;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enter new markets and expand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complete acquisitions that complement and expand our reach and platform;</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our relationships with, our suppliers, manufacturers, distributors and retailers;</w:t>
      </w:r>
    </w:p>
    <w:p>
      <w:pPr>
        <w:spacing w:after="0" w:line="9" w:lineRule="exact"/>
        <w:rPr>
          <w:rFonts w:ascii="Times New Roman" w:cs="Times New Roman" w:eastAsia="Times New Roman" w:hAnsi="Times New Roman"/>
          <w:sz w:val="18"/>
          <w:szCs w:val="18"/>
          <w:color w:val="auto"/>
        </w:rPr>
      </w:pPr>
    </w:p>
    <w:p>
      <w:pPr>
        <w:ind w:left="328" w:hanging="328"/>
        <w:spacing w:after="0" w:line="236"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and manufacturers to comply with safety, environmental or other laws or regulations;</w:t>
      </w:r>
    </w:p>
    <w:p>
      <w:pPr>
        <w:jc w:val="both"/>
        <w:ind w:left="328" w:hanging="328"/>
        <w:spacing w:after="0" w:line="239"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or remain in compliance with laws and regulations that currently apply or become applicable to our business in the United States, such as the U.S. Food and Drug Administration governmental regulation and state regulation; and in other jurisdictions where we elect to do business;</w:t>
      </w: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 of legal or administrative proceedings;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78740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652" w:top="1174" w:right="51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8"/>
          <w:szCs w:val="18"/>
          <w:b w:val="1"/>
          <w:bCs w:val="1"/>
          <w:color w:val="231F20"/>
        </w:rPr>
        <w:t>Risk Factors Summary</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231F20"/>
        </w:rPr>
        <w:t>Investing in our common stock involves substantial risks. The risks described in the section titled “Risk Factors” may cause us to not realize the full benefits of our strengths or to be unable to successfully execute all or part of our strategy. Some of the more significant risks include the following:</w:t>
      </w:r>
    </w:p>
    <w:p>
      <w:pPr>
        <w:spacing w:after="0" w:line="29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each year since our inception and we may not be able to achieve or maintain profitability in the future.</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may not be indicative of our future growth and we may not be able to effectively manage our growth or evaluate our future prospects. If we fail to effectively manage our future growth or evaluate our future prospects, our business could be adversely affected.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operating results may fluctuate, which could cause our stock price to decline.</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including a potential recession and inflationary pressures such as price increases in commodity prices, labor costs, input costs and transportation costs and their impact on consumer spending and our operating results.</w:t>
      </w:r>
    </w:p>
    <w:p>
      <w:pPr>
        <w:ind w:left="660" w:right="3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including our costs and supply chain, is subject to risks associated with sourcing, manufacturing, warehousing and logistics, and the loss of any of our key suppliers or logistical service providers could negatively impact our business.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successfully in our highly competitive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cash equivalents and short-term investments may not meet our liquidity needs;</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cost-effectively acquire new consumers or retain our existing consumers, our business could be adversely affected. Our sales and profit are dependent upon our ability to expand our existing consumer relationships and acquire new consumers.</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expend resources to maintain consumer awareness of our brand, build brand loyalty and generate interest in our products. Our marketing strategies and channels will evolve and our efforts may or may not be successful.</w:t>
      </w:r>
    </w:p>
    <w:p>
      <w:pPr>
        <w:ind w:left="660" w:right="5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evolving expectations from stakeholders with respect to our environmental, social and governance (ESG) practices, performance and disclosures.</w:t>
      </w:r>
    </w:p>
    <w:p>
      <w:pPr>
        <w:ind w:left="660" w:right="2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may be diminished due to real or perceived quality, safety, efficacy or environmental impact issues with our products, which could have an adverse effect on our business, financial condition, results of operations and prospects.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competitive position is largely dependent on the services of our senior management and other key personnel, including our founder and Chief Creative Officer, Jessica Warren and our Chief Executive Officer, Carla Vernón.</w:t>
      </w:r>
    </w:p>
    <w:p>
      <w:pPr>
        <w:ind w:left="660" w:hanging="328"/>
        <w:spacing w:after="0" w:line="23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could have an adverse effect on our business.</w:t>
      </w:r>
    </w:p>
    <w:p>
      <w:pPr>
        <w:ind w:left="660" w:right="100" w:hanging="328"/>
        <w:spacing w:after="0" w:line="24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Pandemics or disease outbreaks, such as the </w:t>
      </w:r>
      <w:r>
        <w:rPr>
          <w:rFonts w:ascii="Times New Roman" w:cs="Times New Roman" w:eastAsia="Times New Roman" w:hAnsi="Times New Roman"/>
          <w:sz w:val="18"/>
          <w:szCs w:val="18"/>
          <w:color w:val="231F20"/>
        </w:rPr>
        <w:t>continuing effects of the</w:t>
      </w:r>
      <w:r>
        <w:rPr>
          <w:rFonts w:ascii="Times New Roman" w:cs="Times New Roman" w:eastAsia="Times New Roman" w:hAnsi="Times New Roman"/>
          <w:sz w:val="18"/>
          <w:szCs w:val="18"/>
          <w:color w:val="auto"/>
        </w:rPr>
        <w:t xml:space="preserve"> COVID-19 pandemic and overall macroeconomic trends have had and may continue to have an adverse effect on our business, financial condition, results of operations and prospects.</w:t>
      </w:r>
    </w:p>
    <w:p>
      <w:pPr>
        <w:spacing w:after="0" w:line="1"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1" w:lineRule="exact"/>
        <w:rPr>
          <w:rFonts w:ascii="Times New Roman" w:cs="Times New Roman" w:eastAsia="Times New Roman" w:hAnsi="Times New Roman"/>
          <w:sz w:val="18"/>
          <w:szCs w:val="18"/>
          <w:color w:val="auto"/>
        </w:rPr>
      </w:pPr>
    </w:p>
    <w:p>
      <w:pPr>
        <w:ind w:left="660" w:right="460" w:hanging="328"/>
        <w:spacing w:after="0" w:line="265" w:lineRule="auto"/>
        <w:tabs>
          <w:tab w:leader="none" w:pos="6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and the U.S. government’s trade policy could adversely affect our business.</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affected if we are unable to provide our consumers with a technology platform that is able to respond and adapt to rapid changes in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 Of Business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231F20"/>
        </w:rPr>
        <w:t xml:space="preserve">The Honest Company (the "Company," which may also be referred to as “we,” “us” or “our”) is </w:t>
      </w:r>
      <w:r>
        <w:rPr>
          <w:rFonts w:ascii="Times New Roman" w:cs="Times New Roman" w:eastAsia="Times New Roman" w:hAnsi="Times New Roman"/>
          <w:sz w:val="18"/>
          <w:szCs w:val="18"/>
          <w:color w:val="000000"/>
        </w:rPr>
        <w:t>a digitally-native consumer products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born in the Gen Z era to make purpose-driven consumer products designed for all people</w:t>
      </w:r>
      <w:r>
        <w:rPr>
          <w:rFonts w:ascii="Times New Roman" w:cs="Times New Roman" w:eastAsia="Times New Roman" w:hAnsi="Times New Roman"/>
          <w:sz w:val="18"/>
          <w:szCs w:val="18"/>
          <w:color w:val="231F20"/>
        </w:rPr>
        <w:t>. Our commitment to our core values, continual innovation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engaging our community has differentiated and elevated our brand and our products. Since our launch in 2012, we have been dedicated to developing clean, sustainable, effective and thoughtfully designed products. By doing so with transparency, we have cultivated deep trust around what matters most to our consumers: their health, their families and their homes. We are an omnichannel brand, ensuring our products are available wherever our consumers shop through our Retail and Digital channels. Our differentiated platform positions us for continued growth through our trusted brand, award-winning multi-category product offering, deep digital-first connection with consumers and omnichannel accessibility.</w:t>
      </w:r>
    </w:p>
    <w:p>
      <w:pPr>
        <w:spacing w:after="0" w:line="21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completed the initial public offering ("IPO") of our common stock on May 7, 2021, and our common stock began trading on the Nasdaq Global Select Market on May 5,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Products and Product Categories</w:t>
      </w:r>
    </w:p>
    <w:p>
      <w:pPr>
        <w:spacing w:after="0" w:line="25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Our Chief Executive Officer, as the chief operating decision maker, organizes the Company, manages resource allocations, and measures performance on the basis of one operating segment. </w:t>
      </w:r>
      <w:r>
        <w:rPr>
          <w:rFonts w:ascii="Times New Roman" w:cs="Times New Roman" w:eastAsia="Times New Roman" w:hAnsi="Times New Roman"/>
          <w:sz w:val="18"/>
          <w:szCs w:val="18"/>
          <w:color w:val="231F20"/>
        </w:rPr>
        <w:t>Our three product categories are Diapers and Wipes, Skin and Personal Care and Household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Wellness, which represented </w:t>
      </w:r>
      <w:r>
        <w:rPr>
          <w:rFonts w:ascii="Times New Roman" w:cs="Times New Roman" w:eastAsia="Times New Roman" w:hAnsi="Times New Roman"/>
          <w:sz w:val="18"/>
          <w:szCs w:val="18"/>
          <w:color w:val="000000"/>
        </w:rPr>
        <w:t>64%, 28%, and 8%</w:t>
      </w:r>
      <w:r>
        <w:rPr>
          <w:rFonts w:ascii="Times New Roman" w:cs="Times New Roman" w:eastAsia="Times New Roman" w:hAnsi="Times New Roman"/>
          <w:sz w:val="18"/>
          <w:szCs w:val="18"/>
          <w:color w:val="231F20"/>
        </w:rPr>
        <w:t xml:space="preserve"> of our 2022 revenue, respectively.</w:t>
      </w:r>
    </w:p>
    <w:p>
      <w:pPr>
        <w:spacing w:after="0" w:line="201" w:lineRule="exact"/>
        <w:rPr>
          <w:sz w:val="20"/>
          <w:szCs w:val="20"/>
          <w:color w:val="auto"/>
        </w:rPr>
      </w:pPr>
    </w:p>
    <w:p>
      <w:pPr>
        <w:ind w:left="660" w:right="40" w:hanging="328"/>
        <w:spacing w:after="0" w:line="261" w:lineRule="auto"/>
        <w:tabs>
          <w:tab w:leader="none" w:pos="603" w:val="left"/>
        </w:tabs>
        <w:numPr>
          <w:ilvl w:val="0"/>
          <w:numId w:val="6"/>
        </w:numPr>
        <w:rPr>
          <w:rFonts w:ascii="Calibri" w:cs="Calibri" w:eastAsia="Calibri" w:hAnsi="Calibri"/>
          <w:sz w:val="18"/>
          <w:szCs w:val="18"/>
          <w:color w:val="231F20"/>
        </w:rPr>
      </w:pPr>
      <w:r>
        <w:rPr>
          <w:rFonts w:ascii="Times New Roman" w:cs="Times New Roman" w:eastAsia="Times New Roman" w:hAnsi="Times New Roman"/>
          <w:sz w:val="18"/>
          <w:szCs w:val="18"/>
          <w:i w:val="1"/>
          <w:iCs w:val="1"/>
          <w:color w:val="231F20"/>
        </w:rPr>
        <w:t xml:space="preserve">Diapers and Wipes. </w:t>
      </w:r>
      <w:r>
        <w:rPr>
          <w:rFonts w:ascii="Times New Roman" w:cs="Times New Roman" w:eastAsia="Times New Roman" w:hAnsi="Times New Roman"/>
          <w:sz w:val="18"/>
          <w:szCs w:val="18"/>
          <w:color w:val="231F20"/>
        </w:rPr>
        <w:t>Primary components of our Clean Conscious™ diapers are made with sustainably harvested, chlorine-free fluff pulp and other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plant-derived materials. Our diapers are also packaged with a more efficient design than our previous diaper product that uses less material. Our diapers serve as a strategic customer acquisition tool, as new parents often proceed to also purchase baby wipes and products from our Skin and Personal Care and Household and Wellness categories.</w:t>
      </w:r>
    </w:p>
    <w:p>
      <w:pPr>
        <w:spacing w:after="0" w:line="206" w:lineRule="exact"/>
        <w:rPr>
          <w:rFonts w:ascii="Calibri" w:cs="Calibri" w:eastAsia="Calibri" w:hAnsi="Calibri"/>
          <w:sz w:val="18"/>
          <w:szCs w:val="18"/>
          <w:color w:val="231F20"/>
        </w:rPr>
      </w:pPr>
    </w:p>
    <w:p>
      <w:pPr>
        <w:ind w:left="660" w:right="20" w:hanging="328"/>
        <w:spacing w:after="0" w:line="256" w:lineRule="auto"/>
        <w:tabs>
          <w:tab w:leader="none" w:pos="653" w:val="left"/>
        </w:tabs>
        <w:numPr>
          <w:ilvl w:val="0"/>
          <w:numId w:val="6"/>
        </w:numPr>
        <w:rPr>
          <w:rFonts w:ascii="Calibri" w:cs="Calibri" w:eastAsia="Calibri" w:hAnsi="Calibri"/>
          <w:sz w:val="19"/>
          <w:szCs w:val="19"/>
          <w:color w:val="auto"/>
        </w:rPr>
      </w:pPr>
      <w:r>
        <w:rPr>
          <w:rFonts w:ascii="Times New Roman" w:cs="Times New Roman" w:eastAsia="Times New Roman" w:hAnsi="Times New Roman"/>
          <w:sz w:val="17"/>
          <w:szCs w:val="17"/>
          <w:i w:val="1"/>
          <w:iCs w:val="1"/>
          <w:color w:val="231F1F"/>
        </w:rPr>
        <w:t xml:space="preserve">Skin and Personal Care. </w:t>
      </w:r>
      <w:r>
        <w:rPr>
          <w:rFonts w:ascii="Times New Roman" w:cs="Times New Roman" w:eastAsia="Times New Roman" w:hAnsi="Times New Roman"/>
          <w:sz w:val="17"/>
          <w:szCs w:val="17"/>
          <w:color w:val="231F1F"/>
        </w:rPr>
        <w:t>We use clean and safe ingredients, including many naturally-derived ingredients that, most-importantly, are effective. We</w:t>
      </w:r>
      <w:r>
        <w:rPr>
          <w:rFonts w:ascii="Times New Roman" w:cs="Times New Roman" w:eastAsia="Times New Roman" w:hAnsi="Times New Roman"/>
          <w:sz w:val="17"/>
          <w:szCs w:val="17"/>
          <w:i w:val="1"/>
          <w:iCs w:val="1"/>
          <w:color w:val="231F1F"/>
        </w:rPr>
        <w:t xml:space="preserve"> </w:t>
      </w:r>
      <w:r>
        <w:rPr>
          <w:rFonts w:ascii="Times New Roman" w:cs="Times New Roman" w:eastAsia="Times New Roman" w:hAnsi="Times New Roman"/>
          <w:sz w:val="17"/>
          <w:szCs w:val="17"/>
          <w:color w:val="231F1F"/>
        </w:rPr>
        <w:t>have an extensive line of bath, body, skincare and beauty products designed for a range of skin types and concerns, many of which are certified by trusted experts and institutions, including the National Eczema Association. Our products are formulated to perform and our ingredients and formulas are toxicologist-audited for potential health concerns. For example, our award-winning</w:t>
      </w:r>
      <w:r>
        <w:rPr>
          <w:rFonts w:ascii="Times New Roman" w:cs="Times New Roman" w:eastAsia="Times New Roman" w:hAnsi="Times New Roman"/>
          <w:sz w:val="22"/>
          <w:szCs w:val="22"/>
          <w:color w:val="231F1F"/>
          <w:vertAlign w:val="superscript"/>
        </w:rPr>
        <w:t>(1)</w:t>
      </w:r>
      <w:r>
        <w:rPr>
          <w:rFonts w:ascii="Times New Roman" w:cs="Times New Roman" w:eastAsia="Times New Roman" w:hAnsi="Times New Roman"/>
          <w:sz w:val="17"/>
          <w:szCs w:val="17"/>
          <w:color w:val="231F1F"/>
        </w:rPr>
        <w:t xml:space="preserve"> </w:t>
      </w:r>
      <w:r>
        <w:rPr>
          <w:rFonts w:ascii="Times New Roman" w:cs="Times New Roman" w:eastAsia="Times New Roman" w:hAnsi="Times New Roman"/>
          <w:sz w:val="17"/>
          <w:szCs w:val="17"/>
          <w:i w:val="1"/>
          <w:iCs w:val="1"/>
          <w:color w:val="231F1F"/>
        </w:rPr>
        <w:t>Fresh Flex Concealer</w:t>
      </w:r>
      <w:r>
        <w:rPr>
          <w:rFonts w:ascii="Times New Roman" w:cs="Times New Roman" w:eastAsia="Times New Roman" w:hAnsi="Times New Roman"/>
          <w:sz w:val="17"/>
          <w:szCs w:val="17"/>
          <w:color w:val="231F1F"/>
        </w:rPr>
        <w:t xml:space="preserve"> is made without harmful parabens or paraffin, synthetic fragrances, cyclomethicone or mineral oil and our Clean Power Technology™ to create lasting wear.</w:t>
      </w:r>
    </w:p>
    <w:p>
      <w:pPr>
        <w:spacing w:after="0" w:line="207" w:lineRule="exact"/>
        <w:rPr>
          <w:rFonts w:ascii="Calibri" w:cs="Calibri" w:eastAsia="Calibri" w:hAnsi="Calibri"/>
          <w:sz w:val="19"/>
          <w:szCs w:val="19"/>
          <w:color w:val="auto"/>
        </w:rPr>
      </w:pPr>
    </w:p>
    <w:p>
      <w:pPr>
        <w:jc w:val="both"/>
        <w:ind w:left="660" w:right="180" w:hanging="328"/>
        <w:spacing w:after="0" w:line="263" w:lineRule="auto"/>
        <w:tabs>
          <w:tab w:leader="none" w:pos="653" w:val="left"/>
        </w:tabs>
        <w:numPr>
          <w:ilvl w:val="0"/>
          <w:numId w:val="6"/>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231F20"/>
        </w:rPr>
        <w:t xml:space="preserve">Household and Wellness. </w:t>
      </w:r>
      <w:r>
        <w:rPr>
          <w:rFonts w:ascii="Times New Roman" w:cs="Times New Roman" w:eastAsia="Times New Roman" w:hAnsi="Times New Roman"/>
          <w:sz w:val="18"/>
          <w:szCs w:val="18"/>
          <w:color w:val="231F20"/>
        </w:rPr>
        <w:t>We offer clean products that are designed to be safe for the whole family without compromising efficacy. Some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category products include baby clothing, pre and post natal vitamins, wellness supplements, sanitizing wipes, and hand sanitizer made with key plant-based ingredients. In 2022, we introduced new product innovation that has diversified our offering in this category, including our wellness supplement line and Honest Baby Clothing</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Allure's 2022 "Best of Beauty" award winner in the "Clean Beauty" category.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Integrated Omnichannel Presence</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231F20"/>
        </w:rPr>
        <w:t>Since our launch, we have built a well-integrated omnichannel presence by expanding our product availability across both Digital and Retail channels, including the launch of strategic partnerships with Target, Amazon and Walmart in 2014, 2017 and 2022, respectively. This business model has allowed us to efficiently scale our business while remaining agnostic as to the channel where consumers purchase our products.</w:t>
      </w:r>
    </w:p>
    <w:p>
      <w:pPr>
        <w:spacing w:after="0" w:line="201" w:lineRule="exact"/>
        <w:rPr>
          <w:sz w:val="20"/>
          <w:szCs w:val="20"/>
          <w:color w:val="auto"/>
        </w:rPr>
      </w:pPr>
    </w:p>
    <w:p>
      <w:pPr>
        <w:ind w:left="660" w:hanging="328"/>
        <w:spacing w:after="0" w:line="267" w:lineRule="auto"/>
        <w:tabs>
          <w:tab w:leader="none" w:pos="579"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Digital Channel. </w:t>
      </w:r>
      <w:r>
        <w:rPr>
          <w:rFonts w:ascii="Times New Roman" w:cs="Times New Roman" w:eastAsia="Times New Roman" w:hAnsi="Times New Roman"/>
          <w:sz w:val="18"/>
          <w:szCs w:val="18"/>
          <w:color w:val="231F20"/>
        </w:rPr>
        <w:t>In 2022, we generated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45%</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revenue through our Digital channel, which includes our flagship digital platform, Honest.com,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third-party pureplay ecommerce sites. Through Honest.com, we are able to establish a direct relationship with our consumers, to more effectively influence brand experience and better understand consumer</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8" w:name="page9"/>
    <w:bookmarkEnd w:id="8"/>
    <w:p>
      <w:pPr>
        <w:ind w:left="660" w:right="20"/>
        <w:spacing w:after="0" w:line="256" w:lineRule="auto"/>
        <w:rPr>
          <w:sz w:val="20"/>
          <w:szCs w:val="20"/>
          <w:color w:val="auto"/>
        </w:rPr>
      </w:pPr>
      <w:r>
        <w:rPr>
          <w:rFonts w:ascii="Times New Roman" w:cs="Times New Roman" w:eastAsia="Times New Roman" w:hAnsi="Times New Roman"/>
          <w:sz w:val="18"/>
          <w:szCs w:val="18"/>
          <w:color w:val="231F20"/>
        </w:rPr>
        <w:t>preferences and behavior. Our website showcases the entirety of our product portfolio, offers exclusive products and services including our subscription service and loyalty program Honest Rewards™, houses branded content featured on product detail pages and our blog, and facilitates new product feedback via exclusive pre-launch access across all our channels. In addition to shopping our products a la carte, consumers have the option to subscribe to our popular Diapers and Wipes bundle subscription, as well as customizable single item subscriptions. In 2022, 25% of our revenue was generated from Honest.com. In January 2023, we launched Honest Rewards™ loyalty program aimed to increase long-term customer value with the brand through consumer incentives.</w:t>
      </w:r>
    </w:p>
    <w:p>
      <w:pPr>
        <w:spacing w:after="0" w:line="214"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231F20"/>
        </w:rPr>
        <w:t>Additionally, we have strong relationships with Amazon and other third-party ecommerce platforms which allow us to further our brand experience and leverage engaging assets and content featured on Honest.com. We leverage first-party data on Amazon to improve the efficiency of our marketing spend and inform our growth strategy. These relationships also enable us to participate in important key retailer-specific programs, leading to increased awareness with a new set of consumers. We believe our Digital channel provides our consumers with the highest level of brand experience and further builds consumer loyalty.</w:t>
      </w:r>
    </w:p>
    <w:p>
      <w:pPr>
        <w:spacing w:after="0" w:line="208" w:lineRule="exact"/>
        <w:rPr>
          <w:sz w:val="20"/>
          <w:szCs w:val="20"/>
          <w:color w:val="auto"/>
        </w:rPr>
      </w:pPr>
    </w:p>
    <w:p>
      <w:pPr>
        <w:ind w:left="660" w:right="20" w:hanging="328"/>
        <w:spacing w:after="0" w:line="258" w:lineRule="auto"/>
        <w:tabs>
          <w:tab w:leader="none" w:pos="579"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Retail Channel. </w:t>
      </w:r>
      <w:r>
        <w:rPr>
          <w:rFonts w:ascii="Times New Roman" w:cs="Times New Roman" w:eastAsia="Times New Roman" w:hAnsi="Times New Roman"/>
          <w:sz w:val="18"/>
          <w:szCs w:val="18"/>
          <w:color w:val="231F20"/>
        </w:rPr>
        <w:t>In 2022, we generated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55%</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revenue through our Retail channel via strategic partnerships with leading omnichannel retailers that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sell our products through brick and mortar stores and often on their own websites as well. Our retail partnerships expand brand awareness and product accessibility, creating meaningful marketing efficiencies as we continue to scale. Additionally, these partnerships support our differentiated value proposition by making our products conveniently accessible in the many places where our consumer shops. As of December 31, 2022, our products can be found in approximately 50,000 retail locations across the United States, Canada and Europe.</w:t>
      </w:r>
    </w:p>
    <w:p>
      <w:pPr>
        <w:spacing w:after="0" w:line="21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All-commodity volume ("ACV") is the measurement of a product’s distribution weighted by the overall dollar retail sales attributable to the retail location distributing such product; a retail location would be counted as having sold the product or product group if at least one unit of the product was scanned for sale within the relevant time period. This metric provides a measurement of retail penetration that takes into account the importance of selling through retail locations with higher overall retail sales volumes, and as a result we believe that our competitors generally use the same measurement. For the 13-weeks ended January 1, 2023, in total we had approximately 72 points ACV in national multi-outlet stores, as compared with 49 points in the year ago period, primarily driven by the launch of diapers, wipes, and personal care products into over 2,500 Walmart stores. Below is our ACV weighted distribution for the 13-week period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966460" cy="2948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Growth Strategy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Strategy</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core of our Content, Community, Commerce marketing strategy is centered upon creating a brand for all people that leverages rich content to drive brand awareness around clean, conscious living through marketplaces where our products are sold. Included in our Content, Community, Commerce marketing strategy is our digital strategy that is geared towards creating lifetime value while fueling our omnichannel growth by converting one-time purchasers to a community of like-minded consumers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9" w:name="page10"/>
    <w:bookmarkEnd w:id="9"/>
    <w:p>
      <w:pPr>
        <w:ind w:right="380"/>
        <w:spacing w:after="0" w:line="266" w:lineRule="auto"/>
        <w:rPr>
          <w:sz w:val="20"/>
          <w:szCs w:val="20"/>
          <w:color w:val="auto"/>
        </w:rPr>
      </w:pPr>
      <w:r>
        <w:rPr>
          <w:rFonts w:ascii="Times New Roman" w:cs="Times New Roman" w:eastAsia="Times New Roman" w:hAnsi="Times New Roman"/>
          <w:sz w:val="18"/>
          <w:szCs w:val="18"/>
          <w:color w:val="auto"/>
        </w:rPr>
        <w:t>aligned with Honest’s mission (the "Digital Strategy"). This conversion will be facilitated through the curation of value-driven digital experiences, including personalized shopping experiences, loyalty rewards, optimized mobile and desktop experiences and overall improvements within our digital assets to delight and excite our consumers.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Innovation Strategy</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use connectivity to our community of consumers to provide valuable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207"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We continue to innovate in each of our product categories in areas such as breakthrough new product formulations, innovative packaging, costovation (defined below) and marketing strategy, with a focus on driving “big bets” across potential product adjacencies where we have: 1) ability to build on our premium positioning, 2) ability to lead and win in a category, and 3) the opportunity to expand into more places within an existing Honest home while positioning ourselves as a premium brand. We are also focused on building a portfolio of products in complementary categories through our Innovation Strategy and the investment in our Digital Strategy. We are building an Honest community with the goal of creating a more holistic clean, conscious home for consumers and customers alike. We strive for continuous improvement in our existing products’ safety, sustainability, efficacy and design profile while achieving better performance often at lower cost, which we refer to as costovation.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Omnichannel Strategy</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We reach our consumers through a strategic omnichannel approach across complementary Digital and Retail channels to maximize consumers’ connection, experience and access to our brand. We are enhancing our technology to allow digital orders to be delivered to customers faster and providing content and community digital offerings to take advantage of our subscriptions program. Our integrated omnichannel approach provides a meaningful benefit to our consumers who can shop our brand however they want, engendering further “stickiness” and loyalty. Our omnichannel approach seeks to meet consumers however they want to shop, balancing deep consumer connection with broad convenience and accessibility.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Years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966460" cy="3162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6460" cy="316293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Supply Chain and Operations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We manage a global supply chain of highly qualified, third-party manufacturing and logistics partners to produce and distribute our products. We look to manufacturing partners who share our commitment to quality, Current Good Manufacturing Practices ("cGMPs"), sustainability, and design. We conduct quality audits of our third-party manufacturing partners and require that they follow our high standards of controlled documentation, cleaning and safety protocols, and laboratory controls. Our third-party manufacturing partners are located in various locations including the United States, Mexico and China. Our supply chain team manages these relationships and processes and, with the support of our innovation team, researches materials and equipment, approves and manages purchasing plans, and oversees product fulfillment.</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The primary raw materials and components of our products include sustainably harvested fluff pulp in our diapers and plant-based substrate in our baby wipes, among other materials. Just as important as what goes into our products, we actively work with suppliers to avoid certain materials, including parabens, paraffins, synthetic fragrances, and mineral oil, that don’t meet our standards but are commonly used by mainstream brands.</w:t>
      </w:r>
    </w:p>
    <w:p>
      <w:pPr>
        <w:spacing w:after="0" w:line="20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Our distribution network includes three warehouses in Nevada, Pennsylvania and the Netherlands and other short-term inventory storage locations with retail and direct-to-consumer ("DTC") fulfillment capabilities and value-added services operated by GEODIS Logistics LLC, or GEODIS. The warehouse in Las Vegas is a state-of-the-art facility leased by Honest with a focus on automated large scale DTC fulfillment. We manage inventory by forecasting demand, analyzing product sell-through, and analyzing our supply chain to ensure sufficient capacity to support demand. As a result of the COVID-19 pandemic and other macroeconomic trends, we and our distribution partners have in the past experienced and may experience in the future some disruptions to the operations of our fulfillment centers.</w:t>
      </w:r>
    </w:p>
    <w:p>
      <w:pPr>
        <w:spacing w:after="0" w:line="21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231F20"/>
        </w:rPr>
        <w:t>Sustainability is a key component of our supply chain and distribution. We have transitioned to 100% pre-consumer or post-consumer recycled ("PCR") cardboard shipping cartons for our Honest.com shipments.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25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w:t>
      </w:r>
      <w:r>
        <w:rPr>
          <w:rFonts w:ascii="Times New Roman" w:cs="Times New Roman" w:eastAsia="Times New Roman" w:hAnsi="Times New Roman"/>
          <w:sz w:val="18"/>
          <w:szCs w:val="18"/>
          <w:color w:val="000000"/>
        </w:rPr>
        <w:t>onsumer packaged goods, or CPG</w:t>
      </w:r>
      <w:r>
        <w:rPr>
          <w:rFonts w:ascii="Times New Roman" w:cs="Times New Roman" w:eastAsia="Times New Roman" w:hAnsi="Times New Roman"/>
          <w:sz w:val="18"/>
          <w:szCs w:val="18"/>
          <w:color w:val="231F20"/>
        </w:rPr>
        <w:t xml:space="preserve"> players and emerging DTC brands.</w:t>
      </w:r>
    </w:p>
    <w:p>
      <w:pPr>
        <w:spacing w:after="0" w:line="201" w:lineRule="exact"/>
        <w:rPr>
          <w:sz w:val="20"/>
          <w:szCs w:val="20"/>
          <w:color w:val="auto"/>
        </w:rPr>
      </w:pPr>
    </w:p>
    <w:p>
      <w:pPr>
        <w:ind w:left="1220" w:right="500" w:hanging="564"/>
        <w:spacing w:after="0" w:line="284" w:lineRule="auto"/>
        <w:tabs>
          <w:tab w:leader="none" w:pos="89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Diapers and Wipes. </w:t>
      </w:r>
      <w:r>
        <w:rPr>
          <w:rFonts w:ascii="Times New Roman" w:cs="Times New Roman" w:eastAsia="Times New Roman" w:hAnsi="Times New Roman"/>
          <w:sz w:val="18"/>
          <w:szCs w:val="18"/>
          <w:color w:val="231F20"/>
        </w:rPr>
        <w:t>Select competitors include Kimberly-Clark Corporation (maker of Huggies), Procter &amp; Gamble Company (maker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Pampers, Pampers Pure and Luvs), WaterWipes UC and other private label brands.</w:t>
      </w:r>
    </w:p>
    <w:p>
      <w:pPr>
        <w:spacing w:after="0" w:line="185" w:lineRule="exact"/>
        <w:rPr>
          <w:rFonts w:ascii="Times New Roman" w:cs="Times New Roman" w:eastAsia="Times New Roman" w:hAnsi="Times New Roman"/>
          <w:sz w:val="18"/>
          <w:szCs w:val="18"/>
          <w:color w:val="231F20"/>
        </w:rPr>
      </w:pPr>
    </w:p>
    <w:p>
      <w:pPr>
        <w:ind w:left="1220" w:hanging="564"/>
        <w:spacing w:after="0" w:line="267" w:lineRule="auto"/>
        <w:tabs>
          <w:tab w:leader="none" w:pos="89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Skin and Personal Care. </w:t>
      </w:r>
      <w:r>
        <w:rPr>
          <w:rFonts w:ascii="Times New Roman" w:cs="Times New Roman" w:eastAsia="Times New Roman" w:hAnsi="Times New Roman"/>
          <w:sz w:val="18"/>
          <w:szCs w:val="18"/>
          <w:color w:val="231F20"/>
        </w:rPr>
        <w:t>Select competitors include Johnson &amp; Johnson Consumer Inc. (maker of Johnson’s Baby and Aveeno), The Clorox</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 (parent company of Burt’s Bees, Inc.), Unilever PLC (maker of Shea Moisture), LVMH Moët Hennessy Louis Vuitton (maker of Benefit Cosmetics LLC), Estée Lauder Inc., L’Oréal S.A. and Pacifica Beauty LLC.</w:t>
      </w:r>
    </w:p>
    <w:p>
      <w:pPr>
        <w:spacing w:after="0" w:line="200" w:lineRule="exact"/>
        <w:rPr>
          <w:rFonts w:ascii="Times New Roman" w:cs="Times New Roman" w:eastAsia="Times New Roman" w:hAnsi="Times New Roman"/>
          <w:sz w:val="18"/>
          <w:szCs w:val="18"/>
          <w:color w:val="231F20"/>
        </w:rPr>
      </w:pPr>
    </w:p>
    <w:p>
      <w:pPr>
        <w:ind w:left="1220" w:right="320" w:hanging="564"/>
        <w:spacing w:after="0" w:line="284" w:lineRule="auto"/>
        <w:tabs>
          <w:tab w:leader="none" w:pos="896"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Household and Wellness. </w:t>
      </w:r>
      <w:r>
        <w:rPr>
          <w:rFonts w:ascii="Times New Roman" w:cs="Times New Roman" w:eastAsia="Times New Roman" w:hAnsi="Times New Roman"/>
          <w:sz w:val="18"/>
          <w:szCs w:val="18"/>
          <w:color w:val="231F20"/>
        </w:rPr>
        <w:t>Select competitors include Carter's Inc., The Clorox Company, Reckitt Benckiser Group plc (maker of Lysol)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Unilever PLC (maker of Seventh Generation products).</w:t>
      </w:r>
    </w:p>
    <w:p>
      <w:pPr>
        <w:spacing w:after="0" w:line="187"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231F20"/>
        </w:rPr>
        <w:t>We compete based on various product attributes including clean formulation, sustainability, effectiveness and design, as well as our ability to establish direct relationships with our consumers through digital channels. We believe that we compete favorably across these factors taken as a whole.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Industry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We believe that the “clean and natural” product categories of the Diapers and Wipes, Skin and Personal Care and Household and Wellness markets are growing at outsized rates, as a result of the increasing shift in consumer demand for “better-for-you” products. Based on independent third-party consumption data for the 52 weeks ended January 1, 2023, the dollar amount of sales of the clean and natural products of Honest wipes, diaper and baby personal care grew 22.9%, 15.2% and 12.8%, respectively, significantly outpacing the products in the industry as a whole which grew in diapers and wipes 7.7% and 7.1%, respectively, and declined in baby personal care by 1.6%.</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231F20"/>
        </w:rPr>
        <w:t>We believe that certain historical leading brands that have produced products in these categories for decades generally focus on single categories and offer products made with conventional ingredients that are less aligned with increasing consumer preference for clean and natural solutions. We believe that given consumers’ growing focus on their health and wellness, reducing waste and promoting social impact, we are well-positioned to continue to take market share from these legacy brands.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11" w:name="page12"/>
    <w:bookmarkEnd w:id="11"/>
    <w:p>
      <w:pPr>
        <w:ind w:right="200" w:firstLine="648"/>
        <w:spacing w:after="0" w:line="282" w:lineRule="auto"/>
        <w:rPr>
          <w:sz w:val="20"/>
          <w:szCs w:val="20"/>
          <w:color w:val="auto"/>
        </w:rPr>
      </w:pPr>
      <w:r>
        <w:rPr>
          <w:rFonts w:ascii="Times New Roman" w:cs="Times New Roman" w:eastAsia="Times New Roman" w:hAnsi="Times New Roman"/>
          <w:sz w:val="18"/>
          <w:szCs w:val="18"/>
          <w:color w:val="231F20"/>
        </w:rPr>
        <w:t>We believe that this market shift towards clean and natural products is in its early stages and provides whitespace opportunity for further market penetration and category growth in the clean and natural product categories.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Purpose-Driven Organization</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At Honest, we prioritize transparency, trust, safety and human health in all that we do. </w:t>
      </w:r>
      <w:r>
        <w:rPr>
          <w:rFonts w:ascii="Times New Roman" w:cs="Times New Roman" w:eastAsia="Times New Roman" w:hAnsi="Times New Roman"/>
          <w:sz w:val="18"/>
          <w:szCs w:val="18"/>
          <w:color w:val="000000"/>
        </w:rPr>
        <w:t>Our purpose-driven mission has always been guided by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commitment to philanthropic partnerships and community engagement with a focus on diversity and inclusion. </w:t>
      </w:r>
      <w:r>
        <w:rPr>
          <w:rFonts w:ascii="Times New Roman" w:cs="Times New Roman" w:eastAsia="Times New Roman" w:hAnsi="Times New Roman"/>
          <w:sz w:val="18"/>
          <w:szCs w:val="18"/>
          <w:color w:val="231F20"/>
        </w:rPr>
        <w:t>Our Environmental, Social and Governance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("ESG") initiatives are focused around three key pillars, Planet; Products; and People. We recently published an Investor tear sheet on our investor relations website that aligns with both the Sustainability Accounting Standards Board ("SASB") and the Task Force on Climate-related Financial Disclosures ("TCFD") frameworks.</w:t>
      </w:r>
    </w:p>
    <w:p>
      <w:pPr>
        <w:spacing w:after="0" w:line="21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overseeing management of risk related to our ESG practices, including risks related to our operations and our supply chain. In 2022, we also formed an ESG Council which comprises certain executive management and various cross-functional leaders across the organization that share oversight of ESG matters.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PLANET</w:t>
      </w:r>
    </w:p>
    <w:p>
      <w:pPr>
        <w:spacing w:after="0" w:line="254" w:lineRule="exact"/>
        <w:rPr>
          <w:sz w:val="20"/>
          <w:szCs w:val="20"/>
          <w:color w:val="auto"/>
        </w:rPr>
      </w:pPr>
    </w:p>
    <w:p>
      <w:pPr>
        <w:jc w:val="both"/>
        <w:ind w:left="660" w:right="80" w:hanging="328"/>
        <w:spacing w:after="0" w:line="261" w:lineRule="auto"/>
        <w:tabs>
          <w:tab w:leader="none" w:pos="579"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We strive for sustainable packaging. </w:t>
      </w:r>
      <w:r>
        <w:rPr>
          <w:rFonts w:ascii="Times New Roman" w:cs="Times New Roman" w:eastAsia="Times New Roman" w:hAnsi="Times New Roman"/>
          <w:sz w:val="18"/>
          <w:szCs w:val="18"/>
          <w:color w:val="231F20"/>
        </w:rPr>
        <w:t>Our commitment to environmental sustainability shows up through our product development, packaging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processes and in all parts of our business on a daily basis. For example, we use sustainable cartons in some of our Skin &amp; Personal Care products that are environmentally-friendly, Forest Stewardship Council ("FSC")-certified, and made from 100% recycled, PCW (pre/post consumer waste) materials.</w:t>
      </w:r>
    </w:p>
    <w:p>
      <w:pPr>
        <w:spacing w:after="0" w:line="206" w:lineRule="exact"/>
        <w:rPr>
          <w:rFonts w:ascii="Times New Roman" w:cs="Times New Roman" w:eastAsia="Times New Roman" w:hAnsi="Times New Roman"/>
          <w:sz w:val="18"/>
          <w:szCs w:val="18"/>
          <w:color w:val="231F20"/>
        </w:rPr>
      </w:pPr>
    </w:p>
    <w:p>
      <w:pPr>
        <w:ind w:left="660" w:hanging="328"/>
        <w:spacing w:after="0" w:line="256" w:lineRule="auto"/>
        <w:tabs>
          <w:tab w:leader="none" w:pos="579"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We strive to lessen our environmental footprint—minimizing our impact by offsetting carbon emissions and working to responsibly source materials and packaging. </w:t>
      </w:r>
      <w:r>
        <w:rPr>
          <w:rFonts w:ascii="Times New Roman" w:cs="Times New Roman" w:eastAsia="Times New Roman" w:hAnsi="Times New Roman"/>
          <w:sz w:val="18"/>
          <w:szCs w:val="18"/>
          <w:color w:val="231F20"/>
        </w:rPr>
        <w:t>We have transitioned our Honest.com shipping cartons to 100% PCR cardboard. In 2020, Honest entered into an agreement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participate in a six-month carbon offset program to reduce greenhouse gas emissions resulting from our domestic Honest.com shipments. We began our participation in this program in 2020 and have participated in consecutive six-month periods through 2021 and 2022. We plan to continue to participate in this six-month program through the end of 2023. Our Clean Conscious™ diaper features an innovative design including our plant-based backsheet, sustainably harvested fluff pulp and a more efficient design than our previous diaper product that uses less material helping to avoid using over 7,000 trees every single year.</w:t>
      </w:r>
    </w:p>
    <w:p>
      <w:pPr>
        <w:spacing w:after="0" w:line="209" w:lineRule="exact"/>
        <w:rPr>
          <w:rFonts w:ascii="Times New Roman" w:cs="Times New Roman" w:eastAsia="Times New Roman" w:hAnsi="Times New Roman"/>
          <w:sz w:val="18"/>
          <w:szCs w:val="18"/>
          <w:color w:val="231F20"/>
        </w:rPr>
      </w:pPr>
    </w:p>
    <w:p>
      <w:pPr>
        <w:ind w:left="660" w:hanging="328"/>
        <w:spacing w:after="0" w:line="290" w:lineRule="auto"/>
        <w:tabs>
          <w:tab w:leader="none" w:pos="655" w:val="left"/>
        </w:tabs>
        <w:numPr>
          <w:ilvl w:val="0"/>
          <w:numId w:val="10"/>
        </w:numPr>
        <w:rPr>
          <w:rFonts w:ascii="Times New Roman" w:cs="Times New Roman" w:eastAsia="Times New Roman" w:hAnsi="Times New Roman"/>
          <w:sz w:val="17"/>
          <w:szCs w:val="17"/>
          <w:i w:val="1"/>
          <w:iCs w:val="1"/>
          <w:color w:val="231F20"/>
        </w:rPr>
      </w:pPr>
      <w:r>
        <w:rPr>
          <w:rFonts w:ascii="Times New Roman" w:cs="Times New Roman" w:eastAsia="Times New Roman" w:hAnsi="Times New Roman"/>
          <w:sz w:val="17"/>
          <w:szCs w:val="17"/>
          <w:i w:val="1"/>
          <w:iCs w:val="1"/>
          <w:color w:val="231F20"/>
        </w:rPr>
        <w:t xml:space="preserve">We prioritize waste reduction, focusing on reusable, refillable and recyclable materials. </w:t>
      </w:r>
      <w:r>
        <w:rPr>
          <w:rFonts w:ascii="Times New Roman" w:cs="Times New Roman" w:eastAsia="Times New Roman" w:hAnsi="Times New Roman"/>
          <w:sz w:val="17"/>
          <w:szCs w:val="17"/>
          <w:color w:val="231F20"/>
        </w:rPr>
        <w:t>100% of our baby personal care and household cleaning</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bottles are recyclable or include recycled materials and we are regularly looking to increase the amount of post-consumer resin in our components. We eliminated plastic in many of our Skin and Personal Care products by moving to aluminum tubes, refillable tin compacts and glass jars.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54" w:lineRule="exact"/>
        <w:rPr>
          <w:sz w:val="20"/>
          <w:szCs w:val="20"/>
          <w:color w:val="auto"/>
        </w:rPr>
      </w:pPr>
    </w:p>
    <w:p>
      <w:pPr>
        <w:ind w:left="660" w:right="240" w:hanging="328"/>
        <w:spacing w:after="0" w:line="257" w:lineRule="auto"/>
        <w:tabs>
          <w:tab w:leader="none" w:pos="579"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auto"/>
        </w:rPr>
        <w:t xml:space="preserve">We are committed to the health, safety and well-being of our consumers by providing clean, effective, well-designed products consumers can feel great about using. </w:t>
      </w:r>
      <w:r>
        <w:rPr>
          <w:rFonts w:ascii="Times New Roman" w:cs="Times New Roman" w:eastAsia="Times New Roman" w:hAnsi="Times New Roman"/>
          <w:sz w:val="18"/>
          <w:szCs w:val="18"/>
          <w:color w:val="auto"/>
        </w:rPr>
        <w:t>We place an emphasis on ingredient and formula assessments, including external third-party certifications and in-house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Toxicologist and Eco-toxicologist Audit protocols where we review the final formula for potential chemical hazards, dose-response, and anticipated exposure to determine if our products meet a health-protective margin of safety, not only for single product use, but over the consumer’s lifetime. Our NO List™ contains over 3,500 chemicals and materials we choose not to use, including parabens, sulfate surfactants, phthalates, formaldehyde donors and synthetic fragrances.</w:t>
      </w:r>
    </w:p>
    <w:p>
      <w:pPr>
        <w:spacing w:after="0" w:line="209" w:lineRule="exact"/>
        <w:rPr>
          <w:rFonts w:ascii="Times New Roman" w:cs="Times New Roman" w:eastAsia="Times New Roman" w:hAnsi="Times New Roman"/>
          <w:sz w:val="18"/>
          <w:szCs w:val="18"/>
          <w:color w:val="231F20"/>
        </w:rPr>
      </w:pPr>
    </w:p>
    <w:p>
      <w:pPr>
        <w:ind w:left="660" w:right="8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prioritize naturally-derived resources over synthetic, petroleum-derived ingredients in our product formulas and designs. </w:t>
      </w:r>
      <w:r>
        <w:rPr>
          <w:rFonts w:ascii="Times New Roman" w:cs="Times New Roman" w:eastAsia="Times New Roman" w:hAnsi="Times New Roman"/>
          <w:sz w:val="18"/>
          <w:szCs w:val="18"/>
          <w:color w:val="auto"/>
        </w:rPr>
        <w:t>The majority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Baby Personal Care and Mama Care formulas meet the United States Department of Agriculture's ("USDA") BioPreferred® Program requirements for biobased content. The alcohol used in our alcohol wipes, hand sanitizer gel and hand sanitizer spray is plant-derived and our fragrances are naturally derived, never synthetic. Primary components of our diapers are made with sustainably harvested, chlorine-free fluff pulp and other plant-derived materials, including our plant-based backsheet. Our baby clothing is made with organic cotton.</w:t>
      </w:r>
    </w:p>
    <w:p>
      <w:pPr>
        <w:spacing w:after="0" w:line="210" w:lineRule="exact"/>
        <w:rPr>
          <w:rFonts w:ascii="Times New Roman" w:cs="Times New Roman" w:eastAsia="Times New Roman" w:hAnsi="Times New Roman"/>
          <w:sz w:val="18"/>
          <w:szCs w:val="18"/>
          <w:color w:val="auto"/>
        </w:rPr>
      </w:pPr>
    </w:p>
    <w:p>
      <w:pPr>
        <w:ind w:left="660" w:right="280" w:hanging="328"/>
        <w:spacing w:after="0" w:line="258" w:lineRule="auto"/>
        <w:tabs>
          <w:tab w:leader="none" w:pos="653"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231F20"/>
        </w:rPr>
        <w:t xml:space="preserve">We comply with the requirements of many independent organizations or certification authorities for several of our products. </w:t>
      </w:r>
      <w:r>
        <w:rPr>
          <w:rFonts w:ascii="Times New Roman" w:cs="Times New Roman" w:eastAsia="Times New Roman" w:hAnsi="Times New Roman"/>
          <w:sz w:val="18"/>
          <w:szCs w:val="18"/>
          <w:color w:val="231F20"/>
        </w:rPr>
        <w:t>This includes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USDA's, National Organic Program, the USDA’s BioPreferred® Program for biobased content, the National Eczema Association’s Seal of Acceptance, EWG Verified™, the U.S. EPA’s Safer Choice Program, Green Seal®, the NSF/ANSI 305 standards set by Quality Assurance International and the Global Organic Textile Standard for organic cotton in our baby clothing and bedding. </w:t>
      </w:r>
      <w:r>
        <w:rPr>
          <w:rFonts w:ascii="Times New Roman" w:cs="Times New Roman" w:eastAsia="Times New Roman" w:hAnsi="Times New Roman"/>
          <w:sz w:val="18"/>
          <w:szCs w:val="18"/>
          <w:color w:val="231F1F"/>
        </w:rPr>
        <w:t>We have over 100</w:t>
      </w:r>
      <w:r>
        <w:rPr>
          <w:rFonts w:ascii="Times New Roman" w:cs="Times New Roman" w:eastAsia="Times New Roman" w:hAnsi="Times New Roman"/>
          <w:sz w:val="18"/>
          <w:szCs w:val="18"/>
          <w:color w:val="231F20"/>
        </w:rPr>
        <w:t xml:space="preserve"> EWG Verified™ </w:t>
      </w:r>
      <w:r>
        <w:rPr>
          <w:rFonts w:ascii="Times New Roman" w:cs="Times New Roman" w:eastAsia="Times New Roman" w:hAnsi="Times New Roman"/>
          <w:sz w:val="18"/>
          <w:szCs w:val="18"/>
          <w:color w:val="231F1F"/>
        </w:rPr>
        <w:t>SKUs across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231F1F"/>
        </w:rPr>
        <w:t>the organization, which are products that do not include EWG's chemicals of concern while also meeting their strict health-based guidelines.</w:t>
      </w:r>
    </w:p>
    <w:p>
      <w:pPr>
        <w:spacing w:after="0" w:line="264" w:lineRule="exact"/>
        <w:rPr>
          <w:sz w:val="20"/>
          <w:szCs w:val="20"/>
          <w:color w:val="auto"/>
        </w:rPr>
      </w:pPr>
    </w:p>
    <w:p>
      <w:pPr>
        <w:ind w:left="660" w:right="340" w:hanging="328"/>
        <w:spacing w:after="0" w:line="27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i w:val="1"/>
          <w:iCs w:val="1"/>
          <w:color w:val="231F20"/>
        </w:rPr>
        <w:t xml:space="preserve">We conduct quality audits of our third-party manufacturing partners. </w:t>
      </w:r>
      <w:r>
        <w:rPr>
          <w:rFonts w:ascii="Times New Roman" w:cs="Times New Roman" w:eastAsia="Times New Roman" w:hAnsi="Times New Roman"/>
          <w:sz w:val="18"/>
          <w:szCs w:val="18"/>
          <w:color w:val="231F20"/>
        </w:rPr>
        <w:t>We require our third-party manufacturers to follow our high standards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controlled documentation, cleaning and safety protocols, and laboratory controls.</w:t>
      </w:r>
    </w:p>
    <w:p>
      <w:pPr>
        <w:spacing w:after="0" w:line="191" w:lineRule="exact"/>
        <w:rPr>
          <w:rFonts w:ascii="Times New Roman" w:cs="Times New Roman" w:eastAsia="Times New Roman" w:hAnsi="Times New Roman"/>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partner with trusted science-based industry groups driving change in green chemistry. </w:t>
      </w:r>
      <w:r>
        <w:rPr>
          <w:rFonts w:ascii="Times New Roman" w:cs="Times New Roman" w:eastAsia="Times New Roman" w:hAnsi="Times New Roman"/>
          <w:sz w:val="18"/>
          <w:szCs w:val="18"/>
          <w:color w:val="auto"/>
        </w:rPr>
        <w:t>In 2022, we announced our Co-Design Partnership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ChemFORWARD, a nonprofit value chain collaboration increasing access to data on chemical hazards and safer alternatives. We are also members of the Green Chemistry &amp; Commerce Council (GC3), a multi-stakeholder collaboration driving for commercial adoption of green chemistry by forging meaningful connections across the supply and value chain.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PEOPLE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Impact</w:t>
      </w:r>
    </w:p>
    <w:p>
      <w:pPr>
        <w:spacing w:after="0" w:line="25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231F20"/>
        </w:rPr>
        <w:t>We work closely with our charity partners, including Baby2Baby, to help provide children and families around the world with the basic essentials and resources they need to live healthy lives. Since the start of our relationship with Baby2Baby and other partners, we have donated more than 28 million family personal care, feminine care, clean beauty products and other essentials to those in need and our compassionate team has volunteered countless hours giving back to our communities and providing disaster relief.</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31F20"/>
        </w:rPr>
        <w:t>Our partnership with March of Dimes helps fund research, advocacy and service programs addressing maternal and infant mortality with critical healthcare and support. The partnership will also fund the creation of new advocacy content about environmental justice for moms and babies, helping further spread the important work this organization has set out to do. In 2022, we announced that our Head of Toxicology co-authored the Personal Care Product &amp; Beauty Justice brief through March of Dimes' Mom and Baby Action Network (M-BAN), highlighting cosmetic ingredients of potential concern for a pregnant person and their unborn child as well as inequities experienced by marginalized populations; the brief is expected to be published in 2023. Through this partnership, we have donated more than $0.4 million, reaching more than an estimated 455,000 mothers with health education and programs to support the organization, including its new Mom and Baby Action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Human Capital Management</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231F20"/>
        </w:rPr>
        <w:t>Our Board of Directors and Compensation Committee provide important oversight on certain human capital matters, including the strategic direction for various people-related business goals and strategies, such as compensation and benefit programs, leadership succession planning, culture and talent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5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Our human capital planning process strategically aligns our business needs with the goal of ensuring we have the capability and capacity we need to meet consumer demand. As of December 31, 2022, we had a total of 198 full-time employee equivalents, as well as a limited number of temporary employees and consultants. In building our high-performing teams, we have invested in leadership, marketing, digital and technology capabilities. Embedded in the Honest culture are core values that honor diversity and inclusion, making The Honest Company a workplace that values different perspectives and ideas. Honest offers a competitive compensation and benefits program, and our award-winning learning and development platform, Honest University, delivers opportunities for all employees to grow and develop personally, professionally and financially. Our corporate social responsibility efforts provide opportunities for employees to give back to communities in need through volunteerism, donation matching and paid volunteer time off. We foster an environment of community and support within our organization through our employee resource groups (discussed below), which offer a safe forum to inspire and develop employee-led initiatives addressing issues that matter most to them. As a health and wellness brand, we ensure our employees have competitive benefits and access to a range of wellness offerings to empower them to live healthy, happy lives.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Diversity and Inclusion</w:t>
      </w:r>
    </w:p>
    <w:p>
      <w:pPr>
        <w:spacing w:after="0" w:line="254" w:lineRule="exact"/>
        <w:rPr>
          <w:sz w:val="20"/>
          <w:szCs w:val="20"/>
          <w:color w:val="auto"/>
        </w:rPr>
      </w:pPr>
    </w:p>
    <w:p>
      <w:pPr>
        <w:jc w:val="both"/>
        <w:ind w:right="160"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As a Company founded by a woman of color, we have always been passionate about ensuring a diverse and inclusive workforce that reflects our consumers and the communities we serve. Our Chief Executive Officer is one of the only Afro-Latina Chief Executive Officers at a U.S. publicly traded company, bringing a new era of leadership that reflects the diversity of Honest’s consumers. We are proud to say that as of December 31, 2022, people of color represented nearly half of our workforce, and women represented more than 65% and 60% of our workforce and leadership, which includes director level and above, respectively. We currently have four Employee Resource Groups: </w:t>
      </w:r>
      <w:r>
        <w:rPr>
          <w:rFonts w:ascii="Times New Roman" w:cs="Times New Roman" w:eastAsia="Times New Roman" w:hAnsi="Times New Roman"/>
          <w:sz w:val="18"/>
          <w:szCs w:val="18"/>
          <w:i w:val="1"/>
          <w:iCs w:val="1"/>
          <w:color w:val="231F20"/>
        </w:rPr>
        <w:t>Women Excelling in Leadership and Living</w:t>
      </w:r>
      <w:r>
        <w:rPr>
          <w:rFonts w:ascii="Times New Roman" w:cs="Times New Roman" w:eastAsia="Times New Roman" w:hAnsi="Times New Roman"/>
          <w:sz w:val="18"/>
          <w:szCs w:val="18"/>
          <w:color w:val="231F20"/>
        </w:rPr>
        <w:t>, or W.E.L.L,</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3" w:name="page14"/>
    <w:bookmarkEnd w:id="13"/>
    <w:p>
      <w:pPr>
        <w:ind w:right="40"/>
        <w:spacing w:after="0" w:line="258" w:lineRule="auto"/>
        <w:rPr>
          <w:sz w:val="20"/>
          <w:szCs w:val="20"/>
          <w:color w:val="auto"/>
        </w:rPr>
      </w:pPr>
      <w:r>
        <w:rPr>
          <w:rFonts w:ascii="Times New Roman" w:cs="Times New Roman" w:eastAsia="Times New Roman" w:hAnsi="Times New Roman"/>
          <w:sz w:val="18"/>
          <w:szCs w:val="18"/>
          <w:i w:val="1"/>
          <w:iCs w:val="1"/>
          <w:color w:val="231F20"/>
        </w:rPr>
        <w:t>Parents &amp; Friends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Black Leadership, Allies &amp; Community</w:t>
      </w:r>
      <w:r>
        <w:rPr>
          <w:rFonts w:ascii="Times New Roman" w:cs="Times New Roman" w:eastAsia="Times New Roman" w:hAnsi="Times New Roman"/>
          <w:sz w:val="18"/>
          <w:szCs w:val="18"/>
          <w:color w:val="231F20"/>
        </w:rPr>
        <w:t>, or B.L.A.C and</w:t>
      </w:r>
      <w:r>
        <w:rPr>
          <w:rFonts w:ascii="Times New Roman" w:cs="Times New Roman" w:eastAsia="Times New Roman" w:hAnsi="Times New Roman"/>
          <w:sz w:val="18"/>
          <w:szCs w:val="18"/>
          <w:i w:val="1"/>
          <w:iCs w:val="1"/>
          <w:color w:val="231F20"/>
        </w:rPr>
        <w:t xml:space="preserve"> Honest Asian-American Pacific Islanders</w:t>
      </w:r>
      <w:r>
        <w:rPr>
          <w:rFonts w:ascii="Times New Roman" w:cs="Times New Roman" w:eastAsia="Times New Roman" w:hAnsi="Times New Roman"/>
          <w:sz w:val="18"/>
          <w:szCs w:val="18"/>
          <w:color w:val="231F20"/>
        </w:rPr>
        <w:t>, or H.A.A.P.I. W.E.L.L supports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personal and professional development of women at Honest. Parents &amp; Friends provides a valuable network of parenting resources and information. B.L.A.C was created to lift, engage and empower Black voices within The Honest Company and across the community. H.A.A.P.I was launched in 2021 to create a supportive and inclusive community for Asian Americans and Pacific Islanders and allies. We have made a commitment to provide training and a platform for important dialogue about diversity, inclusion and equity.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Hiring, Development and Retention</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We look to attract and retain the best talent to help the Company deliver against our strategies. We prioritize career growth and leadership development because growing our talent and building our capabilities supports our retention efforts and helps us establish a strong foundation for long-term success. We believe a firm commitment to our values will continue to drive our success going forward and that employee engagement is an integral component. The ongoing training and development of our employees through our </w:t>
      </w:r>
      <w:r>
        <w:rPr>
          <w:rFonts w:ascii="Times New Roman" w:cs="Times New Roman" w:eastAsia="Times New Roman" w:hAnsi="Times New Roman"/>
          <w:sz w:val="18"/>
          <w:szCs w:val="18"/>
          <w:i w:val="1"/>
          <w:iCs w:val="1"/>
          <w:color w:val="231F20"/>
        </w:rPr>
        <w:t>Honest University</w:t>
      </w:r>
      <w:r>
        <w:rPr>
          <w:rFonts w:ascii="Times New Roman" w:cs="Times New Roman" w:eastAsia="Times New Roman" w:hAnsi="Times New Roman"/>
          <w:sz w:val="18"/>
          <w:szCs w:val="18"/>
          <w:color w:val="231F20"/>
        </w:rPr>
        <w:t xml:space="preserve"> program provides continued growth for employees in areas of leadership, as well as technical skills.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Safety and Well-Being</w:t>
      </w:r>
    </w:p>
    <w:p>
      <w:pPr>
        <w:spacing w:after="0" w:line="2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231F20"/>
        </w:rPr>
        <w:t>As a values-driven organization, the Company takes a holistic approach to caring for its employees, with benefits and programs designed to support physical, mental, emotional and financial well-being.</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We prioritize safety for all employees and third-party warehouse partners through a combination of education, training and safety-related policies, while also operating in compliance with applicable regulations, including Occupational Safety and Health Administration guidelines in the U.S. This approach was particularly important as the Company continued to navigate the COVID-19 pandemic and implemented enhanced safety protocols across our facilities, including preventive detection measures, contact tracing, frequent cleaning and sanitizing, required use of personal protective equipment and the adjustment of work schedules to reduce exposure.</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The Company continued to support employees emotional well-being during the pandemic by offering additional physical and mental health benefits, including our partnership with </w:t>
      </w:r>
      <w:r>
        <w:rPr>
          <w:rFonts w:ascii="Times New Roman" w:cs="Times New Roman" w:eastAsia="Times New Roman" w:hAnsi="Times New Roman"/>
          <w:sz w:val="18"/>
          <w:szCs w:val="18"/>
          <w:i w:val="1"/>
          <w:iCs w:val="1"/>
          <w:color w:val="231F20"/>
        </w:rPr>
        <w:t>Thrive Global</w:t>
      </w:r>
      <w:r>
        <w:rPr>
          <w:rFonts w:ascii="Times New Roman" w:cs="Times New Roman" w:eastAsia="Times New Roman" w:hAnsi="Times New Roman"/>
          <w:sz w:val="18"/>
          <w:szCs w:val="18"/>
          <w:color w:val="231F20"/>
        </w:rPr>
        <w:t xml:space="preserve"> which offers employees learning and development through training sessions, resources and virtual guides to support and promote emotional well-being. Additionally, the Company provides an Employee Assistance Program (EAP) at no cost to employees to support emotional health and a fitness reimbursement through Global Fit Rewards to encourage a healthy lifestyle for Honest employees.</w:t>
      </w:r>
    </w:p>
    <w:p>
      <w:pPr>
        <w:spacing w:after="0" w:line="20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231F20"/>
        </w:rPr>
        <w:t>To support our people’s financial well-being, the Company provides competitive compensation – including short- and long-term incentives – to attract and retain top talent. Our commitment to pay equity helps ensure our compensation is fair and rewards employees for their contributions. In addition, we offer a competitive employee matching 401(k)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231F20"/>
        </w:rPr>
        <w:t>Substantially all of our products are subject to regulation by the Consumer Product Safety Commission, or the CPSC, the EPA, and the Federal Trade Commission, or the FTC, as well as various other federal, state, local and foreign regulatory authorities. These laws and regulations principally relate to the ingredients or components, proper labeling, advertising, packaging, marketing, manufacture, registration, safety, shipment and disposal of our products.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Our cosmetic, over-the-counter drugs, food (vitamins/dietary supplements) and cleaning products are subject to regulation by the Food and Drug Administration, or the FDA. Under the Federal Food, Drug and Cosmetic Act, or the FDCA, cosmetics are defined as articles or components of articles that are applied to the human body and intended to cleanse, beautify or alter its appearance, with the exception of soap. The labeling of cosmetic products is also subject to the requirements of the FDCA, the Fair Packaging and Labeling Act, the Poison Prevention Packaging Act and other FDA regulations. Cosmetics are not subject to pre-market approval by the FDA, however certain ingredients, such as color additives, must be pre-authorized. If safety of the products or ingredients has not been adequately substantiated, a specific warning label is required. Other warnings may also be mandated pursuant to FDA regulations. The FDA monitors compliance of cosmetic products through market surveillance and inspection of cosmetic manufacturers and distributors to ensure that the products neither contain false nor misleading labeling and that they are not manufactured under unsanitary conditions. Inspections also may arise from consumer or competitor complaints filed with the FDA. In the event the FDA identifies false or misleading labeling or unsanitary conditions or otherwise a failure to comply with FDA requirements, we may be required by a regulatory authority or we may independently decide to conduct a recall or market withdrawal of our product or to make changes to our manufacturing processes or product formulations or labels. In addition, the Modernization of Cosmetics Regulation Act, enacted in December 2022, is expected to expand the FDA’s regulatory authority over cosmetic products, including by providing the FDA with new mandatory recall authority over cosmetics and by</w:t>
      </w:r>
    </w:p>
    <w:p>
      <w:pPr>
        <w:sectPr>
          <w:pgSz w:w="11900" w:h="16838" w:orient="portrait"/>
          <w:cols w:equalWidth="0" w:num="1">
            <w:col w:w="11220"/>
          </w:cols>
          <w:pgMar w:left="320" w:top="1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type w:val="continuous"/>
        </w:sectPr>
      </w:pPr>
    </w:p>
    <w:bookmarkStart w:id="14" w:name="page15"/>
    <w:bookmarkEnd w:id="14"/>
    <w:p>
      <w:pPr>
        <w:ind w:right="740"/>
        <w:spacing w:after="0" w:line="282" w:lineRule="auto"/>
        <w:rPr>
          <w:sz w:val="20"/>
          <w:szCs w:val="20"/>
          <w:color w:val="auto"/>
        </w:rPr>
      </w:pPr>
      <w:r>
        <w:rPr>
          <w:rFonts w:ascii="Times New Roman" w:cs="Times New Roman" w:eastAsia="Times New Roman" w:hAnsi="Times New Roman"/>
          <w:sz w:val="18"/>
          <w:szCs w:val="18"/>
          <w:color w:val="231F20"/>
        </w:rPr>
        <w:t>requiring the registration of cosmetic manufacturing facilities, the reporting of certain adverse events, the issuance of cGMP requirements and the establishment of safety substantiation requirements.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31F20"/>
        </w:rPr>
        <w:t>If a product is intended for use in the diagnosis, cure, mitigation, treatment or prevention of a disease condition or to affect the structure or function of the human body, the FDA will regulate the product as a drug. Our current products that are intended to treat acne and skin care products with sun protection factor, or SPF, are considered over-the-counter, or OTC, drug products by the FDA. Our OTC products are subject to regulation through the FDA’s “monograph” system which specifies, among other things, permitted active drug ingredients and their concentrations. The FDA’s monograph system also provides the permissible product claims and certain product labeling requirements, based on the intended use of the product. Our OTC drug products must be manufactured consistent with the FDA’s current drug good manufacturing practices requirements, and the failure to maintain compliance with these requirements could require us to conduct recalls, market withdrawal, or make changes to our manufacturing practices.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FDA may change the regulations as to any product category, requiring a change in labeling, product formulation or analytical testing.</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We are subject to regulation by the CPSC under the Consumer Product Safety Act, the Flammable Fabrics Act, the Poison Prevention Packaging Act, the Federal Hazardous Substances Act, and other laws enforced by the CPSC. These statutes and the related regulations establish safety standards and bans for consumer products. The CPSC monitors compliance of consumer products under its jurisdiction through market surveillance and has the authority to conduct product safety related inspections of establishments where consumer products are manufactured, held, or transported. The CPSC has the authority to require the recall of noncompliant products or products containing a defect that creates a substantial risk of injury to the public. The CPSC may seek penalties for regulatory noncompliance under certain circumstances. CPSC regulations also require manufacturers of consumer products to report to the CPSC certain types of information regarding products that fail to comply with applicable regulations, that contain a defect which could create a substantial product hazard, or that create an unreasonable risk of serious injury or death. Certain state laws also address the safety of consumer products and mandate reporting requirements, and noncompliance may result in penalties or other regulatory action.</w:t>
      </w:r>
    </w:p>
    <w:p>
      <w:pPr>
        <w:spacing w:after="0" w:line="21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Certain of our products are also subject to regulation by the EPA, under the Federal Insecticide, Fungicide, and Rodenticide Act, or FIFRA. FIFRA establishes a system of pesticide, including disinfectant product, regulation to protect applicators, consumers and the environments. Under FIFRA, certain of our cleaning products, including the disinfectant products, may require approval from and registration with the EPA prior to sale. Products subject to FIFRA must comply with specified approval, registration, manufacture, labeling, and reporting requirements, among other requirements. EPA is authorized to take enforcement action to prevent the sale or distribution of non-compliant disinfectant products, including to prevent the sale or distribution of unregistered disinfectants and to prevent the sale or distribution of registered pesticides that are not permitted to make claims permitted by the terms of their registration, among other areas of non-compliance. The EPA may seek penalties for regulatory noncompliance under certain circumstances. Manufacturers subject to FIFRA may also be required to report certain types of information regarding disinfectant products to EPA. Certain state laws may also address requirements applicable to cleaning products, and non-compliance may result in penalties or other regulatory action.</w:t>
      </w:r>
    </w:p>
    <w:p>
      <w:pPr>
        <w:spacing w:after="0" w:line="21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These laws prohibit a company from selling or labeling products as organic unless they are produced and handled in accordance with the applicable federal law.</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231F20"/>
        </w:rPr>
        <w:t>The FTC, FDA, USDA, EPA, and other government authorities also regulate advertising and product claims regarding the characteristics, quality, safety, performance and benefits of our products. These regulatory authorities typically require a safety assessment of the product and reasonable basis to support any factual marketing claims. What constitutes a reasonable basis for substantiation can vary widely from market to market, and there is no assurance that our efforts to support our claims will be considered sufficient. The most significant area of risk for such activities relates to improper or unsubstantiated claims about the composition, use, efficacy and safety of our products and their environmental impacts. If we cannot adequately support safety or substantiate our product claims, or if our promotional materials make claims that exceed the scope of allowed claims for the classification of the specific product, the FDA, FTC or other regulatory authority could take enforcement action, impose penalties, require us to pay monetary consumer redress, require us to revise our marketing materials or stop selling certain products and require us to accept burdensome injunctions, all of which could harm our business, reputation, financial condition and results of operations.</w:t>
      </w:r>
    </w:p>
    <w:p>
      <w:pPr>
        <w:spacing w:after="0" w:line="21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231F20"/>
        </w:rPr>
        <w:t>In addition, the FTC regulates the use of endorsements and testimonials in advertising as well as relationships between advertisers and social media influencers pursuant to principles described in the FTC’s Guides Concerning the Use of Endorsements and Testimonials in Advertising, or the Endorsement Guides. The Endorsement Guides provide that an endorsement must reflect the honest opinion of the endorser and cannot be used to make a claim about a product that the product’s marketer couldn’t itself legally make. They also say that if there is a connection between an endorser and the marketer that</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5" w:name="page16"/>
    <w:bookmarkEnd w:id="15"/>
    <w:p>
      <w:pPr>
        <w:ind w:right="120"/>
        <w:spacing w:after="0" w:line="254" w:lineRule="auto"/>
        <w:rPr>
          <w:sz w:val="20"/>
          <w:szCs w:val="20"/>
          <w:color w:val="auto"/>
        </w:rPr>
      </w:pPr>
      <w:r>
        <w:rPr>
          <w:rFonts w:ascii="Times New Roman" w:cs="Times New Roman" w:eastAsia="Times New Roman" w:hAnsi="Times New Roman"/>
          <w:sz w:val="18"/>
          <w:szCs w:val="18"/>
          <w:color w:val="231F20"/>
        </w:rPr>
        <w:t>consumers would not expect and it would affect how consumers evaluate the endorsement, that connection should be disclosed. Another principle in the Endorsement Guides applies to ads that feature endorsements from people who achieved exceptional, or even above average, results from using a product. If the advertiser doesn’t have proof that the endorser’s experience represents what people will generally achieve using the product as described in the ad, then an ad featuring that endorser must make clear to the audience what results they can generally expect to achieve and the advertiser must have a reasonable basis for its representations regarding those generally expected results. Although the Endorsement Guides are advisory in nature and do not operate directly with the force of law, they provide guidance about what the FTC staff generally believes the Federal Trade Commission Act, or FTC Act, requires in the context using of endorsements and testimonials in advertising and any practices inconsistent with the Endorsement Guides can result in violations of the FTC Act’s proscription against unfair and deceptive practices.</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To the extent we may rely on endorsements or testimonials, we will review any relevant relationships for compliance with the Endorsement Guides and we will otherwise endeavor to follow the FTC Act and other legal standards applicable to our advertising. However, if our advertising claims or claims made by our social media influencers or by other endorsers with whom we have a material connection do not comply with the Endorsement Guides or any requirement of the FTC Act or similar state requirements, the FTC and state consumer protection authorities could subject us to investigations and enforcement actions, impose penalties, require us to pay monetary consumer redress, require us to revise our marketing materials and require us to accept burdensome injunctions, all of which could harm our business, reputation, financial condition and results of operations.</w:t>
      </w:r>
    </w:p>
    <w:p>
      <w:pPr>
        <w:spacing w:after="0" w:line="21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231F20"/>
        </w:rPr>
        <w:t>We are also subject to a number of U.S. federal and state and foreign laws and regulations that affect companies conducting business on the Internet, including consumer protection regulations that regulate retailers and govern the promotion and sale of merchandise. Many of these laws and regulations are still evolving and being tested in courts, and could be interpreted in ways that could harm our business. These may involve user privacy, data protection, content, intellectual property, distribution, electronic contracts and other communications, automatically renewing product subscriptions, competition, protection of minors, consumer protection, telecommunications, product liability, taxation, economic or other trade prohibitions or sanctions and online payment services. Among other laws and regulations, we are subject to federal, state, local and international laws regarding privacy and protection of people’s data. Foreign data protection, privacy and other laws and regulations can be more restrictive than those in the United States. U.S. federal and state and foreign laws and regulations are constantly evolving and can be subject to significant change. In addition, the application, interpretation and enforcement of these laws and regulations are often uncertain, and may be interpreted and applied inconsistently from country to country and inconsistently with our current policies and practices. In the European Union, the General Data Protection Regulation, or GDPR, has stringent operational requirements relating to the processing of personal data, including, for example, expanded disclosures about how personal information is to be used, limitations on retention of information, increased requirements to erase an individual’s information upon request, mandatory data breach notification requirements and higher standards for data controllers to demonstrate that they have obtained valid consent for certain data processing activities. The GDPR also significantly increases penalties for non-compliance. The California Consumer Privacy Act, or CCPA imposes obligations on covered businesses that process information on California residents to provide specific disclosures to consumers about their data collection, use and sharing practices,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provides a private right of action which may include an award of statutory damages for certain data breaches. In addition, the California Privacy Rights Act of 2020, or CPRA, that went into effect on January 1, 2023, expands the CCPA. The CPRA, among other things, gives California residents the ability to limit the use of certain sensitive information, establishes restrictions on personal data retention, expands the types of data breaches that are subject to the CCPA’s private right of action, provides for penalties for CPRA violations concerning California residents under the age of 16, and establishes a new California Privacy Protection Agency to implement and enforce the law. There are also a number of legislative proposals pending before the U.S. Congress, various state legislative bodies and foreign governments concerning privacy and data protection which could affect us. Some observers have noted that the CCPA could mark the beginning of a trend toward more stringent privacy legislation in the United States, which could increase our potential liability and adversely affect our business, results of operations, and financial condition.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as well as negative publicity and a potential loss of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Trademarks and Other Intellectual Property</w:t>
      </w:r>
    </w:p>
    <w:p>
      <w:pPr>
        <w:spacing w:after="0" w:line="2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231F20"/>
        </w:rPr>
        <w:t>We protect our intellectual property through a combination of trademarks, domain names, copyrights, trade secrets and patents, as well as contractual provisions and restrictions on access to our proprietary technology. Our principal trademark assets include the trademarks “Honest” and “The Honest Co.,” which are registered in the United States and targeted foreign jurisdictions, our logos and taglines, and multiple product brand names. We have applied to register or registered many of our trademarks in the United States and other jurisdictions, and we will pursue additional trademark registrations to the extent we believe they would be beneficial and cost- effective.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6" w:name="page17"/>
    <w:bookmarkEnd w:id="16"/>
    <w:p>
      <w:pPr>
        <w:ind w:firstLine="648"/>
        <w:spacing w:after="0" w:line="266" w:lineRule="auto"/>
        <w:rPr>
          <w:sz w:val="20"/>
          <w:szCs w:val="20"/>
          <w:color w:val="auto"/>
        </w:rPr>
      </w:pPr>
      <w:r>
        <w:rPr>
          <w:rFonts w:ascii="Times New Roman" w:cs="Times New Roman" w:eastAsia="Times New Roman" w:hAnsi="Times New Roman"/>
          <w:sz w:val="18"/>
          <w:szCs w:val="18"/>
          <w:color w:val="231F20"/>
        </w:rPr>
        <w:t>We have one patent issued and one patent application pending in the United States and one pending international Patent Cooperation Treaty application. Our issued patent will expire in April 2037. We intend to pursue additional patent protection to the extent we believe it would be beneficial and cost-effective.</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231F20"/>
        </w:rPr>
        <w:t>We are the registered holder of multiple domestic and international domain names that include “honest” and similar variations. We also hold domain registrations for many of our product names and other related trade names and slogans. In addition to the protection provided by our intellectual property rights, we enter into confidentiality and proprietary rights agreements with our employees, consultants, contractors and business partners. Our employees are also subject to invention assignment agreements. We further control the use of our proprietary technology and intellectual property through provisions in both our customer terms of use on our website and the terms and conditions governing our agreements with other third parties.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The Company’s Annual Report on Form 10-K, Quarterly Reports on Form 10-Q and Current Reports on Form 8-K and amendments to those reports filed or furnished pursuant to Sections 13(a) or 15(d) of the Exchange Act are available on the Company’s website, free of charge, as soon as reasonably practicable after the reports are electronically filed with or furnished to the SEC. These reports are available at investors.honest.com under Financial Information/SEC Filings. Additionally, the Company routinely posts additional important information, including press releases, on its website and recognizes its website as a channel of distribution to reach public investors and as a means of disclosing material non-public information for complying with disclosure obligations under Regulation FD. Accordingly, investors should monitor our website in addition to our SEC filings and public webcasts. These items are available at investors.honest.com under News and Events.</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Information relating to corporate governance at Honest, including the Company’s Code of Business Conduct and Ethics, the Honest Company Corporate Governance Guidelines and Committee charters for the Audit Committee, Compensation Committee and the Nominating and Corporate Governance Committee, is available at investors.honest.com under Corporate Governance or https://investors.honest.com/corporate-governance/douments-charters. The Company will provide any of the foregoing information without charge upon written request to Corporate Communications, The Honest Company, 12130 Millennium Drive, #500, Los Angeles, CA 90094. The information contained on the Company’s website is not included as a part of, or incorporated by reference into, this Report.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following risk factors, as well as the other information in this Form 10-K, including our consolidated financial statements and the related notes and “Management’s Discussion and Analysis of Financial Condition and Results of Operations,” before deciding whether to invest in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prospects could be adversely affected. In this case, the trading price of our common stock could decline and you might lose part or all your investment.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Our Brand, Our Products and Our Industry</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spacing w:after="0" w:line="186" w:lineRule="exact"/>
        <w:rPr>
          <w:sz w:val="20"/>
          <w:szCs w:val="20"/>
          <w:color w:val="auto"/>
        </w:rPr>
      </w:pPr>
    </w:p>
    <w:p>
      <w:pPr>
        <w:ind w:right="560" w:firstLine="648"/>
        <w:spacing w:after="0" w:line="260" w:lineRule="auto"/>
        <w:rPr>
          <w:sz w:val="20"/>
          <w:szCs w:val="20"/>
          <w:color w:val="auto"/>
        </w:rPr>
      </w:pPr>
      <w:r>
        <w:rPr>
          <w:rFonts w:ascii="Times New Roman" w:cs="Times New Roman" w:eastAsia="Times New Roman" w:hAnsi="Times New Roman"/>
          <w:sz w:val="18"/>
          <w:szCs w:val="18"/>
          <w:color w:val="231F20"/>
        </w:rPr>
        <w:t>Past growth has placed demands on our management, financial, operational, technological and other resources. The anticipated growth and expansion of our business depends on a number of factors, including our ability to:</w:t>
      </w:r>
    </w:p>
    <w:p>
      <w:pPr>
        <w:spacing w:after="0" w:line="1"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 awareness of our brand and successfully compete with other companies;</w:t>
      </w:r>
    </w:p>
    <w:p>
      <w:pPr>
        <w:spacing w:after="0" w:line="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through Honest.com and retail partnerships to increase sales velocity;</w:t>
      </w:r>
    </w:p>
    <w:p>
      <w:pPr>
        <w:spacing w:after="0" w:line="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price our products effectively so that we are able to attract new consumers and expand sales to our existing consumers;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distribution and points of sales (the number of SKUs) with new and existing consumers;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continue to innovate and introduce new products;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maintain and improve our technology platform supporting our Honest.com business;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our supplier and fulfillment capacities;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maintain quality control over our product offerings;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effectively implement our business strategies, including our digital strategy; and</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expand internationally.</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7" w:name="page18"/>
    <w:bookmarkEnd w:id="17"/>
    <w:p>
      <w:pPr>
        <w:ind w:right="140" w:firstLine="648"/>
        <w:spacing w:after="0" w:line="257" w:lineRule="auto"/>
        <w:rPr>
          <w:sz w:val="20"/>
          <w:szCs w:val="20"/>
          <w:color w:val="auto"/>
        </w:rPr>
      </w:pPr>
      <w:r>
        <w:rPr>
          <w:rFonts w:ascii="Times New Roman" w:cs="Times New Roman" w:eastAsia="Times New Roman" w:hAnsi="Times New Roman"/>
          <w:sz w:val="18"/>
          <w:szCs w:val="18"/>
          <w:color w:val="231F20"/>
        </w:rPr>
        <w:t>Such growth and expansion of our business will place significant demands on our management and operations teams and require significant additional resources, financial and otherwise, to meet our needs, which may not be available in a cost-effective manner, or at all. We expect to continue to expend substantial resources on:</w:t>
      </w:r>
    </w:p>
    <w:p>
      <w:pPr>
        <w:spacing w:after="0" w:line="1" w:lineRule="exact"/>
        <w:rPr>
          <w:sz w:val="20"/>
          <w:szCs w:val="20"/>
          <w:color w:val="auto"/>
        </w:rPr>
      </w:pPr>
    </w:p>
    <w:p>
      <w:pPr>
        <w:ind w:left="660" w:right="320" w:hanging="328"/>
        <w:spacing w:after="0" w:line="252"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sales and marketing efforts to increase brand awareness, further engaging our existing and prospective consumers, and driving sales of our products;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technology platforms to support sales of our products and make our supply chain and operations more efficient;</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product innovation and development; and</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general administration, including increased finance, legal and accounting expenses associated with being a public company.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These investments may not result in the growth of our business. Even if these investments do result in the growth of our business, if we do not effectively manage our growth, we may not be able to execute on our business plan, respond to competitive pressures, take advantage of market opportunities, satisfy consumer requirements or maintain high-quality product offerings, any of which could adversely affect our business, financial condition, results of operations and prospects. You should not rely on our historical rate of revenue growth as an indication of our future performance or the rate of growth we may experience in any new category or internationally.</w:t>
      </w:r>
    </w:p>
    <w:p>
      <w:pPr>
        <w:spacing w:after="0" w:line="21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In addition, to support continued growth, we must effectively integrate, develop and motivate a large number of new employees while maintaining our corporate culture. For example, in January 2023, we hired a new Chief Executive Officer. We face significant competition for personnel. To attract top talent, we have had to offer, and expect to continue to offer, competitive compensation and benefits packages before we can validate the productivity of new employees. We may also need to increase our employee compensation levels to remain competitive in attracting and retaining talented employees. In the past year we have also seen heightened demand for labor and escalating labor prices in the market. The risks associated with a rapidly growing workforce will be particularly acute as we choose to expand into new product categories and global markets. Additionally, we may not be able to hire new employees quickly enough to meet our needs or retain our existing employees in the face of competitive hiring trends. For example, we had turnover in our Accounting department in 2022. If we fail to effectively manage our hiring needs, successfully integrate new hires or retain existing employees, our efficiency, ability to meet forecasts and employee morale, productivity and retention could suffer, which could have an adverse effect on our business, financial condition, results of operations and prospects.</w:t>
      </w:r>
    </w:p>
    <w:p>
      <w:pPr>
        <w:spacing w:after="0" w:line="22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231F20"/>
        </w:rPr>
        <w:t>We are also required to manage numerous relationships with various vendors and other third parties. Further growth of our operations, vendor base, fulfillment centers, information technology systems or internal controls and procedures may not be adequate to support our operations. If we are unable to manage the growth of our organization effectively, our business, financial condition, results of operations and prospects may be adversely affected.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quarterly operating results may fluctuate, which could cause our stock price to decline.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Our quarterly operating results may fluctuate for a variety of reasons, many of which are beyond our control, including:</w:t>
      </w:r>
    </w:p>
    <w:p>
      <w:pPr>
        <w:spacing w:after="0" w:line="252" w:lineRule="exact"/>
        <w:rPr>
          <w:sz w:val="20"/>
          <w:szCs w:val="20"/>
          <w:color w:val="auto"/>
        </w:rPr>
      </w:pPr>
    </w:p>
    <w:p>
      <w:pPr>
        <w:ind w:left="660" w:right="22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revenue due to consumer and customer demand, including as a result of adverse economic and market conditions driven by the challenging macroeconomic environment and the COVID-19 pandemic, the seasonality of market transactions and fluctuations in sales through our Retail and Digital channels and inflationary pressures;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inflation in key input costs, including transportation and warehouse costs;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costs of the components and raw materials that go into making our products;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our operating expenses;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success in attracting new and maintaining relationships with existing retail and ecommerce partners;</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success in executing on our strategy and the impact of any changes in our strategy;</w:t>
      </w:r>
    </w:p>
    <w:p>
      <w:pPr>
        <w:spacing w:after="0" w:line="8"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timing and success of product launches, including new products that we may introduce, such as the launch of our Skin clearing line in the third quarter of 2022;</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efficiency of our marketing efforts;</w:t>
      </w:r>
    </w:p>
    <w:p>
      <w:pPr>
        <w:spacing w:after="0" w:line="5" w:lineRule="exact"/>
        <w:rPr>
          <w:rFonts w:ascii="Times New Roman" w:cs="Times New Roman" w:eastAsia="Times New Roman" w:hAnsi="Times New Roman"/>
          <w:sz w:val="20"/>
          <w:szCs w:val="20"/>
          <w:color w:val="auto"/>
        </w:rPr>
      </w:pPr>
    </w:p>
    <w:p>
      <w:pPr>
        <w:ind w:left="660" w:right="320" w:hanging="328"/>
        <w:spacing w:after="0" w:line="248"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in our supply chain, the ability of our third-party manufacturers to produce our products, ability of our distributors to distribute our products, or disruptions, delays, or increased costs in our shipping arrangements;</w:t>
      </w:r>
    </w:p>
    <w:p>
      <w:pPr>
        <w:spacing w:after="0" w:line="1" w:lineRule="exact"/>
        <w:rPr>
          <w:rFonts w:ascii="Times New Roman" w:cs="Times New Roman" w:eastAsia="Times New Roman" w:hAnsi="Times New Roman"/>
          <w:sz w:val="20"/>
          <w:szCs w:val="20"/>
          <w:color w:val="auto"/>
        </w:rPr>
      </w:pPr>
    </w:p>
    <w:p>
      <w:pPr>
        <w:ind w:left="660" w:right="220" w:hanging="328"/>
        <w:spacing w:after="0" w:line="244"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disruptions or defects in our technology platform, such as privacy or data security breaches, errors in our software or other incidents that impact the availability, reliability, or performance of our platform;</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impact of competitive developments and our response to those developments;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fluctuations in inventory and working capital;</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manage our business and future growth; and</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18" w:name="page19"/>
    <w:bookmarkEnd w:id="18"/>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recruit and retain employees.</w:t>
      </w:r>
    </w:p>
    <w:p>
      <w:pPr>
        <w:spacing w:after="0" w:line="22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231F20"/>
        </w:rPr>
        <w:t>Fluctuations in our quarterly operating results and the price of our common stock may be particularly pronounced in the current economic environment due to the uncertainty caused by inflation and other macroeconomic factors, the continuing effects of the COVID-19 pandemic, and consumer and customer spending patterns. Fluctuations in our quarterly operating results may cause those results to fall below our financial guidance or other projections, or the expectations of analysts or investors, which could cause the price of our common stock to decline. Fluctuations in our results could also cause other problems, including, for example, analysts or investors changing their models for valuing our common stock. We could experience short-term liquidity issues, our ability to retain or attract key personnel may diminish, and other unanticipated issues may arise.</w:t>
      </w:r>
    </w:p>
    <w:p>
      <w:pPr>
        <w:spacing w:after="0" w:line="2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231F20"/>
        </w:rPr>
        <w:t>Our quarterly operating results have varied in the past and we believe that they will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Any seasonal effects may change or become more pronounced over time, which could also cause our operating results to fluctuate. You should not rely on the results of any given quarter as an indication of future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in part, on our ability to achieve our long-term strategy.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Achieving our long-term strategy will require investment in new capabilities, employees, products, distribution channels, supply chain facilities and technologies. These investments may result in short-term costs without any current sales and, therefore, may be dilutive to our earnings. In addition, we have in the past and may in the future dispose of or discontinue select products or streamline operations and incur costs or restructuring and other charges in doing so. Although we believe that our strategy will lead to long-term growth in sales and profitability, we may not realize the anticipated benefits. The failure to realize benefits, which may be due to our inability to execute plans, global or local economic conditions, competition, changes in our industry and the other risks described herein, could have an adverse effect on our business, financial condition, results of operations and prospects. Additionally, with the hiring of our new Chief Executive Officer, our strategy may change or develop over time, which may not lead to long-term growth in sales or profitability, or we may experience disruptions in implementing a new strategic focus, which could impact our business and results of operations.</w:t>
      </w:r>
    </w:p>
    <w:p>
      <w:pPr>
        <w:spacing w:after="0" w:line="21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Consolidation of retail customers, the loss of a significant retail or third-party ecommerce customer or a significant change in such customer's historical purchasing patterns could negatively impact our sales and ability to achieve or maintain profitability.</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231F20"/>
        </w:rPr>
        <w:t>Our omnichannel strategy includes selling our products through third-party ecommerce and retail customers (including their websites), which have been undergoing consolidation in recent years. This consolidation has produced larger, more sophisticated organizations with increased negotiating and buying power that are able to resist price increases, demand higher levels of marketing and promotional support, operate with lower inventories, decrease the number of brands that they carry and increase their emphasis on private label products, all of which could negatively impact our business.</w:t>
      </w:r>
    </w:p>
    <w:p>
      <w:pPr>
        <w:spacing w:after="0" w:line="20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231F20"/>
        </w:rPr>
        <w:t>In 2022, we generated 55% and 45% of our total revenue from retail customers (including their websites) and Digital channels, respectively. In 2022, Target, Amazon and Walmart accounted for approximately 31%, 19% and 4% of our total revenue, respectively. We sell products to Target, Amazon and Walmart under each of their standard vendor agreements. Our vendor agreements with Target, Amazon and Walmart do not include a term or duration as sales under each vendor agreement are generally made on a purchase order basis. Our vendor agreement with Amazon provides that either party may terminate the agreement with 60 days’ prior written notice, provided that we are required to fulfill any purchase orders that we accept before the effective date of termination. Our vendor agreement with Target does not include any termination provisions. Our vendor agreement with Walmart provides that either party may terminate the agreement with 30 days’ prior written notice. The loss of Target, Amazon and Walmart or any other large customer, the reduction of purchasing levels or the cancellation of any business from Target, Amazon and Walmart or any other large customer for an extended length of time could negatively impact our sales and ability to achieve or maintain profitability. For example, in 2022 Target implemented a new inventory management system to decrease weeks of supply on hand. Additionally, Amazon is holding fewer weeks of inventory supply on hand, which could impact the consumer experience and ultimate consumption, and has and could continue to negatively impact our results of operations. Also, there is significant volatility in our programs with Costco which resulted in a $10.0 million reduction in our revenue in 2022. We have no assurance of future rotational programs or ongoing revenue with Costco.</w:t>
      </w:r>
    </w:p>
    <w:p>
      <w:pPr>
        <w:spacing w:after="0" w:line="214"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231F20"/>
        </w:rPr>
        <w:t>Third-party ecommerce or retail customers may take actions that affect us for reasons that we cannot always anticipate or control, such as their financial condition, changes in their business strategy or operations, the introduction of competing products or the perceived quality of our products. For example, one of our retail customers is at risk of bankruptcy, which could impact the timing of payment and/or the ability for us to collect amounts due to us. Despite operating in different channel segments, our third-party ecommerce and retail customers sometimes compete for the same consumers. Because of actual or perceived conflicts resulting from this competition, third-party ecommerce or retail customers may take actions that negatively affect us.</w:t>
      </w:r>
    </w:p>
    <w:p>
      <w:pPr>
        <w:sectPr>
          <w:pgSz w:w="11900" w:h="16838" w:orient="portrait"/>
          <w:cols w:equalWidth="0" w:num="1">
            <w:col w:w="11240"/>
          </w:cols>
          <w:pgMar w:left="320" w:top="11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19" w:name="page20"/>
    <w:bookmarkEnd w:id="19"/>
    <w:p>
      <w:pPr>
        <w:ind w:right="80"/>
        <w:spacing w:after="0" w:line="282" w:lineRule="auto"/>
        <w:rPr>
          <w:sz w:val="20"/>
          <w:szCs w:val="20"/>
          <w:color w:val="auto"/>
        </w:rPr>
      </w:pPr>
      <w:r>
        <w:rPr>
          <w:rFonts w:ascii="Times New Roman" w:cs="Times New Roman" w:eastAsia="Times New Roman" w:hAnsi="Times New Roman"/>
          <w:sz w:val="18"/>
          <w:szCs w:val="18"/>
          <w:color w:val="231F20"/>
        </w:rPr>
        <w:t>Consequently, our financial results may fluctuate significantly from period to period based on the actions of one or more significant third-party ecommerce or retail customers, such as a change in quantity or number of SKUs purchased, store placement of our products, or amount of shelf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accurately forecast revenue, gross margin or operating expenses and appropriately plan our expenses in the future.</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231F20"/>
        </w:rPr>
        <w:t xml:space="preserve">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or due to the COVID-19 pandemic, in particular as we implement margin-enhancing and cost-cutting programs. We base our expense levels and investment plans on our estimates of revenue and gross margin. We cannot be sure prior growth rates and trends are meaningful predictors of future growth. </w:t>
      </w:r>
      <w:r>
        <w:rPr>
          <w:rFonts w:ascii="Times New Roman" w:cs="Times New Roman" w:eastAsia="Times New Roman" w:hAnsi="Times New Roman"/>
          <w:sz w:val="18"/>
          <w:szCs w:val="18"/>
          <w:color w:val="000000"/>
        </w:rPr>
        <w:t>For example, in the third quarter of 2022, some of our digital and retail customers began to reduce inventory on hand and have changed fulfillment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schedules, which has negatively impacted our fulfillment operations and our revenue and is expected to continue to do so in the future. </w:t>
      </w:r>
      <w:r>
        <w:rPr>
          <w:rFonts w:ascii="Times New Roman" w:cs="Times New Roman" w:eastAsia="Times New Roman" w:hAnsi="Times New Roman"/>
          <w:sz w:val="18"/>
          <w:szCs w:val="18"/>
          <w:color w:val="231F20"/>
        </w:rPr>
        <w:t>If our assumptions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prove to be wrong, we may generate lower revenue or gross margin than anticipated or may spend more than we anticipate acquiring and retaining consumers or either of which could have an adverse effect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compete successfully in our highly competitive market.</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rapidly evolving, with many new brands and product offerings emerging in the marketplace. We face significant competition from both established, well-known legacy CPG players and emerging natural brands. Numerous brands and products compete for limited shelf space in the retail channel, and for favorable positioning and promotion among ecommerce channels. We compete based on various product attributes including clean formulation, sustainability, effectiveness and design, as well as our ability to establish direct relationships with our consumers through digital channels.</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Select competitors in the Diapers and Wipes market include Kimberly-Clark Corporation (maker of Huggies), Procter &amp; Gamble Company (maker of Pampers, Pampers Pure and Luvs), Johnson &amp; Johnson Consumer Inc. (maker of Johnson’s Baby), WaterWipes UC and private label brands. Select competitors in the Skin and Personal Care market include Johnson &amp; Johnson Consumer Inc. (maker of Johnson’s Baby and Aveeno), The Clorox Company (parent company of Burt’s Bees, Inc.), Unilever PLC (maker of Shea Moisture), LVMH Moët Hennessy Louis Vuitton (maker of Benefit Cosmetics LLC), Estée Lauder Inc., L’Oréal S.A. and Pacifica Beauty LLC. Select competitors in the Household and Wellness market include Carters, Inc., The Clorox Company, Reckitt Benckiser Group plc (maker of Lysol) and Unilever PLC (maker of Seventh Generation products). Many of these competitors have substantially greater financial and other resources than us and some of whose products are well accepted in the marketplace today. Many also have longer operating histories, larger fulfillment infrastructures, greater technical capabilities, faster shipping times, lower-cost shipping, lower operating costs, greater financial, marketing, institutional and other resources and larger consumer bases than we do. These factors may also allow our competitors to derive greater revenue and profits from their existing consumer bases, acquire consumers at lower costs or respond more quickly than we can to new or emerging technologies and changes in product trends and consumer shopping behavior. These competitors may engage in more extensive research and development efforts, enter or expand their presence in any or all of the ecommerce or retail channels where we compete, undertake more far-reaching marketing campaigns, and adopt more aggressive pricing policies, which may allow them to build larger consumer bases or generate revenue from their existing consumer bases more effectively than we do. As a result, these competitors may be able to offer comparable or substitute products to consumers at similar or lower costs. This could put pressure on us to lower our prices, resulting in lower revenue and margins or cause us to lose market share even if we lower prices.</w:t>
      </w:r>
    </w:p>
    <w:p>
      <w:pPr>
        <w:spacing w:after="0" w:line="2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We cannot be certain that we will successfully compete with larger competitors that have greater financial, sales, technical and other resources. Companies with greater resources may acquire our competitors or launch new products, including clean products, and they may be able to use their resources and scale to respond to competitive pressures and changes in consumer preferences by reducing prices or increasing promotional activities, among other things. Retailers also market competitive products under their own private labels, which are generally sold at lower prices, and may change the merchandising of our products so they have less favorable placement. Competitive pressures or other factors could cause us to lose market share, which may require us to lower prices, increase marketing expenditures, or increase the use of discounting or promotional campaigns, each of which would adversely affect our margins and could result in a decrease in our operating results and ability to achieve or maintain profitability.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expect competition in the CPG industry to continue to increase, especially as more companies introduce clean products and enter this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believe that our ability to compete successfully in this market depends upon many factors both within and beyond our control,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0" w:name="page21"/>
    <w:bookmarkEnd w:id="20"/>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size and composition of our consumer base;</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number of products that we offer and feature across our sales channels;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consumer demand for clean products developed with formulations and ingredients we use;</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information technology infrastructure;</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responsiveness of our customer service;</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selling and marketing efforts;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quality and price of the products that we offer;</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convenience of the shopping experience that we provide on our website;</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ability to distribute our products and manage our operations; and</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reputation and brand strength.</w:t>
      </w:r>
    </w:p>
    <w:p>
      <w:pPr>
        <w:spacing w:after="0" w:line="23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If we fail to compete successfully in this market, our business, financial condition, results of operations and prospects could be adversely affected.</w:t>
      </w:r>
    </w:p>
    <w:p>
      <w:pPr>
        <w:spacing w:after="0" w:line="23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 xml:space="preserve">Further, competitors with substantially greater operations and resources than us may be less affected by the </w:t>
      </w:r>
      <w:r>
        <w:rPr>
          <w:rFonts w:ascii="Times New Roman" w:cs="Times New Roman" w:eastAsia="Times New Roman" w:hAnsi="Times New Roman"/>
          <w:sz w:val="18"/>
          <w:szCs w:val="18"/>
          <w:color w:val="000000"/>
        </w:rPr>
        <w:t>current macroeconomic conditions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w:t>
      </w:r>
      <w:r>
        <w:rPr>
          <w:rFonts w:ascii="Times New Roman" w:cs="Times New Roman" w:eastAsia="Times New Roman" w:hAnsi="Times New Roman"/>
          <w:sz w:val="18"/>
          <w:szCs w:val="18"/>
          <w:color w:val="231F20"/>
        </w:rPr>
        <w:t>continuing effects of the COVID-19 pandemic than we are. In connection with the COVID-19 pandemic, we have restricted employee travel, cancelled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certain events with consumers or partners, imposed operational safeguards at our fulfillment and operating facilities and limited access to our headquarters (including our laboratory facilities) and experienced certain supply restrictions and delays. These restrictions have changed based on the pandemic development, in particular as there are new variants. </w:t>
      </w:r>
      <w:r>
        <w:rPr>
          <w:rFonts w:ascii="Times New Roman" w:cs="Times New Roman" w:eastAsia="Times New Roman" w:hAnsi="Times New Roman"/>
          <w:sz w:val="18"/>
          <w:szCs w:val="18"/>
          <w:color w:val="000000"/>
        </w:rPr>
        <w:t>Additionally, current macroeconomic conditions, such as inflation, increasing interest rates, recent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potential future disruptions in access to bank deposits and lending commitments due to bank failures, increase the risk of a potential recession and can negatively impact consumer discretionary spend for our products. </w:t>
      </w:r>
      <w:r>
        <w:rPr>
          <w:rFonts w:ascii="Times New Roman" w:cs="Times New Roman" w:eastAsia="Times New Roman" w:hAnsi="Times New Roman"/>
          <w:sz w:val="18"/>
          <w:szCs w:val="18"/>
          <w:color w:val="231F20"/>
        </w:rPr>
        <w:t>Although we are monitoring the situation, we cannot predict for how long, or the ultimate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extent to which, the </w:t>
      </w:r>
      <w:r>
        <w:rPr>
          <w:rFonts w:ascii="Times New Roman" w:cs="Times New Roman" w:eastAsia="Times New Roman" w:hAnsi="Times New Roman"/>
          <w:sz w:val="18"/>
          <w:szCs w:val="18"/>
          <w:color w:val="000000"/>
        </w:rPr>
        <w:t>current macroeconomic conditions or the continuing effects of the COVID-19</w:t>
      </w:r>
      <w:r>
        <w:rPr>
          <w:rFonts w:ascii="Times New Roman" w:cs="Times New Roman" w:eastAsia="Times New Roman" w:hAnsi="Times New Roman"/>
          <w:sz w:val="18"/>
          <w:szCs w:val="18"/>
          <w:color w:val="231F20"/>
        </w:rPr>
        <w:t xml:space="preserve"> pandemic may disrupt our operations, or our suppliers’ operations, or if we will be required to implement other changes, such as closures of any of our fulfillment or other operating facilities, further price increases or cost savings initiatives. Any significant disruption resulting from this or similar events on a large scale or over a prolonged period of time could cause significant delays and disruption to our business until we would be able to resume normal business operations or shift to other third-party vendors, negatively affecting our revenue and other financial results, which would adversely affect our business, financial condition, results of operations and prospects. A prolonged disruption of our business could also damage our reputation and brand strength.</w:t>
      </w:r>
    </w:p>
    <w:p>
      <w:pPr>
        <w:spacing w:after="0" w:line="22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cost-effectively acquire new consumers or retain our existing consumers, our business could be adversely affected. Our sales and profit are dependent upon our ability to expand our existing consumer relationships and acquire new consumers.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Our success, and our ability to increase revenue and achieve profitability, depend in part on our ability to cost-effectively acquire new consumers, retain existing consumers and keep existing consumers engaged so that they continue to purchase our products. Our diaper business is also a strategic consumer acquisition tool that fuels growth for baby wipes, personal care, Honest Baby clothing and other products. While we intend to continue to invest significantly in sales and marketing to educate consumers about our brand, our values and our products, there is no assurance that these efforts will generate further demand for our products or expand our consumer base. Our ability to attract new consumers and retain our existing consumers will depend on, among other items, the perceived value and quality of our products, consumer demand for clean, sustainable, thoughtfully designed and effective products at a premium, competitive offerings, our ability to offer new and relevant products and the effectiveness of our marketing efforts. We may also lose loyal consumers to our competitors if we are unable to meet consumer demand in a timely manner. If we are unable to cost-effectively acquire new consumers, retain existing consumers and keep existing consumers engaged, our business, financial condition, results of operations and prospects could be adversely affected.</w:t>
      </w:r>
    </w:p>
    <w:p>
      <w:pPr>
        <w:spacing w:after="0" w:line="2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Any strategies we employ to pursue this growth are subject to numerous factors outside of our control. Our retail and ecommerce competitors continue to aggressively market their private label or competitive products, which could reduce demand for our products. The expansion of our business also depends on our ability to increase sales through ecommerce channels and increase breadth and depth of distribution at retail customers. Any growth within our existing distribution channels may also affect our existing consumer relationships and present additional challenges, including those related to pricing strategies. For example throughout 2022, we rolled-out mid-single digit price increases across approximately two-thirds of our product portfolio, including in </w:t>
      </w:r>
      <w:r>
        <w:rPr>
          <w:rFonts w:ascii="Times New Roman" w:cs="Times New Roman" w:eastAsia="Times New Roman" w:hAnsi="Times New Roman"/>
          <w:sz w:val="18"/>
          <w:szCs w:val="18"/>
          <w:color w:val="000000"/>
        </w:rPr>
        <w:t>Diapers and Wipes and Skin and Personal Care categories</w:t>
      </w:r>
      <w:r>
        <w:rPr>
          <w:rFonts w:ascii="Times New Roman" w:cs="Times New Roman" w:eastAsia="Times New Roman" w:hAnsi="Times New Roman"/>
          <w:sz w:val="18"/>
          <w:szCs w:val="18"/>
          <w:color w:val="231F20"/>
        </w:rPr>
        <w:t xml:space="preserve"> which may negatively impact consumer demand. We plan to take additional price increases in 2023 and in the future as needed to offset input cost inflation. Our direct connections to our consumers may become more limited as we expand our non-DTC channels. Additionally, we may need to increase or reallocate spending on marketing and promotional activities, such as temporary price reductions, off-invoice discounts, retailer advertisements, product coupons and other trade activities, and these expenditures are subject to risks, including risks related to consumer acceptance of our efforts. Growing internationally may also increase our marketing spend and will require significant</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21" w:name="page22"/>
    <w:bookmarkEnd w:id="21"/>
    <w:p>
      <w:pPr>
        <w:ind w:right="140"/>
        <w:spacing w:after="0" w:line="282" w:lineRule="auto"/>
        <w:rPr>
          <w:sz w:val="20"/>
          <w:szCs w:val="20"/>
          <w:color w:val="auto"/>
        </w:rPr>
      </w:pPr>
      <w:r>
        <w:rPr>
          <w:rFonts w:ascii="Times New Roman" w:cs="Times New Roman" w:eastAsia="Times New Roman" w:hAnsi="Times New Roman"/>
          <w:sz w:val="18"/>
          <w:szCs w:val="18"/>
          <w:color w:val="231F20"/>
        </w:rPr>
        <w:t>investment. Our failure to obtain new consumers, or expand our business with existing consumers, could have an adverse effect on our business, financial condition, results of operations and prospects.</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231F20"/>
        </w:rPr>
        <w:t>We also use paid and non-paid advertising. Our paid advertising may include search engine marketing, display, paid social media and product placement and traditional advertising, such as direct mail, television, radio and magazine advertising. Our paid advertising significantly increased in 2022 compared to 2021 due to industry-wide increases in advertising pricing, which impacted our ability to cost-effectively drive traffic to Honest.com and our digital customers. Our non-paid advertising efforts include search engine optimization, non-paid social media and e-mail marketing. We drive a significant amount of traffic to our website via search engines and, therefore, rely heavily on search engines. Search engines frequently update and change the logic that determines the placement and display of results of a user’s search, such that the purchased or algorithmic placement of links to our website can be negatively affected. Moreover, a search engine could, for competitive or other purposes, alter its search algorithms or results, causing our website to place lower in search query results.</w:t>
      </w:r>
    </w:p>
    <w:p>
      <w:pPr>
        <w:spacing w:after="0" w:line="21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231F20"/>
        </w:rPr>
        <w:t>We also drive a significant amount of traffic to our website via social networking or other ecommerce channels used by our current and prospective consumers. As social networking and ecommerce channels continue to rapidly evolve, we may be unable to develop or maintain a presence within these channels. If we are unable to cost-effectively drive traffic to our website, or if the popularity of our founder, Jessica Warren’s social media, online or offline presence declines, our ability to acquire new consumers could be adversely affected. Additionally, if we fail to increase our revenue per active consumer, generate repeat purchases or maintain high levels of consumer engagement, our business, financial condition, results of operations and prospects could be adversely affected.</w:t>
      </w:r>
    </w:p>
    <w:p>
      <w:pPr>
        <w:spacing w:after="0" w:line="21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Pandemics or disease outbreaks, such as the continuing effects of the COVID-19 pandemic and overall macroeconomic trends have had and may continue to have an adverse effect on our business, financial condition, results of operations and prospects.</w:t>
      </w:r>
    </w:p>
    <w:p>
      <w:pPr>
        <w:spacing w:after="0" w:line="17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231F20"/>
        </w:rPr>
        <w:t>Pandemics or disease outbreaks, such as the continuing effects of the COVID-19 pandemic, have impacted and are likely to continue to impact our business, financial condition, results of operations and prospects, in particular due to the negative impact from supply chain disruptions, i</w:t>
      </w:r>
      <w:r>
        <w:rPr>
          <w:rFonts w:ascii="Times New Roman" w:cs="Times New Roman" w:eastAsia="Times New Roman" w:hAnsi="Times New Roman"/>
          <w:sz w:val="18"/>
          <w:szCs w:val="18"/>
          <w:color w:val="000000"/>
        </w:rPr>
        <w:t>ncreasing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commodity costs and shifting consumer demand. </w:t>
      </w:r>
      <w:r>
        <w:rPr>
          <w:rFonts w:ascii="Times New Roman" w:cs="Times New Roman" w:eastAsia="Times New Roman" w:hAnsi="Times New Roman"/>
          <w:sz w:val="18"/>
          <w:szCs w:val="18"/>
          <w:color w:val="231F20"/>
        </w:rPr>
        <w:t>In connection with the continuing effects of the COVID-19 pandemic, governments have implemented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significant measures, including closures, quarantines, travel restrictions and other social distancing directives, intended to control the spread of the virus. Companies have also taken precautions, such as requiring employees to work remotely or on a hybrid remote schedule, imposing travel restrictions and temporarily closing businesses. For example, due to new COVID-19 lockdown restrictions in China in the second quarter of 2022, many of the ports shut down which has negatively impacted our ability to timely receive shipments of certain of our products, such as our wipes or packaging components. As China recently shifted from its "zero-COVID" policy to a "living with COVID" policy by removing mandatory centralized quarantine, compulsory testing and sweeping lockdowns, there has been a surge in COVID cases in China. To the extent that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For example, the out-of-stock inventory due to supply chain disruptions has been significant on several key items, particularly in our Skin and Personal Care and Diapers and Wipes product categories. While at this time we are working to manage potential disruptions to our supply chain, the fluid nature of the COVID-19 pandemic and uncertainties regarding the related economic impact, as well as overall macroeconomic trends, are likely to result in sustained market turmoil, which could also have an adverse effect on our business, financial condition, results of operations and prospects.</w:t>
      </w:r>
    </w:p>
    <w:p>
      <w:pPr>
        <w:spacing w:after="0" w:line="22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The impact of the COVID-19 pandemic and overall macroeconomic trends on any of our suppliers, manufacturers, retail or ecommerce customers or transportation or logistics providers has and may continue to negatively affect the price and availability of our raw materials and impact our supply chain. For example, there has been a supplier shortage or significant demand for and cost impacts to various raw materials used in manufacturing and distributing our products, including post-consumer recycled plastic resin, post-consumer recycled cardboard shipping cartons for our Honest.com shipments, surfactants, fluff pulp and other diaper raw materials. If the disruptions caused by the COVID-19 pandemic or macroeconomic trends continue for an extended period of time, our ability to meet the demands of our consumers may be materially impacted. For example, government restrictions have limited and may in the future limit the personnel available to receive or ship products at our distribution centers. In addition, the conditions caused by the COVID-19 pandemic may negatively impact collections of accounts receivable (including as a result of retail customer bankruptcy), result in reduced orders from retail or digital partners or cause some of our retail customers to go out of business, all of which could adversely affect our business, financial condition, results of operations and prospects. Also, in the third quarter of 2022, some of our digital and retail customers began to reduce inventory on hand and have changed fulfillment schedules, which has negatively impacted our fulfillment operations and our revenue and is expected to continue to do so in the future. For example, Target implemented a new inventory management system to decrease weeks of supply on hand. Additionally, since 2021 Amazon has been holding fewer weeks of inventory supply on hand, which could impact the consumer experience and ultimate consumption, and has and could continue to negatively impact our results of operations.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22" w:name="page23"/>
    <w:bookmarkEnd w:id="22"/>
    <w:p>
      <w:pPr>
        <w:ind w:firstLine="648"/>
        <w:spacing w:after="0" w:line="252" w:lineRule="auto"/>
        <w:rPr>
          <w:sz w:val="20"/>
          <w:szCs w:val="20"/>
          <w:color w:val="auto"/>
        </w:rPr>
      </w:pPr>
      <w:r>
        <w:rPr>
          <w:rFonts w:ascii="Times New Roman" w:cs="Times New Roman" w:eastAsia="Times New Roman" w:hAnsi="Times New Roman"/>
          <w:sz w:val="18"/>
          <w:szCs w:val="18"/>
          <w:color w:val="231F20"/>
        </w:rPr>
        <w:t xml:space="preserve">In addition, any depression or recession resulting from the COVID-19 pandemic or other factors have changed customer and consumer behavior and demand, including with respect to our products, which could have an adverse effect on our business, financial condition, results of operations and prospects. For example, economic conditions, including inflationary pressures such as price increases in commodity prices, labor costs, input costs and transportation costs have impacted our gross margin and could impact consumer spending decisions to choose lower priced products, particularly as a result of our price increases intended to offset these input costs. We may not be able to increase our prices or productivity sufficiently enough to offset these costs. Our Digital channel has been negatively impacted in recent periods as consumers return to in-store shopping and our Retail channel may be impacted if governments were to implement regional business closures, quarantines, travel restrictions and other social distancing directives to slow the spread of the COVID-19 virus. Further, to the extent our third-party ecommerce or retail customers’ operations are negatively impacted by the COVID-19 pandemic or other macroeconomic trends, our consumers may reduce demand for or spending on our products, or consumers or ecommerce or retail customers may delay payments to us or request payment or other concessions. There may also be significant reductions or volatility in consumer demand for our products due to travel restrictions or social distancing directives, as well as the temporary inability of consumers to purchase our products due to illness, quarantine or financial hardship, shifts in demand away from one or more of our products, decreased consumer confidence and spending or pantry-loading activity, any of which may negatively impact our business, including as a result of an increased difficulty in planning for operations. For example, based on macro Household and Wellness trends, consumer demand for sanitizing and disinfecting products has decelerated at a more rapid than expected rate as more consumers have become vaccinated and retailers continue to manage heavy inventories of sanitization and disinfecting products in stores. </w:t>
      </w:r>
      <w:r>
        <w:rPr>
          <w:rFonts w:ascii="Times New Roman" w:cs="Times New Roman" w:eastAsia="Times New Roman" w:hAnsi="Times New Roman"/>
          <w:sz w:val="18"/>
          <w:szCs w:val="18"/>
          <w:color w:val="000000"/>
        </w:rPr>
        <w:t>Given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significant decline in consumer demand for sanitizing and disinfecting products, we recorded an inventory write-down, inclusive of overhead costs and tariffs, of $4.3 million and $5.6 million, during the years ended December 31, 2022 and 2021, respectively, relating to certain sanitization and disinfecting products as the amount of inventory was significantly in excess of existing and projected demand, and we may record inventory write-downs in the future. </w:t>
      </w:r>
      <w:r>
        <w:rPr>
          <w:rFonts w:ascii="Times New Roman" w:cs="Times New Roman" w:eastAsia="Times New Roman" w:hAnsi="Times New Roman"/>
          <w:sz w:val="18"/>
          <w:szCs w:val="18"/>
          <w:color w:val="231F20"/>
        </w:rPr>
        <w:t>Additionally, we may be unable to effectively modify our trade promotion and advertising activities to reflect changing consumer viewing and shopping habits due to event cancellations, reduced in-store visits and travel restrictions, among other things.</w:t>
      </w:r>
    </w:p>
    <w:p>
      <w:pPr>
        <w:spacing w:after="0" w:line="20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7"/>
          <w:szCs w:val="17"/>
          <w:color w:val="231F20"/>
        </w:rPr>
        <w:t xml:space="preserve">The extent of the COVID-19 pandemic’s effect on our operational and financial performance will depend on future developments, including the duration and intensity of the COVID-19 pandemic and the impact of any new variants of COVID-19, all of which are uncertain and difficult to predict considering the rapidly evolving landscape. Additionally, current macroeconomic conditions, such as inflation, increasing interest rates, </w:t>
      </w:r>
      <w:r>
        <w:rPr>
          <w:rFonts w:ascii="Times New Roman" w:cs="Times New Roman" w:eastAsia="Times New Roman" w:hAnsi="Times New Roman"/>
          <w:sz w:val="17"/>
          <w:szCs w:val="17"/>
          <w:color w:val="000000"/>
        </w:rPr>
        <w:t>and recent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potential future disruption in access to bank deposits and lending commitments due to bank failures, </w:t>
      </w:r>
      <w:r>
        <w:rPr>
          <w:rFonts w:ascii="Times New Roman" w:cs="Times New Roman" w:eastAsia="Times New Roman" w:hAnsi="Times New Roman"/>
          <w:sz w:val="17"/>
          <w:szCs w:val="17"/>
          <w:color w:val="231F20"/>
        </w:rPr>
        <w:t>increase the risk of a potential recession and these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macroeconomic conditions can negatively impact consumer discretionary spend for our products. External economic conditions have become more challenging and uncertain during fiscal year 2022. As a result, it is not currently possible to ascertain the overall impact of the COVID-19 pandemic or the challenging macroeconomic conditions on our business. However, if the pandemic continues to persist as a severe worldwide health crisis or the current macroeconomic conditions lead to a recession, this would and the pandemic could continue to have an adverse effect on our business, financial condition, results of operations and prospects, and may also have the effect of heightening many of the other risks described in this “Risk Factors” section.</w:t>
      </w:r>
    </w:p>
    <w:p>
      <w:pPr>
        <w:spacing w:after="0" w:line="21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strategic initiatives to reduce our cost structure could have long-term adverse effects on our business, financial condition, results of operations and prospects, and we may not realize the operational or financial benefits from such actions.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cost-reduction initiatives, including related to supply chain, marketing and selling, general and administrative expenses and the timing and success of such efforts are subject to many risks and uncertainties, including, without limitation, our ability to reduce costs and achieve positive gross margins; meet certain revenue and operating expense targets; and monetize inventory and manage working capital. As we continue to identify areas of cost savings and </w:t>
      </w:r>
      <w:r>
        <w:rPr>
          <w:rFonts w:ascii="Times New Roman" w:cs="Times New Roman" w:eastAsia="Times New Roman" w:hAnsi="Times New Roman"/>
          <w:sz w:val="18"/>
          <w:szCs w:val="18"/>
          <w:color w:val="231F20"/>
        </w:rPr>
        <w:t>operating</w:t>
      </w:r>
      <w:r>
        <w:rPr>
          <w:rFonts w:ascii="Times New Roman" w:cs="Times New Roman" w:eastAsia="Times New Roman" w:hAnsi="Times New Roman"/>
          <w:sz w:val="18"/>
          <w:szCs w:val="18"/>
          <w:color w:val="auto"/>
        </w:rPr>
        <w:t xml:space="preserve"> efficiencies, we may consider implementing further measures to help streamline operations and improve our cost efficiencies, including downsizing or exiting certain operations. For example, we announced the discontinuation of our disinfecting spray in 2022. We may not be successful in implementing these initiatives or realizing our anticipated savings and efficiencies, including as a result of factors beyond our control. In addition, any changes we make to reduce our cost structure, including changes to our products, formulations, or packaging, may result in reduced consumer demand for our products and increased carrying costs. If we are unable to realize the anticipated savings and efficiencies of our strategic initiatives, our operating and financial results would be adversely affected and could differ materially from our expectations.</w:t>
      </w:r>
    </w:p>
    <w:p>
      <w:pPr>
        <w:spacing w:after="0" w:line="2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manage our inventory effectively, our business, results of operations, financial condition and liquidity may be materially and adversely affected.</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Our business requires us to manage a large volume of inventory effectively. We depend on our forecasts of demand for various products to make purchase decisions and to manage our inventory. Demand for products, however, can change significantly between the time inventory or package components are ordered and the date of sale. Demand may be affected by new product launches of our competitors, rapid changes in product cycles and pricing, product defects, promotions, changes in consumer spending patterns, changes in consumer tastes with respect to our products and other factors, and our consumers may not purchase products in the quantities that we expect. It may be difficult to accurately forecast demand and determine appropriate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3" w:name="page24"/>
    <w:bookmarkEnd w:id="23"/>
    <w:p>
      <w:pPr>
        <w:ind w:right="100"/>
        <w:spacing w:after="0" w:line="255" w:lineRule="auto"/>
        <w:rPr>
          <w:sz w:val="20"/>
          <w:szCs w:val="20"/>
          <w:color w:val="auto"/>
        </w:rPr>
      </w:pPr>
      <w:r>
        <w:rPr>
          <w:rFonts w:ascii="Times New Roman" w:cs="Times New Roman" w:eastAsia="Times New Roman" w:hAnsi="Times New Roman"/>
          <w:sz w:val="18"/>
          <w:szCs w:val="18"/>
          <w:color w:val="231F20"/>
        </w:rPr>
        <w:t>levels of product. We generally do not have the right to return unsold products to our suppliers. If we fail to manage our inventory effectively or negotiate favorable credit terms with third-party suppliers, we may be subject to a heightened risk of inventory obsolescence, a decline in inventory values, and significant inventory write-downs or write-offs. For example, our inventory levels increased from $75.7 million to $115.7 million between the years ended December 31, 2021 and 2022. If we are required to lower sale prices or fund markdowns in order to reduce inventory level or to pay higher prices to our suppliers, our gross margins might be negatively affected. In addition, warehouse costs as a percentage of revenue increased from 9% to 12% between the years ended December 31, 2021 and 2022 related to inefficiencies in warehousing, higher labor rates and fulfillment costs due to holding higher levels of inventory. Any of the above may materially and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Failure to introduce new products may adversely affect our ability to continue to grow.</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231F20"/>
        </w:rPr>
        <w:t>A key element of our growth strategy depends on our ability to develop and market new products that meet our standards for quality and appeal to our consumers. The success of our innovation and product development efforts is affected by our ability to anticipate changes in consumer preferences, the technical capability of our innovation staff, including chemists, toxicologists and an eco-toxicologist, developing and testing product formulas and prototypes, our ability to comply with applicable governmental regulations, and the success of our management and sales and marketing teams in introducing and marketing new products. Our product offerings have changed since our launch, which makes it difficult to forecast our future results of operations. Demand for certain product offerings can be volatile. For example, we launched sanitizing and disinfecting products in 2020 in response to significant demand created by the COVID-19 pandemic. Over the course of 2021 and 2022, as our consumers became vaccinated, the demand for these products declined precipitously. There can be no assurance that demand for our products will be maintained or grow after introduction or that we will successfully develop and market new products that appeal to consumers. For example, product formulas we develop may not contain the product attributes desired by our consumers. Any such failure may lead to a decrease in our growth, sales and ability to achieve profitability, which could adversely affect our business, financial condition, results of operations and prospects.</w:t>
      </w:r>
    </w:p>
    <w:p>
      <w:pPr>
        <w:spacing w:after="0" w:line="2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Additionally, the development and introduction of new products requires substantial marketing expenditures, which we may be unable to recoup if new products do not gain widespread market acceptance. If we are unsuccessful in meeting our objectives with respect to new or improved products, our business, financial condition, results of operations and prospects could be adversely affected.</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In order to remain competitive and expand and keep market share for our products across our various channels, we may need to increase our marketing and advertising spending to maintain and increase consumer awareness, protect and grow our existing market share or promote new products, which could impact our operating results. Additionally, we may choose to change one of our marketing or advertising partners, which may prove to be unsuccessful. Substantial advertising and promotional expenditures may be required to maintain or improve our brand’s market position or to introduce new products to the market, and we are increasingly engaging with non-traditional media, including consumer outreach through social media and web-based channels, which may not prove successful. An increase in our marketing and advertising efforts may not maintain our current reputation or lead to increased brand awareness. In addition, in 2022 the industry experienced an increased in paid advertising which will further impact our ability to cost-effectively drive traffic to Honest.com. Further, social media platforms frequently change the algorithms that determine the ranking and display of results of a user’s search and may make other changes to the way results are displayed, which may negatively affect the placement of our links. Moreover, social media platforms and other digital advertising platforms have increased the costs of digital advertising which has made such marketing less cost effective and partially led us to shift our advertising budget toward our Retail channel, and in turn reduced the number of visits to our website and social media channels. For example, in the third quarter of 2022, we made a strategic choice to significantly reduce digital media spending in the face of higher advertising costs, which has and may continue to impact our revenue in the digital channel.</w:t>
      </w:r>
    </w:p>
    <w:p>
      <w:pPr>
        <w:spacing w:after="0" w:line="21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231F20"/>
        </w:rPr>
        <w:t>In addition, social media platforms typically require compliance with their policies and procedures, which may be subject to change or new interpretation with limited ability to negotiate, which could negatively impact our marketing capabilities. We may need to shift our marketing strategy and associated costs and those shifts, including any decrease in marketing spend, may negatively impact our consumer awareness and ultimately our operating results. If we are unable to maintain and promote a favorable perception of our brand and products on a cost-effective basis, our business, financial condition, results of operations and prospects could be adversely affected.</w:t>
      </w:r>
    </w:p>
    <w:p>
      <w:pPr>
        <w:spacing w:after="0" w:line="20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leverage our brand value propositions to compete against private label products, especially during an economic downturn, may adversely affect our ability to achieve or maintain profitability.</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4" w:name="page25"/>
    <w:bookmarkEnd w:id="24"/>
    <w:p>
      <w:pPr>
        <w:ind w:right="20" w:firstLine="648"/>
        <w:spacing w:after="0" w:line="237" w:lineRule="auto"/>
        <w:rPr>
          <w:sz w:val="20"/>
          <w:szCs w:val="20"/>
          <w:color w:val="auto"/>
        </w:rPr>
      </w:pPr>
      <w:r>
        <w:rPr>
          <w:rFonts w:ascii="Times New Roman" w:cs="Times New Roman" w:eastAsia="Times New Roman" w:hAnsi="Times New Roman"/>
          <w:sz w:val="18"/>
          <w:szCs w:val="18"/>
          <w:color w:val="231F20"/>
        </w:rPr>
        <w:t xml:space="preserve">In many product categories, we compete not only with other widely advertised branded products, but also with private label products that generally are sold at lower prices. Consumers are more likely to purchase our products if they believe that our products provide greater value than less expensive alternatives. If the difference in perceived value between our brand and private label products narrows, or if there is a perception of such a narrowing, consumers may choose not to buy our products at prices that are profitable for us. </w:t>
      </w:r>
      <w:r>
        <w:rPr>
          <w:rFonts w:ascii="Times New Roman" w:cs="Times New Roman" w:eastAsia="Times New Roman" w:hAnsi="Times New Roman"/>
          <w:sz w:val="18"/>
          <w:szCs w:val="18"/>
          <w:color w:val="000000"/>
        </w:rPr>
        <w:t>We believe that in periods of economic uncertainty, such 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current economic uncertainty surrounding the </w:t>
      </w:r>
      <w:r>
        <w:rPr>
          <w:rFonts w:ascii="Times New Roman" w:cs="Times New Roman" w:eastAsia="Times New Roman" w:hAnsi="Times New Roman"/>
          <w:sz w:val="18"/>
          <w:szCs w:val="18"/>
          <w:color w:val="231F20"/>
        </w:rPr>
        <w:t>continuing effects of the</w:t>
      </w:r>
      <w:r>
        <w:rPr>
          <w:rFonts w:ascii="Times New Roman" w:cs="Times New Roman" w:eastAsia="Times New Roman" w:hAnsi="Times New Roman"/>
          <w:sz w:val="18"/>
          <w:szCs w:val="18"/>
          <w:color w:val="000000"/>
        </w:rPr>
        <w:t xml:space="preserve"> COVID-19 pandemic, rising inflation, increasing interest rates, </w:t>
      </w:r>
      <w:r>
        <w:rPr>
          <w:rFonts w:ascii="Times New Roman" w:cs="Times New Roman" w:eastAsia="Times New Roman" w:hAnsi="Times New Roman"/>
          <w:sz w:val="18"/>
          <w:szCs w:val="18"/>
          <w:color w:val="231F20"/>
        </w:rPr>
        <w:t>increasing prices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of our products</w:t>
      </w:r>
      <w:r>
        <w:rPr>
          <w:rFonts w:ascii="Times New Roman" w:cs="Times New Roman" w:eastAsia="Times New Roman" w:hAnsi="Times New Roman"/>
          <w:sz w:val="18"/>
          <w:szCs w:val="18"/>
          <w:color w:val="000000"/>
        </w:rPr>
        <w:t>, and increasing risk of a recession, consumers may purchase more lower-priced private label or other economy brands.</w:t>
      </w:r>
      <w:r>
        <w:rPr>
          <w:rFonts w:ascii="Times New Roman" w:cs="Times New Roman" w:eastAsia="Times New Roman" w:hAnsi="Times New Roman"/>
          <w:sz w:val="18"/>
          <w:szCs w:val="18"/>
          <w:color w:val="231F20"/>
        </w:rPr>
        <w:t xml:space="preserve"> To the extent this occurs, we could experience a reduction in the sales volume of our products or an unfavorable shift in our product mix, which could have an adverse effect on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develop and maintain our brand, our business could suffer.</w:t>
      </w:r>
    </w:p>
    <w:p>
      <w:pPr>
        <w:spacing w:after="0" w:line="25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231F20"/>
        </w:rPr>
        <w:t>We have developed a strong and trusted brand that has contributed significantly to the success of our business, and we believe our continued success depends on our ability to maintain and grow the value of The Honest Company brand. Maintaining, promoting and positioning our brand and reputation will depend on, among other factors, the success of our product offerings, product safety, quality assurance, marketing and merchandising efforts, our continued focus on delivering clean, sustainable, well-designed, and effective products to our consumers and our ability to provide a consistent, high-quality consumer experience. In addition, in 2019 we entered into a license agreement with Butterblu, LLC, or Butterblu, pursuant to which we licensed certain of our trademarks to Butterblu for the manufacture and distribution of certain baby apparel and other products in exchange for royalties. In August 2022, we terminated the license agreement in advance of its expiration date and entered into a supplier services agreement with Butterblu, pursuant to which Butterblu provides certain design, manufacturing, sales and marketing services to us. Butterblu continues to operate and maintain our baby apparel offerings independently through the honestbabyclothing.com website. If Butterblu fails to comply with their contractual obligations, including our quality standards, our brand could be harmed.</w:t>
      </w:r>
    </w:p>
    <w:p>
      <w:pPr>
        <w:spacing w:after="0" w:line="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Any negative publicity, regardless of its accuracy, could have an adverse effect on our business. Brand value is based on perceptions of subjective qualities, and any incident that erodes the loyalty of our consumers, suppliers or manufacturers, including changes to our products or packaging, adverse publicity or a governmental investigation, litigation or regulatory enforcement action, could significantly reduce the value of our brand and adversely affect our business, financial condition, results of operations and prospects.</w:t>
      </w:r>
    </w:p>
    <w:p>
      <w:pPr>
        <w:spacing w:after="0" w:line="21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brand and reputation may be diminished due to real or perceived quality, safety, efficacy or environmental impact issues with our products, which could have an adverse effect on our business, financial condition, results of operations and prospects.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We believe our consumers rely on us to provide them with clean, sustainable, well-designed, and effective products. Any loss of confidence on the part of consumers in our products or the ingredients used in our products, whether related to product contamination or product safety or quality failures, actual or perceived, environmental impacts, or inclusion of prohibited ingredients, or ingredients that are perceived to be “toxic”, could tarnish the image of our brand and could cause consumers to choose other products. Allegations of contamination or other adverse effects on product safety or efficacy or suitability for use by a particular consumer or on the environment, even if untrue, may require us to expend significant time and resources responding to such allegations and could, from time to time, result in a recall of a product from any or all of the markets in which the affected product was distributed. Any such issues or recalls could negatively affect our ability to achieve or maintain profitability and brand image.</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We have also been the subject of litigation claiming our labels contain inaccurate or misleading information. For example, in 2022, a class action lawsuit was filed against us alleging that our plant-based claim on certain wipes products was deceptive to purchasers. In response to similar claims in the past, we have updated the language on certain of our labels. In addition, we voluntarily recalled certain of our baby wipes and baby powder products in 2017 and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1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231F20"/>
        </w:rPr>
        <w:t>We also have no control over our products once purchased by consumers. For example, consumers may store or use our products under conditions and for periods of time inconsistent with approved directions for use or the listed “Period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231F20"/>
        </w:rPr>
        <w:t>Opening,” or required warnings or other governmental guidelines on our labels, which may adversely affect the quality and safety of our products.</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If our products are found to be, or perceived to be, defective or unsafe, or if they otherwise fail to meet our consumers’ expectations, our relationships with consumers could suffer, the appeal of our brand could be diminished, we may need to recall some of our products and/or become subject to regulatory action, and we could lose sales or market share or become subject to boycotts or liability claims. In addition, safety or other defects in our competitors’ products or products using the Honest name in other consumer categories, like beverages and pet food in which we do not own the Honest brand, could reduce consumer demand for our own products if consumers view them to be similar. Any such adverse effect could be exacerbated by our market positioning as a purveyor of clean, sustainable, well-designed, and effective products and may significantly reduce our brand value. Issues regarding the safety, efficacy, quality, composition or environmental impact of any of our products, regardless of the cause, may have an adverse effect on our brand, reputation and operating results. Further, the growing use of social and digital media by us, our consumers and third parties increases the speed and extent that information or misinformation and opinions can be shared. Negative publicity about us, our brand or our products on social or digital media could seriously damage our brand and reputation. Any loss of confidence on the part of consumers in the quality, safety, efficacy or environmental suitability of our products would be difficult and costly to overcome, even if such concerns were based on inaccurate or misleading information. If we do not maintain the favorable perception of our brand, our business, financial condition, results of operations and prospects could be adversely affected.</w:t>
      </w:r>
    </w:p>
    <w:p>
      <w:pPr>
        <w:spacing w:after="0" w:line="21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Economic downturns or a change in consumer preferences, perception and spending habits in the clean products categories, in particular, could limit consumer demand for our products and negatively affect our business.</w:t>
      </w:r>
    </w:p>
    <w:p>
      <w:pPr>
        <w:spacing w:after="0" w:line="17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18"/>
          <w:szCs w:val="18"/>
          <w:color w:val="231F20"/>
        </w:rPr>
        <w:t xml:space="preserve">We have positioned our brand to capitalize on growing consumer interest in clean conscious products. The clean conscious consumer product industry is sensitive to national and regional economic conditions and the demand for the products that we distribute may be adversely affected from time to time by economic downturns that impact consumer spending, including discretionary spending. Current macroeconomic conditions, such as inflation, increasing interest rates, </w:t>
      </w:r>
      <w:r>
        <w:rPr>
          <w:rFonts w:ascii="Times New Roman" w:cs="Times New Roman" w:eastAsia="Times New Roman" w:hAnsi="Times New Roman"/>
          <w:sz w:val="18"/>
          <w:szCs w:val="18"/>
          <w:color w:val="000000"/>
        </w:rPr>
        <w:t>and recent and potential future disruption in access to bank deposits and lending commitments due to bank failures,</w:t>
      </w:r>
      <w:r>
        <w:rPr>
          <w:rFonts w:ascii="Times New Roman" w:cs="Times New Roman" w:eastAsia="Times New Roman" w:hAnsi="Times New Roman"/>
          <w:sz w:val="18"/>
          <w:szCs w:val="18"/>
          <w:color w:val="231F20"/>
        </w:rPr>
        <w:t xml:space="preserve"> increase the risk of a potential recession and these macroeconomic conditions can negatively impact consumer discretionary spend for our products. External economic conditions have become more challenging and uncertain during fiscal year 2022. Current and any</w:t>
      </w:r>
    </w:p>
    <w:p>
      <w:pPr>
        <w:spacing w:after="0" w:line="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color w:val="231F20"/>
        </w:rPr>
        <w:t>uture economic conditions such as employment levels, business conditions, housing starts, market volatility, interest rates, inflation rates, energy and fuel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costs and tax rates, or our actions in response to these conditions, such as price increases, </w:t>
      </w:r>
      <w:r>
        <w:rPr>
          <w:rFonts w:ascii="Times New Roman" w:cs="Times New Roman" w:eastAsia="Times New Roman" w:hAnsi="Times New Roman"/>
          <w:sz w:val="18"/>
          <w:szCs w:val="18"/>
          <w:color w:val="000000"/>
        </w:rPr>
        <w:t>including our price increase in 2022 and planned for in 2023,</w:t>
      </w:r>
      <w:r>
        <w:rPr>
          <w:rFonts w:ascii="Times New Roman" w:cs="Times New Roman" w:eastAsia="Times New Roman" w:hAnsi="Times New Roman"/>
          <w:sz w:val="18"/>
          <w:szCs w:val="18"/>
          <w:color w:val="231F20"/>
        </w:rPr>
        <w:t xml:space="preserve"> could reduce consumer spending or change consumer purchasing habits. Among these changes could be a reduction in the number of clean conscious consumer products that consumers purchase where there are alternatives, given that many products in this category often have higher retail prices than do their conventional counterparts.</w:t>
      </w:r>
    </w:p>
    <w:p>
      <w:pPr>
        <w:spacing w:after="0" w:line="21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231F20"/>
        </w:rPr>
        <w:t>Further, the Diapers and Wipes, Skin and Personal Care and Household and Wellness categories in which we operate are subject to changes in consumer preference, perception and spending habits. Our performance depends significantly on factors that may affect the level and pattern of consumer spending in the markets in which we operate. Such factors include consumer preference, consumer confidence, consumer income, consumer perception of the safety and quality of our products and shifts in the perceived value for our products relative to alternatives. The Diapers and Wipes market is also subject to changes in birthrates, which have been declining in developed countries like the United States. In addition, media coverage regarding the safety, quality environmental suitability of, our products or the raw materials, ingredients or processes involved in their manufacturing may damage consumer confidence in our products. A general decline in the consumption of our products could occur at any time as a result of change in consumer preference, perception, confidence and spending habits, including an unwillingness to pay a premium or an inability to purchase our products due to financial hardship or increased price sensitivity, which may be exacerbated by the effects of the COVID-19 pandemic, inflationary pressures and economic uncertainty. If consumer preferences shift away from clean products, our business, financial condition and results of operations could be adversely affected.</w:t>
      </w:r>
    </w:p>
    <w:p>
      <w:pPr>
        <w:spacing w:after="0" w:line="2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The success of our products depends on a number of factors including our ability to accurately anticipate changes in market demand and consumer preferences, our ability to differentiate the quality of our products from those of our competitors, and the effectiveness of our marketing and advertising campaigns for our products. We may not be successful in identifying trends in consumer preferences and developing products that respond to such trends in a timely manner. We also may not be able to effectively promote our products by our marketing and advertising campaigns and gain market acceptance. If our products fail to gain market acceptance, are restricted by regulatory requirements or have quality problems, we may not be able to fully recover costs and expenses incurred in our operation, and our business, financial condition, results of operations and prospects could be adversely affected.</w:t>
      </w:r>
    </w:p>
    <w:p>
      <w:pPr>
        <w:spacing w:after="0" w:line="21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cannot maintain our Company culture or focus on our purpose as we grow, our success and our business and competitive position may be harmed.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6" w:name="page27"/>
    <w:bookmarkEnd w:id="26"/>
    <w:p>
      <w:pPr>
        <w:ind w:right="80" w:firstLine="648"/>
        <w:spacing w:after="0" w:line="258" w:lineRule="auto"/>
        <w:rPr>
          <w:sz w:val="20"/>
          <w:szCs w:val="20"/>
          <w:color w:val="auto"/>
        </w:rPr>
      </w:pPr>
      <w:r>
        <w:rPr>
          <w:rFonts w:ascii="Times New Roman" w:cs="Times New Roman" w:eastAsia="Times New Roman" w:hAnsi="Times New Roman"/>
          <w:sz w:val="18"/>
          <w:szCs w:val="18"/>
          <w:color w:val="231F20"/>
        </w:rPr>
        <w:t>We believe our culture and our mission have been key contributors to our success to date and that the critical nature of the platform that we provide promotes a sense of greater purpose and fulfillment in our employees. Any failure to preserve our culture or focus on our mission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values. If we fail to maintain our Company culture or focus on our mission, our competitive position and business, financial condition, results of operations and prospects could be adversely affected.</w:t>
      </w:r>
    </w:p>
    <w:p>
      <w:pPr>
        <w:spacing w:after="0" w:line="2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maintain our competitive position is largely dependent on the services of our senior management and other key personnel, including our founder and Chief Creative Officer, Jessica Warren, and our Chief Executive Officer, Carla Vernón.</w:t>
      </w:r>
    </w:p>
    <w:p>
      <w:pPr>
        <w:spacing w:after="0" w:line="18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31F20"/>
        </w:rPr>
        <w:t>Our ability to maintain our competitive position is largely dependent on the services of our senior management and other key personnel, including our founder and Chief Creative Officer, Jessica Warren, and our Chief Executive Officer, Carla Vernón. The loss of the services of either of these persons could have an adverse effect on our business, financial condition, results of operations and prospects.</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Jessica Warren is a globally recognized Latina business leader, entrepreneur, advocate, actress, and New York Times bestselling author. We believe that the success of our brand depends in part on our ongoing affiliation with Jessica Warren. We have an agreement with Jessica Warren, or the Likeness Agreement, which, among other things, includes a license for her likeness and imposes various obligations on us. Ms. Warren has the right to terminate the Likeness Agreement at any time upon prior written notice, and the Likeness Agreement will immediately terminate in the event we become insolvent. Upon termination of the Likeness Agreement, we could, among other things, be required to pay damages to Ms. Warren, lose our ability to associate the brand with Ms. Warren, and sustain reputational damage. We depend on Ms. Warren’s social media reach and influence to connect with consumers and provide insight on current trends. If Ms. Warren objects to a proposed use of the licensed property, we may be prevented from implementing our business plan in a timely manner, or at all, outside of previously approved usages or usages consistent with certain pre-approved product guidelines. The loss of the services of Ms. Warren, or the loss of our ability to use Ms. Warren’s likeness, could have an adverse effect on our business, financial condition, results of operations and prospects.</w:t>
      </w:r>
    </w:p>
    <w:p>
      <w:pPr>
        <w:spacing w:after="0" w:line="2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231F20"/>
        </w:rPr>
        <w:t>Our brand may also depend on the positive image and public popularity of Ms. Warren to maintain and increase brand recognition. Ms. Warren’s social media presence and approximately 48 million followers as of February 2023 across all of her social media channels combined represent a large social following and potential audience for our social media reach. Consumers may be drawn to our products because of her involvement with us. If Ms. Warren’s image, reputation or popularity is materially and adversely affected, this could negatively affect the marketability and sales of our products and could have an adverse effect on our business, financial condition, results of operations and prospects.</w:t>
      </w:r>
    </w:p>
    <w:p>
      <w:pPr>
        <w:spacing w:after="0" w:line="21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231F20"/>
        </w:rPr>
        <w:t>In addition, our future success depends on our continued ability to attract, develop, motivate and retain highly qualified and skilled employees, including Carla Vernón, who became our new Chief Executive Officer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results of operations and prospects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social media and influencers may adversely affect our reputation or subject us to fines or other penalties.</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231F20"/>
        </w:rPr>
        <w:t>We use third-party social media platforms as, among other things, marketing tools. For example, we maintain Instagram, Facebook, Pinterest, Twitter and TikTok accounts. We also maintain relationships with thousands of social media influencers and engage in sponsorship initiatives. As existing ecommerce and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7" w:name="page28"/>
    <w:bookmarkEnd w:id="27"/>
    <w:p>
      <w:pPr>
        <w:ind w:firstLine="648"/>
        <w:spacing w:after="0" w:line="255" w:lineRule="auto"/>
        <w:rPr>
          <w:sz w:val="20"/>
          <w:szCs w:val="20"/>
          <w:color w:val="auto"/>
        </w:rPr>
      </w:pPr>
      <w:r>
        <w:rPr>
          <w:rFonts w:ascii="Times New Roman" w:cs="Times New Roman" w:eastAsia="Times New Roman" w:hAnsi="Times New Roman"/>
          <w:sz w:val="18"/>
          <w:szCs w:val="18"/>
          <w:color w:val="231F20"/>
        </w:rPr>
        <w:t>In addition, an increase in the use of social media influencers for product promotion and marketing may cause an increase in the burden on us to monitor compliance of the content they post and increase the risk that such content could contain problematic product or marketing claims in violation of applicable laws and regulations. For example, in some cases, the Federal Trade Commission, or the FTC, has sought enforcement action where an endorsement has failed to clearly and conspicuously disclose a financial relationship or material connection between an influencer and an advertiser. We do not control the content that our influencers post, and if we were held responsible for any false, misleading or otherwise unlawful content of their posts or their actions, we could be fined or subjected to other monetary liabilities or forced to alter our practices, which could have an adverse impact on our business.</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Negative commentary regarding us, our products or influencers and other third parties who are affiliated with us has in the past and may in the future also be posted on social media platforms and may be adverse to our reputation or business. Influencers with whom we maintain relationships could engage in behavior or use their platforms to communicate directly with our consumers in a manner that reflects poorly on our brand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Employee litigation and unfavorable publicity could negatively affect our future business.</w:t>
      </w:r>
    </w:p>
    <w:p>
      <w:pPr>
        <w:spacing w:after="0" w:line="25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231F20"/>
        </w:rPr>
        <w:t>Our employees have in the past, and may in the future, bring employment-related lawsuits against us, including regarding injuries, a hostile workplace, discrimination, wage and hour disputes, sexual harassment, or other employment issues. In recent years there has been an increase in the number of discrimination and harassment claims generally. Coupled with the expansion of social media platforms, employer review websites and similar devices that allow individuals access to a broad audience, these claims have had a significant negative impact on some businesses. Certain companies that have faced employment-or harassment-related claims have had to terminate management or other key personnel and have suffered reputational harm that has negatively impacted their business, including their ability to attract and hire top talent. Any employment-or harassment-related claims against our Company or key personnel could negatively affect us in similar or other ways.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history of net losses and we may not be able to achieve or maintain profitability in the future.</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231F20"/>
        </w:rPr>
        <w:t>We have incurred net losses each year since our inception and we may not be able to achieve or maintain profitability in the future. We incurred net losses of $49.0 million, $38.7 million and $14.5 million in the years ended December 31, 2022, 2021 and 2020, respectively. Our expenses will likely increase in the future as we develop and launch new products and platform features, expand in existing and new markets, increase our sales and marketing efforts and continue to invest in our platform. These efforts may be more costly than we expect and may not result in increased revenue or growth in our business. These products may require significant capital investments and recurring costs, maintenance, depreciation, asset life and asset replacement costs, and if we are not able to maintain sufficient levels of utilization of such assets or such products are otherwise not successful, our investments may not generate sufficient returns and our financial condition may be adversely affected.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financial condition, results of operations and prospects could be adversely affected. If we are unable to generate adequate revenue growth and manage our expenses, we may continue to incur significant losses in the future and may not be able to achieve or maintain profitability.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could be harmed if we are unable to accurately forecast demand for our products.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To ensure adequate inventory supply, we must forecast inventory needs and place orders with our third-party manufacturers before firm orders are placed by our consumers or our retail and third-party ecommerce partners. If we fail to accurately forecast consumer and customer demand, we may experience excess inventory levels or a shortage of product to deliver to our consumers and customers. Factors that could affect our ability to accurately forecast demand for our products include: an unanticipated increase or decrease in demand for our products; our failure to accurately forecast acceptance for our new products; product introductions by competitors; unanticipated changes in general market conditions or other factors, which may result in cancellations of advance orders or a reduction or increase in the rate of reorders or at-once orders placed by retailers; the impact on demand due to unseasonable weather conditions; weakening of economic conditions or consumer or customer confidence in future economic conditions, which could reduce demand for discretionary items, such as our products; and terrorism or acts of war, or the threat thereof, or political or labor instability or unrest, which could adversely affect consumer or customer confidence and spending or interrupt production and distribution of product and raw materials.</w:t>
      </w:r>
    </w:p>
    <w:p>
      <w:pPr>
        <w:spacing w:after="0" w:line="21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231F20"/>
        </w:rPr>
        <w:t>Inventory levels in excess of consumer or customer demand have resulted and may result in inventory write-downs or write-offs and the sale of excess inventory at discounted prices or in less preferred distribution channels, which could impair our</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231F20"/>
        </w:rPr>
        <w:t xml:space="preserve">brand image and harm our business. </w:t>
      </w:r>
      <w:r>
        <w:rPr>
          <w:rFonts w:ascii="Times New Roman" w:cs="Times New Roman" w:eastAsia="Times New Roman" w:hAnsi="Times New Roman"/>
          <w:sz w:val="18"/>
          <w:szCs w:val="18"/>
          <w:color w:val="000000"/>
        </w:rPr>
        <w:t>Given the significant decline in consumer demand for sanitizing and disinfecting products, we recorded an inventory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write-down, inclusive of overhead costs and tariffs, of $4.3 million and $5.6 million, during the years ended December 31, 2022 and 2021, respectively, relating to certain sanitization and disinfecting products as the amount of inventory was significantly in excess of existing and projected demand, and we may record inventory write-downs in the future. </w:t>
      </w:r>
      <w:r>
        <w:rPr>
          <w:rFonts w:ascii="Times New Roman" w:cs="Times New Roman" w:eastAsia="Times New Roman" w:hAnsi="Times New Roman"/>
          <w:sz w:val="18"/>
          <w:szCs w:val="18"/>
          <w:color w:val="231F20"/>
        </w:rPr>
        <w:t>In addition, if we underestimate the demand for our products, our third-party manufacturers may not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able to produce products to meet our consumer or customer requirements, and this could result in delays in the shipment of our products and our ability to recognize revenue, lost sales, as well as damage to our reputation and retailer and distributor relationships. For example, t</w:t>
      </w:r>
      <w:r>
        <w:rPr>
          <w:rFonts w:ascii="Times New Roman" w:cs="Times New Roman" w:eastAsia="Times New Roman" w:hAnsi="Times New Roman"/>
          <w:sz w:val="18"/>
          <w:szCs w:val="18"/>
          <w:color w:val="000000"/>
        </w:rPr>
        <w:t>he out-of-stock inventory in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due to supply chain disruptions has been significant on several key items, particularly in our Skin and Personal Care and Diapers and Wipes product categories. While our out-of-stock inventory levels have improved in 2022, future out-of-stock disruptions may negatively impact our results of operations, reputation and distributor relationships.</w:t>
      </w:r>
    </w:p>
    <w:p>
      <w:pPr>
        <w:spacing w:after="0" w:line="21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231F20"/>
        </w:rPr>
        <w:t>The difficulty in forecasting demand also makes it difficult to estimate our future results of operations and financial condition from period to period. A failure to accurately predict the level of demand for our products could adversely affect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at our current scale, which may make it difficult to evaluate our business and future prospects.</w:t>
      </w:r>
    </w:p>
    <w:p>
      <w:pPr>
        <w:spacing w:after="0" w:line="256"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231F20"/>
        </w:rPr>
        <w:t>We began commercial operations in 2012 and have a limited history of generating revenue at our current scale. As a result of our relatively short operating history at our current scale, we have limited financial data that can be used to evaluate our business and future prospects. Any evaluation of our business and prospects must be considered in light of our limited operating history, which may not be indicative of future performance. Because of our limited operating history, we face increased risks, uncertainties, expenses, and difficulties, including the risks and uncertainties discussed in this section.</w:t>
      </w:r>
    </w:p>
    <w:p>
      <w:pPr>
        <w:spacing w:after="0" w:line="18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Certain of the data that we track is subject to inherent challenges in measurement, and any inaccuracies in such data may negatively affect our business.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We track certain data using internal data analytics tools and we rely on data received from third parties, including third-party platforms, which have certain limitations. Data from these sources may include information relating to fraudulent accounts and interactions with our sites or the social media accounts of our business or of our influencers (including as a result of the use of bots, or other automated or manual mechanisms to generate false impressions that are delivered through our sites or their accounts). We have only a limited ability to verify data from our sites or third parties, and perpetrators of fraudulent impressions may change their tactics and may become more sophisticated, which would make it still more difficult to detect such activity.</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Our methodologies for tracking data may also change over time. If we undercount or overcount performance due to the internal data analytics tools we use or experience issues with the data received from third parties, or if our internal data analytics tools contain algorithmic or other technical errors, the data we track may not be accurate. In addition, limitations, changes or errors with respect to how we measure data may affect our understanding of certain details of our business, which could affect our longer-term strategies. If we are not able to obtain and track accurate data, our business, financial condition, results of operations and prospects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rely on independent certification for a number of our products.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We rely on independent third-party certification, such as certifications of some of our products or ingredients as “organic” to differentiate them from others. We must comply with the requirements of independent organizations or certification authorities in order to label our products as certified organic, such as the United States Department of Agriculture’s, or the USDA, National Organic Program, the Global Organic Textile Standard for organic cotton in our baby clothing and bedding, the USDA’s BioPreferred Program for certified biobased products, the National Eczema Association’s NEA Seal of Acceptance, and the NSF/ANSI 305 standards set by Quality Assurance International. For example, we can lose our certifications if we use unapproved raw materials or incorrectly use a certification on product labels or in marketing materials. The loss of any independent certifications could adversely affect our market position and brand reputation as a maker of clean products, and our business, financial condition, results of operations and prospects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results of operations may fluctuate as a result of price concessions, promotional activities, credits and other factors.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231F20"/>
        </w:rPr>
        <w:t>Retailers and third-party ecommerce partners may require price concessions that would negatively impact our margins and our ability to achieve or maintain profitability. If we are not able to lower our cost structure adequately in response to consumer pricing demands, and if we are not able to attract and retain a profitable consumer mix and a profitable product mix, our ability to achieve or maintain profitability could be adversely affected.</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29" w:name="page30"/>
    <w:bookmarkEnd w:id="29"/>
    <w:p>
      <w:pPr>
        <w:ind w:right="140" w:firstLine="648"/>
        <w:spacing w:after="0" w:line="255" w:lineRule="auto"/>
        <w:rPr>
          <w:sz w:val="20"/>
          <w:szCs w:val="20"/>
          <w:color w:val="auto"/>
        </w:rPr>
      </w:pPr>
      <w:r>
        <w:rPr>
          <w:rFonts w:ascii="Times New Roman" w:cs="Times New Roman" w:eastAsia="Times New Roman" w:hAnsi="Times New Roman"/>
          <w:sz w:val="18"/>
          <w:szCs w:val="18"/>
          <w:color w:val="231F20"/>
        </w:rPr>
        <w:t>In addition, we periodically offer credits through various programs to our retail and ecommerce customers, including temporary price reductions, off-invoice discounts, retailer advertisements, product coupons, market development funds, in-store merchandising and product displays and other trade activities. We also periodically provide credits or other accommodations to our retail and ecommerce customers in the event that products do not conform to specifications or meet expected demand. The cost associated with promotions and credits is estimated and recorded as a reduction in revenue. These price concessions and promotional activities could adversely impact our revenue and changes in such activities could adversely impact period-over-period results. If we are not correct in predicting the performance of such promotions, or if we are not correct in estimating credits, our business, financial condition, results of operations and prospects could be adversely affected.</w:t>
      </w:r>
    </w:p>
    <w:p>
      <w:pPr>
        <w:spacing w:after="0" w:line="21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inability to secure, maintain and increase our presence in retail stores could adversely impact our revenue, and in turn our business, financial condition, results of operations and prospects could be adversely affected.</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Our operations include sales to retail stores and their related websites, which in 2022, accounted for approximately </w:t>
      </w:r>
      <w:r>
        <w:rPr>
          <w:rFonts w:ascii="Times New Roman" w:cs="Times New Roman" w:eastAsia="Times New Roman" w:hAnsi="Times New Roman"/>
          <w:sz w:val="18"/>
          <w:szCs w:val="18"/>
          <w:color w:val="000000"/>
        </w:rPr>
        <w:t>55%</w:t>
      </w:r>
      <w:r>
        <w:rPr>
          <w:rFonts w:ascii="Times New Roman" w:cs="Times New Roman" w:eastAsia="Times New Roman" w:hAnsi="Times New Roman"/>
          <w:sz w:val="18"/>
          <w:szCs w:val="18"/>
          <w:color w:val="231F20"/>
        </w:rPr>
        <w:t xml:space="preserve"> of our revenue. The success of our business is largely dependent on our continuing development of strong relationships with major retail chains. Target represented 31% of our retail sales in 2022. </w:t>
      </w:r>
      <w:r>
        <w:rPr>
          <w:rFonts w:ascii="Times New Roman" w:cs="Times New Roman" w:eastAsia="Times New Roman" w:hAnsi="Times New Roman"/>
          <w:sz w:val="18"/>
          <w:szCs w:val="18"/>
          <w:color w:val="000000"/>
        </w:rPr>
        <w:t>In the third quarter of 2022, we also expanded retail distribution into over 2,500 Walmart stores.</w:t>
      </w:r>
      <w:r>
        <w:rPr>
          <w:rFonts w:ascii="Times New Roman" w:cs="Times New Roman" w:eastAsia="Times New Roman" w:hAnsi="Times New Roman"/>
          <w:sz w:val="18"/>
          <w:szCs w:val="18"/>
          <w:color w:val="231F20"/>
        </w:rPr>
        <w:t xml:space="preserve"> The loss of our relationship with Target or any other large retail customer, including our new relationship with Walmart, could have a significant impact on our revenue. For example, there is significant volatility in our programs with Costco which resulted in a $10.0 million reduction in our revenue in 2022. We have no assurance of future rotational programs or ongoing revenue with Costco. In addition, we may be unable to secure adequate shelf space in new markets, or any shelf space at all, until we develop relationships with the retailers that operate in such markets. We also may not be successful in executing our launches with new retailers like Walmart. Consequently, growth opportunities through our Retail channel may be limited and our revenue, business, financial condition, results of operations and prospects could be adversely affected if we are unable to successfully establish or maintain relationships with other retailers in new or current markets.</w:t>
      </w:r>
    </w:p>
    <w:p>
      <w:pPr>
        <w:spacing w:after="0" w:line="22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231F20"/>
        </w:rPr>
        <w:t>We also face significant competition to display our products on store shelves and obtain optimal presence on those shelves. Due to the intense competition for limited shelf space, retailers are in a position to negotiate favorable terms of sale, including price discounts, allowances and product return policies. To the extent we elect to increase discounts or allowances in an effort to secure shelf space, our operating results could be adversely affected. We may not be able to increase or sustain our volume of retail shelf space or offer retailers price discounts sufficient to overcome competition and, as a result, our sales and results of operations could be adversely affected. In addition, many of our competitors have significantly greater financial, manufacturing, marketing, management and other resources than we do and may have greater name recognition, a more established distribution network and a larger base of wholesale customers and distributors. Many of our competitors also have well-established relationships with our current and potential consumers who purchase Diapers and Wipes, Skin and Personal Care or Household and Wellness products at retail stores, and have extensive knowledge of our target markets. As a result, these competitors may be able to devote greater resources to the development, promotion and sale of their products and respond more quickly to evolving consumer preferences. If our competitors’ sales surpass ours, retailers may give higher priority to our competitors’ products, causing such retailers to reduce their efforts to sell our products and resulting in the loss of advantageous shelf space.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Significant product returns or refunds could harm our business.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231F20"/>
        </w:rPr>
        <w:t>We allow our DTC consumers to return products and we offer refunds, subject to our return and refunds policy. In addition, some of our agreements with our retail or third-party ecommerce partners provide that we are responsible for the costs of certain returns. If product returns or refunds are significant or higher than anticipated and forecasted, our business, financial condition, results of operations and prospects could be adversely affected. Further, we and our retail and third-party ecommerce partners modify policies relating to returns or refunds from time to time, and may do so in the future, which may result in consumer dissatisfaction and harm to our reputation or brand, or an increase in the number of product returns or the amount of refunds we make. Additionally, from time to time our products are damaged in transit, which can increase return rates and harm our brand.</w:t>
      </w:r>
    </w:p>
    <w:p>
      <w:pPr>
        <w:spacing w:after="0" w:line="21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may be adversely affected if we are unable to provide our consumers with a technology platform that is able to respond and adapt to rapid changes in technology.</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The number of people who access the Internet through devices other than personal computers, including mobile phones, handheld computers such as notebooks and tablets and television set-top devices, has increased dramatically in recent years. The versions of our website and mobile applications developed for these devices may not be compelling to consumers. Our website and platform are also currently not compatible with voice-enabled products. Adapting our services and/or infrastructure to these devices as well as other new Internet, networking or telecommunications technologies could be time-consuming and could require us to incur substantial expenditures, which could have an adverse effect on our business, financial condition, results of operations and prospects.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0" w:name="page31"/>
    <w:bookmarkEnd w:id="30"/>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Additionally, as new mobile devices and platforms are released, it is difficult to predict the problems we may encounter in developing applications for alternative devices and platforms and we may need to devote significant resources to the creation, support and maintenance of such applications. If we or our retail or ecommerce partners are unable to attract consumers to our or their websites or mobile applications through these devices or are slow to develop a version of such websites or mobile applications that are more compatible with alternative devices, we may fail to capture a significant share of consumers in the Diapers and Wipes, Skin and Personal Care or Household and Wellness product categories and could also lose consumers, which could have an adverse effect on our business, financial condition, results of operations and prospects.</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231F20"/>
        </w:rPr>
        <w:t>Further, we continually upgrade existing technologies and business applications and we may be required to implement new technologies or business applications in the future. The implementation of upgrades and changes requires significant investments and may cause disruption to our business. Our results of operations may be affected by the timing, effectiveness and costs associated with the successful implementation of any upgrades or changes to our systems and infrastructure. For example, we have not yet integrated honestbabyclothing.com into our systems and our integration efforts for honestbabyclothing.com may not be successful and may negatively impact our consumer growth. In the event that it is more difficult for our consumers to buy products from us on their mobile devices, or if our consumers choose not to buy products from us on their mobile devices or to use mobile products or platforms that do not offer access to our website, we could lose consumers and fail to attract new consumers. As a result, our consumer growth could be harmed and our business, financial condition, results of operations and prospects could be adversely affected.</w:t>
      </w:r>
    </w:p>
    <w:p>
      <w:pPr>
        <w:spacing w:after="0" w:line="21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Severe weather, including hurricanes, earthquakes and natural disasters could disrupt normal business operations, which could result in increased costs and have an adverse effect on our business, financial condition, results of operations and prospects.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Our services and operations, including several of our fulfillment centers, customer service centers, data centers and corporate offices are located in California, Nevada, Pennsylvania and the Netherlands, and other areas as well as temporary storage and cross dock facilities that are vulnerable to damage or interruption from natural disasters, power losses, telecommunication failures, terrorist attacks, human errors, break-ins and similar events. The occurrence of a natural disaster or other unanticipated problems at our facilities could result in lengthy interruptions in our services as well as higher insurance premiums. We may not be able to efficiently relocate our fulfillment and delivery operations due to disruptions in service if one of these events occurs and our insurance coverage may be insufficient to compensate us for such losses. Because the Los Angeles area, where our corporate offices are located, is in an earthquake fault zone and because the Los Angeles area is subject to the increased risk of wildfires, we are particularly sensitive to the risk of damage to, or total destruction of, our primary offices and one of our key fulfillment and delivery centers. Although we are insured up to certain limits against any certain losses or expenses that may result from a disruption to our business due to earthquakes or wildfires, either of these events, if incurred, could adversely affect our business, financial condition, results of operations and prospects.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disruption in our operations could have an adverse effect on our business.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31F20"/>
        </w:rPr>
        <w:t>As a company engaged in sales domestically and internationally, our operations, including those of our third-party manufacturers, suppliers and delivery service providers, are subject to the risks inherent in such activities, including industrial accidents, environmental events, strikes and other labor disputes, disruptions in information systems, product quality control, safety, licensing requirements and other regulatory issues, as well as natural disasters, pandemics or other public health emergencies, border disputes, acts of terrorism and other external factors over which we and our third-party manufacturers, suppliers and delivery service providers have no control. The loss of, or damage to, the manufacturing facilities or fulfillment centers of our third-party manufacturers, suppliers and delivery service providers could have an adverse effect on our business, financial condition, results of operations and prospects.</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depend heavily on ocean container delivery to receive shipments of certain of our products such as wipes from our third-party manufacturers located in China and contracted third-party delivery service providers to deliver our products to our fulfillment centers located in Las Vegas, Nevada; Breinigsville, Pennsylvania and the Netherlands and other short-term inventory storage locations, and from there to our consumers and retail customers. Further, we rely on parcel carriers for the delivery of products sold directly to consumers through Honest.com and one major carrier for our domestic freight. Interruptions to or failures in these delivery services could prevent the timely or successful delivery of our products. For example, containers of wipes from seven ocean shipments were found to have mold on the shipping boxes and master cartons in the fourth quarter of 2022. While we have tendered this loss to our insurer and freight forwarders, the loss of contaminated product, inspection costs, container and truck storage costs, and remediation costs may negatively impact our operations in 2023. These interruptions or failures may also be due to unforeseen events that are beyond our control or the control of our third-party delivery service providers, such as truck shortages, labor unrest or natural disasters. There is no assurance that these interruptions or failures will not happen again. For example, a labor strike at a port could negatively impact the delivery of our imported wipes, and the escalating trade dispute</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31" w:name="page32"/>
    <w:bookmarkEnd w:id="31"/>
    <w:p>
      <w:pPr>
        <w:ind w:right="80"/>
        <w:spacing w:after="0" w:line="258" w:lineRule="auto"/>
        <w:rPr>
          <w:sz w:val="20"/>
          <w:szCs w:val="20"/>
          <w:color w:val="auto"/>
        </w:rPr>
      </w:pPr>
      <w:r>
        <w:rPr>
          <w:rFonts w:ascii="Times New Roman" w:cs="Times New Roman" w:eastAsia="Times New Roman" w:hAnsi="Times New Roman"/>
          <w:sz w:val="18"/>
          <w:szCs w:val="18"/>
          <w:color w:val="231F20"/>
        </w:rPr>
        <w:t>between the United States and China and the increased demand for shipping containers have and may in the future restrict the flow of the goods, including our components and wipes, from China to the United States. For example, due to COVID-19 lockdown restrictions in China in the second quarter of 2022, many of the ports shut down which has negatively impacted and may in the future negatively impact our ability to timely receive shipments of our products. Any failure to provide high-quality delivery services to our consumers may negatively affect the shopping experience of our consumers, damage our reputation and cause us to lose consumers.</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Our ability to meet the needs of our consumers and retail customers depends on our and our distribution partners’ proper operation of our fulfillment centers in Las Vegas, Nevada, Breinigsville, Pennsylvania and the Netherlands and other short-term inventory storage locations, where most of our inventory that is not in transit is housed. Although we currently insure our inventory, our insurance coverage may not be sufficient to cover the full extent of any loss or damage to our inventory or fulfillment centers, and any loss, damage or disruption of this facility, or loss or damage of the inventory stored there, could have an adverse effect on our business, financial condition, results of operations and prospects.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incur significant losses from fraud.</w:t>
      </w:r>
    </w:p>
    <w:p>
      <w:pPr>
        <w:spacing w:after="0" w:line="25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231F20"/>
        </w:rPr>
        <w:t>We may in the future incur losses from various types of fraud, including stolen credit card numbers, claims that a consumer did not authorize a purchase, merchant fraud and consumers who have closed bank accounts or have insufficient funds in open bank accounts to satisfy payments. Although we have measures in place to detect and reduce the occurrence of fraudulent activity in our marketplace, those measures may not always be effective. In addition to the direct costs of such losses, if the fraud is related to credit card transactions and becomes excessive, it could potentially result in us paying higher fees or losing the right to accept credit cards for payment. In addition, under current credit card practices, we are liable for fraudulent credit card transactions because we do not obtain a cardholder’s signature for online purchases on Honest.com. Our failure to adequately prevent fraudulent transactions could damage our reputation, result in litigation or regulatory action and additional expenses and our business, financial condition, results of operations and prospects could be adversely affected.</w:t>
      </w:r>
    </w:p>
    <w:p>
      <w:pPr>
        <w:spacing w:after="0" w:line="21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raise capital in the future may be limited and our failure to raise capital may limit our ability to invest in strategic priorities and grow our business.</w:t>
      </w:r>
    </w:p>
    <w:p>
      <w:pPr>
        <w:spacing w:after="0" w:line="17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7"/>
          <w:szCs w:val="17"/>
          <w:color w:val="231F20"/>
        </w:rPr>
        <w:t xml:space="preserve">In the future, we could be required to raise capital through public or private financing or other arrangements. Such financing may not be available on acceptable terms, or at all, and our failure to raise capital when needed could harm our business. We may sell common stock, convertible securities and other equity securities in one or more transactions at prices and in a manner as we may determine from time to time. If we sell any such securities in subsequent transactions, investors in our common stock may be materially diluted. New investors in such subsequent transactions could gain rights, preferences and privileges senior to those of holders of our common stock. Debt financing, if available, may involve restrictive covenants and could reduce our operational flexibility or ability to achieve or maintain profitability. </w:t>
      </w:r>
      <w:r>
        <w:rPr>
          <w:rFonts w:ascii="Times New Roman" w:cs="Times New Roman" w:eastAsia="Times New Roman" w:hAnsi="Times New Roman"/>
          <w:sz w:val="17"/>
          <w:szCs w:val="17"/>
          <w:color w:val="000000"/>
        </w:rPr>
        <w:t>Additionally, our ability to raise additional funds may be adversely impacted by</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potential worsening global economic conditions and the recent disruptions to, and volatility in, the credit and financial markets in the United States and worldwide, resulting from increased volatility in the trading markets, the </w:t>
      </w:r>
      <w:r>
        <w:rPr>
          <w:rFonts w:ascii="Times New Roman" w:cs="Times New Roman" w:eastAsia="Times New Roman" w:hAnsi="Times New Roman"/>
          <w:sz w:val="17"/>
          <w:szCs w:val="17"/>
          <w:color w:val="231F20"/>
        </w:rPr>
        <w:t>continuing effects of the</w:t>
      </w:r>
      <w:r>
        <w:rPr>
          <w:rFonts w:ascii="Times New Roman" w:cs="Times New Roman" w:eastAsia="Times New Roman" w:hAnsi="Times New Roman"/>
          <w:sz w:val="17"/>
          <w:szCs w:val="17"/>
          <w:color w:val="000000"/>
        </w:rPr>
        <w:t xml:space="preserve"> COVID-19 pandemic, or otherwise. </w:t>
      </w:r>
      <w:r>
        <w:rPr>
          <w:rFonts w:ascii="Times New Roman" w:cs="Times New Roman" w:eastAsia="Times New Roman" w:hAnsi="Times New Roman"/>
          <w:sz w:val="17"/>
          <w:szCs w:val="17"/>
          <w:color w:val="231F20"/>
        </w:rPr>
        <w:t>If we cannot raise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funds on acceptable terms, we may be forced to raise funds on undesirable terms, or our business may contract or we may be unable to grow our business or respond to competitive pressures, any of which could have an adverse effect on our business, financial condition, results of operations and prospects.</w:t>
      </w:r>
    </w:p>
    <w:p>
      <w:pPr>
        <w:spacing w:after="0" w:line="21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agreements governing our indebtedness require us to meet certain operating and financial covenants and place restrictions on our operating and financial flexibility. If we raise capital through additional debt financing, the terms of any new debt could further restrict our ability to operate our business.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231F20"/>
        </w:rPr>
        <w:t>In January 2023, we entered into a first lien credit agreement, or 2023 Credit Facility, with JPMorgan Chase Bank, N.A., as administrative agent and lender, and the other lenders party thereto, which provides for a $35.0 million revolving credit facility maturing on April 30, 2026. Debt under the 2023 Credit Facility is guaranteed by our material domestic subsidiaries and is secured by our and such subsidiaries’ assets and property</w:t>
      </w:r>
      <w:r>
        <w:rPr>
          <w:rFonts w:ascii="Times New Roman" w:cs="Times New Roman" w:eastAsia="Times New Roman" w:hAnsi="Times New Roman"/>
          <w:sz w:val="18"/>
          <w:szCs w:val="18"/>
          <w:color w:val="000000"/>
        </w:rPr>
        <w:t>.</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231F20"/>
        </w:rPr>
        <w:t>The 2023 Credit Facility also contains affirmative and negative covenants, indemnification provisions and events of default. The affirmative covenants include, among others, administrative, reporting and legal covenants, in each case subject to certain exceptions. The negative covenants include, among others, limitations on our and certain of our subsidiaries’ abilities to, in each case subject to certain exceptions:</w:t>
      </w:r>
    </w:p>
    <w:p>
      <w:pPr>
        <w:spacing w:after="0" w:line="21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restricted payments including dividends and distributions on, redemptions of, repurchases or retirement of our capital stock;</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certain intercompany distributions;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additional indebtedness and issue certain types of equity;</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2" w:name="page33"/>
    <w:bookmarkEnd w:id="32"/>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sell assets, including capital stock of subsidiaries;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certain transactions with affiliates;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incur liens;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enter into fundamental changes including mergers and consolidations;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investments, acquisitions, loans or advances;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create negative pledges or restrictions on the payment of dividends or payment of other amounts owed from subsidiaries;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make prepayments or modify documents governing material debt that is subordinated with respect to right of payment;</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engage in certain sale leaseback transactions;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fiscal year; and</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 our lines of business.</w:t>
      </w:r>
    </w:p>
    <w:p>
      <w:pPr>
        <w:spacing w:after="0" w:line="23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The 2023 Credit Facility also contains a financial covenant that requires us to maintain a minimum total fixed charge coverage ratio during the periods set forth in the 2023 Credit Facility. As a result of the restrictions described above, we will be limited as to how we conduct our business and we may be unable to raise additional debt or equity financing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or amend the covenants.</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Our ability to comply with the covenants and restrictions contained in the 2023 Credit Facility may be affected by economic, financial and industry conditions beyond our control. The restrictions in the 2023 Credit Facility may prevent us from taking actions that we believe would be in the best interests of our business and may have made it difficult for us to execute our business strategy successfully or effectively compete with companies that are not similarly restricted. Even if the 2023 Credit Facility is terminated, any additional debt that we incur in the future could subject us to similar or additional covenants.</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The 2023 Credit Facility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 Employee Retirement Income Security Act of 1974; certain undischarged judgments; material invalidity of guarantees or grant of security interest; and change of control, in certain cases subject to certain thresholds and grace periods.</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Our failure to comply with the restrictive covenants described above as well as other terms of our indebtedness could result in an event of default, which, if not cured or waived, could result in the lenders declaring all obligations, together with accrued and unpaid interest, immediately due and payable and take control of the collateral, potentially requiring us to renegotiate the 2023 Credit Facility on terms less favorable to us. If we are forced to refinance these borrowings on less favorable terms or are unable to refinance these borrowings, our business, results of operations, financial condition and future prospects could be adversely affected. In addition, such a default or acceleration may result in the acceleration of any future indebtedness to which a cross-acceleration or cross-default provision applies. If we are unable to repay our indebtedness, lenders having secured obligations, such as the lenders under the 2023 Credit Facility, could proceed against the collateral securing the indebtedness. In any such case, we may be unable to borrow under our credit facilities and may not be able to repay the amounts due under our credit facilities. This could have an adverse effect on our business, financial condition, results of operations and prospects and could cause us to become bankrupt or insolvent.</w:t>
      </w:r>
    </w:p>
    <w:p>
      <w:pPr>
        <w:spacing w:after="0" w:line="21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could be required to collect additional sales taxes or be subject to other tax liabilities that may increase the costs our consumers would have to pay for our products and adversely affect our operating results.</w:t>
      </w:r>
    </w:p>
    <w:p>
      <w:pPr>
        <w:spacing w:after="0" w:line="18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231F20"/>
        </w:rPr>
        <w:t>On June 21, 2018, the U.S. Supreme Court held in South Dakota v. Wayfair, Inc. that states could impose sales tax collection obligations on out-of-state retailers even if those retailers lack any physical presence within the states imposing sales taxes. Under Wayfair, a person requires only a “substantial nexus” with the taxing state before the state may subject the person to sales tax collection obligations therein. An increasing number of states, both before and after the Supreme Court’s ruling, have considered or adopted laws that attempt to impose sales tax collection obligations on out-of-state retailers. The Supreme Court’s Wayfair decision has removed a significant impediment to the enactment of these laws, and it is possible that states may seek to tax out-of-state retailers, including for prior tax years. Although we believe that we currently collect sales taxes in all states that have adopted laws imposing sales tax collection obligations on out-of-state retailers since Wayfair was decided, a successful assertion by one or more jurisdictions requiring us to collect sales taxes where we presently do not do so, or to collect more taxes in a jurisdiction in which we currently do collect some sales taxes, could result in substantial tax liabilities, including taxes on past sales, as well as penalties and interest. The imposition by state governments of sales tax collection obligations on out-of-state retailers in jurisdictions where we do not currently collect sales taxes, whether for prior years or prospectively, could also create additional administrative burdens for us, put us at a competitive disadvantage if they do not impose similar obligations on our</w:t>
      </w:r>
    </w:p>
    <w:p>
      <w:pPr>
        <w:sectPr>
          <w:pgSz w:w="11900" w:h="16838" w:orient="portrait"/>
          <w:cols w:equalWidth="0" w:num="1">
            <w:col w:w="11220"/>
          </w:cols>
          <w:pgMar w:left="320" w:top="11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231F20"/>
        </w:rPr>
        <w:t>competitors and decrease our future sales, which could have an adverse effect on our business, financial condition, results of operations and prospects.</w:t>
      </w:r>
    </w:p>
    <w:p>
      <w:pPr>
        <w:spacing w:after="0" w:line="24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seek to grow our business through acquisitions of, or investments in, new or complementary businesses, facilities, technologies or products, or through strategic alliances, and the failure to manage these acquisitions, investments or alliances, or to integrate them with our existing business, could have an adverse effect on us.</w:t>
      </w:r>
    </w:p>
    <w:p>
      <w:pPr>
        <w:spacing w:after="0" w:line="20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231F20"/>
        </w:rPr>
        <w:t>From time to time we may consider opportunities to acquire or make investments in new or complementary businesses, facilities, technologies, offerings, or products, or enter into strategic alliances, that may enhance our capabilities, expand our outsourcing and supplier network, complement our current products or expand the breadth of our markets. For example, in 2019 we entered into a license agreement with Butterblu pursuant to which we licensed certain of our trademarks to Butterblu for the manufacture and distribution of certain baby apparel products in exchange for royalties. In August 2022, we terminated the license agreement in advance of its expiration date and entered into a supplier services agreement with Butterblu, pursuant to which Butterblu provides certain design, manufacturing, sales and marketing services to us.</w:t>
      </w:r>
    </w:p>
    <w:p>
      <w:pPr>
        <w:spacing w:after="0" w:line="214"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231F20"/>
        </w:rPr>
        <w:t>Acquisitions, investments and other strategic alliances, including our supplier services agreement with Butterblu, involve numerous risks, including:</w:t>
      </w:r>
    </w:p>
    <w:p>
      <w:pPr>
        <w:spacing w:after="0" w:line="202" w:lineRule="exact"/>
        <w:rPr>
          <w:sz w:val="20"/>
          <w:szCs w:val="20"/>
          <w:color w:val="auto"/>
        </w:rPr>
      </w:pPr>
    </w:p>
    <w:p>
      <w:pPr>
        <w:ind w:left="660" w:right="440" w:hanging="328"/>
        <w:spacing w:after="0" w:line="254"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problems integrating the acquired business, facilities, technologies or products, including issues maintaining uniform standards, procedures, controls and policies;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quality control and brand reputation;</w:t>
      </w:r>
    </w:p>
    <w:p>
      <w:pPr>
        <w:spacing w:after="0" w:line="5"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unanticipated costs associated with acquisitions, investments or strategic alliances;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diversion of management’s attention from our existing business;</w:t>
      </w:r>
    </w:p>
    <w:p>
      <w:pPr>
        <w:spacing w:after="0" w:line="10" w:lineRule="exact"/>
        <w:rPr>
          <w:rFonts w:ascii="Times New Roman" w:cs="Times New Roman" w:eastAsia="Times New Roman" w:hAnsi="Times New Roman"/>
          <w:sz w:val="20"/>
          <w:szCs w:val="20"/>
          <w:color w:val="auto"/>
        </w:rPr>
      </w:pPr>
    </w:p>
    <w:p>
      <w:pPr>
        <w:ind w:left="660" w:right="440" w:hanging="328"/>
        <w:spacing w:after="0" w:line="248"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adverse effects on existing business relationships with suppliers, outsourced private brand manufacturing partners and retail and ecommerce partners;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any dispute that may arise with respect to such strategic alliance;</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risks associated with entering new markets in which we may have limited or no experience;</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potential loss of key employees of acquired businesses; and</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increased legal and accounting compliance costs.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231F20"/>
        </w:rPr>
        <w:t>Our ability to successfully grow through strategic transactions depends upon our ability to identify, negotiate, complete and integrate suitable target businesses, facilities, technologies and products and to obtain any necessary financing. These efforts could be expensive and time-consuming and may disrupt our ongoing business and prevent management from focusing on our operations. If we are unable to identify suitable acquisitions or strategic relationships, or if we are unable to integrate any acquired businesses, facilities, technologies and products effectively, our business, financial condition, results of operations and prospects could be adversely affected. Also, while we employ several different methodologies to assess potential business opportunities, the new businesses may not meet or exceed our expectations.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and certain other tax attributes may be limited.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incurred substantial losses since inception. As of December 31, 2022, we had federal and state net operating loss carryforwards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$301.0 million and $272.0 million, respectively. The federal loss carryforwards, except the federal loss carryforwards arising in tax years beginning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begin to expire in 2032 unless previously utilized. Federal net operating losses, or NOLs, arising in tax years beginning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have an indefinite carryforward period and do not expire, but the deduction for these carryforwards is limited to 80% of current-year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taxable income for taxable years beginning after 2020. In general, under Sections 382 and 383 of the U.S. Internal Revenue Code of 1986, as amended,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that undergoes an “ownership change” (generally defined as a greater than 50 percentage point change (by value) in its equity ownership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stockholders over a rolling three-year period) is subject to limitations on its ability to utilize its pre-change NOLs to offset future taxable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have experienced ownership changes in the past, may experience ownership changes in the future, and are currently evaluating with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tax advisors whether and to what extent our NOLs may be currently limited. In addition, for state income tax purposes, there may be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which the use of NOLs or tax credits is suspended or otherwise limited, which could accelerate or permanently increase state taxes owed.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Dependence on Third Parties</w:t>
      </w:r>
    </w:p>
    <w:p>
      <w:pPr>
        <w:spacing w:after="0" w:line="25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sectPr>
          <w:pgSz w:w="11900" w:h="16838" w:orient="portrait"/>
          <w:cols w:equalWidth="0" w:num="1">
            <w:col w:w="11160"/>
          </w:cols>
          <w:pgMar w:left="320" w:top="117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4" w:right="419" w:bottom="1440" w:gutter="0" w:footer="0" w:header="0"/>
          <w:type w:val="continuous"/>
        </w:sectPr>
      </w:pPr>
    </w:p>
    <w:bookmarkStart w:id="34" w:name="page35"/>
    <w:bookmarkEnd w:id="34"/>
    <w:p>
      <w:pPr>
        <w:ind w:firstLine="648"/>
        <w:spacing w:after="0" w:line="252" w:lineRule="auto"/>
        <w:rPr>
          <w:sz w:val="20"/>
          <w:szCs w:val="20"/>
          <w:color w:val="auto"/>
        </w:rPr>
      </w:pPr>
      <w:r>
        <w:rPr>
          <w:rFonts w:ascii="Times New Roman" w:cs="Times New Roman" w:eastAsia="Times New Roman" w:hAnsi="Times New Roman"/>
          <w:sz w:val="18"/>
          <w:szCs w:val="18"/>
          <w:color w:val="auto"/>
        </w:rPr>
        <w:t>All of the products we offer are manufactured by a limited number of third-party manufacturers, and as a result we have been and may continue to be subject to price fluctuations or demand disruptions.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has negatively impacted our cost of revenue during the year ended December 31, 2022 and will continue to have a negative impact on our results of operations. Due to continued elevated input costs such as fluff pulp, we experienced further escalation of purchase costs and cost of revenue in the fourth quarter of 2022 and anticipate the same in 2023. Moreover, the demand for sustainable packaging and ingredients is outpacing the supply and increasing the cost of these raw materials. For example, there is a supplier shortage or significant demand for and cost impacts to various raw materials used in manufacturing and distributing our products, including post-consumer recycled plastic resin, post-consumer recycled cardboard shipping cartons for our Honest.com shipments, surfactants, fluff pulp and other diaper raw materials. We implemented price increases that took effect in the first half of 2022 and in December 2022 and plan to take additional price increases in 2023 and in the future as needed to offset input cost inflation. The implementation of these and future price increases are dependent on acceptance from our customers and accurate input of these pricing changes into our systems and our customers' systems. We have also continued to experience record-high freight and shipping costs. As we expand into new categories and product types, we expect that we may not have strong purchasing power in these new areas, which could lead to higher costs than we have historically seen in our current product categories. Failure to incorporate these and future price increases into our and our customers' systems may negatively impact our revenue and business results. We may also be limited in our ability to pass increased costs on to consumers, and may experience reduced demand from consumers as a result of our price increases, which could adversely affect our operating results. Moreover, in the event of a significant disruption in the supply of the materials used in the manufacture of the products we offer, we and the vendors that we work with might not be able to locate alternative suppliers of materials of comparable quality at an acceptable price.</w:t>
      </w:r>
    </w:p>
    <w:p>
      <w:pPr>
        <w:spacing w:after="0" w:line="21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Products and merchandise we receive from manufacturers and suppliers may not be of sufficient quality or free from damage, or such products may be damaged during shipping, while stored in our warehouse fulfillment centers or with third-party ecommerce or retail customers or when returned by consumers. We may incur additional expenses and our brand or reputation could be harmed if customers or consumers and potential consumers believe that our products do not meet their expectations, are not properly labeled or are damaged. For example, as disinfecting and sanitization products have faced supply chain challenges, decelerating market demand and aging and slower turning inventory, the Company has received some product quality complaints from customers and consumers that have resulted or may result in additional refunds, returns, write-offs and remediation costs.</w:t>
      </w:r>
    </w:p>
    <w:p>
      <w:pPr>
        <w:spacing w:after="0" w:line="21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purchase significant amounts of product supply from a limited number of suppliers with limited supply capabilities. There can be no assurance that our current suppliers will be able to accommodate our anticipated growth or continue to supply current quantities at preferential prices. An inability of our existing suppliers to provide materials in a timely or cost-effective manner could impair our growth and have an adverse effect on our business, financial condition, results of operations and prospects. For example, Valor Brands LLC (dba Ontex North America), or Ontex, which manufactures and supplies certain diaper products for us, have opened a new manufacturing facility in North Carolina and its new facility may not be able to manufacture our diapers in a timely, cost-effective manner or meet our quality standards. In addition, we do not maintain long-term supply contracts with many of our suppliers and these suppliers could discontinue selling to us at any time. However, we have a long-term supply agreement with Ontex for the manufacture and supply of certain diaper products. The current term of the supply agreement with Ontex ends on December 31, 2023. In addition, our agreement with Ontex provides that Ontex will be our exclusive supplier of diaper and training pant products so long as Ontex is able to provide us such products. Either party may terminate the agreement if the other party materially breaches the agreement and does not cure the breach within a specified notice period, or upon the other party’s insolvency. If the agreement with Ontex is terminated, is not renewed, or if Ontex becomes insolvent, ceases or significantly reduces its operations or experiences financial distress, as a result of the COVID-19 pandemic or otherwise, or if any environmental, economic or other outside factors impact their operations, our ability to procure diaper manufacturing services may be impaired, and we may not be able to obtain, or may face increased costs related to, such services. The loss of Ontex, or of any of our other significant suppliers, or the discontinuance of any preferential pricing or exclusive incentives they currently offer to us could have an adverse effect on our business, financial condition, results of operations and prospects. In December 2022, we amended our agreement with Ontex to increase pricing on certain items, among other terms, which will apply for the balance of our agreement with Ontex and which will increase our cost of revenue in 2023. If we are not successful in negotiating future renewals, our business, financial condition, results of operations and prospects could be adversely affected.</w:t>
      </w:r>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continually seek to expand our base of suppliers, especially as we identify new products that necessitate new or additional materials. We also require our new and existing suppliers to meet our ethical and business partner standards. Suppliers may also have to meet governmental and industry standards and any relevant standards required by our consumers, which may</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5" w:name="page36"/>
    <w:bookmarkEnd w:id="35"/>
    <w:p>
      <w:pPr>
        <w:ind w:right="80"/>
        <w:spacing w:after="0" w:line="258" w:lineRule="auto"/>
        <w:rPr>
          <w:sz w:val="20"/>
          <w:szCs w:val="20"/>
          <w:color w:val="auto"/>
        </w:rPr>
      </w:pPr>
      <w:r>
        <w:rPr>
          <w:rFonts w:ascii="Times New Roman" w:cs="Times New Roman" w:eastAsia="Times New Roman" w:hAnsi="Times New Roman"/>
          <w:sz w:val="18"/>
          <w:szCs w:val="18"/>
          <w:color w:val="auto"/>
        </w:rPr>
        <w:t>require additional investment and time on behalf of suppliers and us. If any of our key suppliers becomes insolvent, ceases or significantly reduces its operations or experiences financial distress, as a result of the COVID-19 pandemic or otherwise, if any environmental, economic or other outside factors impact their operations or if we are unable to identify or enter into distribution relationships with new suppliers or to replace the loss of any of our existing suppliers, we may experience a competitive disadvantage, our business may be disrupted and our business, financial condition, results of operations and prospects could be adversely affected.</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suppliers and customers currently provide us with certain incentives such as volume rebates, trade discounts, cooperative advertising and market development funds. A reduction or discontinuance of these incentives would increase our costs and could reduce our ability to achieve or maintain profitability. Similarly, if one or more of our suppliers or customers were to offer these incentives, including preferential pricing, to our competitors, our competitive advantage would be reduced, which could have an adverse effect on our business, financial condition, results of operations and prospects.</w:t>
      </w:r>
    </w:p>
    <w:p>
      <w:pPr>
        <w:spacing w:after="0" w:line="21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In addition, we have warehouse fulfillment centers located in Las Vegas, Nevada, Breinigsville, Pennsylvania and the Netherlands and a short-term inventory storage location in Fontana, California, all of which are managed by a single distribution partner, GEODIS Logistics LLC, or GEODIS. We have an agreement with GEODIS pursuant to which GEODIS provides warehousing, distribution and fulfillment services to us. Our agreement with GEODIS may be terminated for any reason by us or by GEODIS on delivery of prior written notice, and is renewable on an annual basis. If the agreement with GEODIS is terminated, is not renewed or if one fulfillment center is consolidated into another warehouse fulfillment center or if GEODIS becomes insolvent, ceases or significantly reduces its operations or experiences financial distress, as a result of the COVID-19 pandemic or otherwise, or if any environmental, economic or other outside factors impact their operations, our ability to procure warehousing, distribution and fulfillment services may be impaired, and we may not be able to obtain, or may face increased costs related to, such services and our business, financial condition, results of operations and prospects could be adversely affected. For example, we are negotiating the renewal of our agreement with GEODIS for services at our Las Vegas, Breinigsville and Netherlands fulfillment centers. If we are not successful negotiating that renewal, our business, financial condition, results of operations and prospects could be adversely affected as we may have to work with a new provider of warehousing, distribution and fulfillment services which could be disruptive to our operations and further increase our costs. As part of these negotiations GEODIS passed on increased service and inflation related costs to us, including warehouse labor cost, which negatively impacted our cost of revenue for the year ended December 31, 2022 and may continue to negatively impact our cost of revenue going forward.</w:t>
      </w:r>
    </w:p>
    <w:p>
      <w:pPr>
        <w:spacing w:after="0" w:line="22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third-party suppliers and manufacturers do not comply with ethical business practices or with applicable laws and regulations, our reputation, business, financial condition, results of operations and prospects could be harmed.</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Our reputation and our consumers’ willingness to purchase our products depend in part on our suppliers’, manufacturers’, and retail customers’ compliance with ethical employment practices, such as with respect to child labor, wages and benefits, forced labor, discrimination, safe and healthy working conditions, and with all legal and regulatory requirements relating to the conduct of their businesses. While we require that our suppliers agree to our Supplier Code of Conduct, we do not exercise control over our suppliers, manufacturers, and retail customers and cannot guarantee their compliance with ethical and lawful business practices. If our suppliers, manufacturers, or retail customers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21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our distribution partners do not successfully optimize, operate and manage the expansion of the capacity of our warehouse fulfillment centers, our business, financial condition, results of operations and prospects could be adversely affected.</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have warehouse fulfillment centers located in Las Vegas, Nevada, Breinigsville, Pennsylvania, and the Netherlands and a short-term inventory storage location in Fontana, California, all of which are managed by a single distribution partner, GEODIS. If we or any distribution partners do not optimize and operate our warehouse fulfillment centers successfully and efficiently, it could result in excess or insufficient fulfillment capacity, an increase in costs or impairment charges or harm our business in other ways. In addition, if we or any distribution partners do not have sufficient fulfillment capacity or experience a problem fulfilling orders in a timely manner, our consumers may experience delays in receiving their purchases, which could harm our reputation and our relationship with our consumers. As a result of the COVID-19 pandemic, including an increase in orders, we and our distribution partner may experience disruptions to the operations of our fulfillment centers, which may negatively impact our and our distribution partner’s ability to fulfill orders in a timely manner, which could harm our reputation, relationships with consumers and business, financial condition, results of operations and prospects. We have designed and established our own fulfillment center infrastructure, including customizing inventory and package handling software systems, which is tailored to meet the specific needs of our business. If we continue to add fulfillment and warehouse capabilities, add new businesses or categories with different fulfillment requirements or change the mix in products that we sell, our fulfillment network</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36" w:name="page37"/>
    <w:bookmarkEnd w:id="36"/>
    <w:p>
      <w:pPr>
        <w:ind w:right="80"/>
        <w:spacing w:after="0" w:line="266" w:lineRule="auto"/>
        <w:rPr>
          <w:sz w:val="20"/>
          <w:szCs w:val="20"/>
          <w:color w:val="auto"/>
        </w:rPr>
      </w:pPr>
      <w:r>
        <w:rPr>
          <w:rFonts w:ascii="Times New Roman" w:cs="Times New Roman" w:eastAsia="Times New Roman" w:hAnsi="Times New Roman"/>
          <w:sz w:val="18"/>
          <w:szCs w:val="18"/>
          <w:color w:val="231F20"/>
        </w:rPr>
        <w:t>will become increasingly complex and operating it will become more challenging. Failure to successfully address such challenges in a cost-effective and timely manner could impair our ability to timely deliver purchases to our DTC consumers and merchandise inventory to our retail and ecommerce partners and could have an adverse effect on our reputation and ultimately, our business, financial condition, results of operations and prospects.</w:t>
      </w:r>
    </w:p>
    <w:p>
      <w:pPr>
        <w:spacing w:after="0" w:line="203"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231F20"/>
        </w:rPr>
        <w:t>Although we currently rely on our distribution partner, we have added a short-term warehouse fulfillment center and may do so in the future and/or other distribution capacity as our business continues to grow. We cannot assure you that we will be able to locate suitable facilities on commercially acceptable terms in accordance with our expansion plans, nor can we assure you that we will be able to recruit qualified managerial and operational personnel to support our expansion plans. If we are unable to secure new facilities for the expansion of our fulfillment operations, recruit qualified personnel to support any such facilities, or effectively control expansion-related expenses, our business, financial condition, results of operations and prospects could be adversely affected. If we grow faster than we anticipate, we may exceed our fulfillment center capacity sooner than we anticipate, we may experience problems fulfilling orders in a timely manner or our consumers may experience delays in receiving their purchases, which could harm our reputation and our relationships with our consumers, and we would need to increase our capital expenditures more than anticipated and in a shorter time frame than we currently anticipate. Our ability to expand our fulfillment center capacity, including our ability to secure suitable facilities and recruit qualified employees, may be substantially affected by the spread of COVID-19 and related governmental orders, as well as macroeconomic conditions, and there may be delays or increased costs associated with such expansion. Many of the expenses and investments with respect to our fulfillment centers are fixed, and any expansion of such fulfillment centers will require additional investment of capital. We expect to incur higher capital expenditures in the future for our fulfillment center operations as our business continues to grow. We would incur such expenses and make such investments in advance of expected sales, and such expected sales may not occur. Any of these factors could have an adverse effect on our business, financial condition, results of operations and prospects.</w:t>
      </w:r>
    </w:p>
    <w:p>
      <w:pPr>
        <w:spacing w:after="0" w:line="21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Shipping is a critical part of our business and any changes in our shipping arrangements or any interruptions in shipping could adversely affect our operating results.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 xml:space="preserve">We primarily rely on one major vendor for our DTC shipping requirements and one major vendor for our inbound domestic freight. If we are not able to negotiate acceptable pricing and other terms with this vendor or it experiences performance problems or other difficulties, it could negatively impact our operating results and our consumer experience. Shipping vendors have and may continue to impose shipping surcharges from time to time. In addition, our ability to receive inbound inventory efficiently and ship products to consumers and retailers may be negatively affected by inclement weather, fire, flood, power loss, earthquakes, labor disputes, acts of war or terrorism, trade embargoes, customs and tax requirements and similar factors. For example, strikes at major international shipping ports have in the past impacted our supply of inventory from our third-party manufacturers, delays at ports caused by COVID-19 and the escalating trade dispute between the United States and China has and may in the future lead to increased tariffs, the revocation of current tariff exclusions for certain of our products, which may restrict the flow of the goods from China to the United States. </w:t>
      </w:r>
      <w:r>
        <w:rPr>
          <w:rFonts w:ascii="Times New Roman" w:cs="Times New Roman" w:eastAsia="Times New Roman" w:hAnsi="Times New Roman"/>
          <w:sz w:val="18"/>
          <w:szCs w:val="18"/>
          <w:color w:val="000000"/>
        </w:rPr>
        <w:t>Additionally, f</w:t>
      </w:r>
      <w:r>
        <w:rPr>
          <w:rFonts w:ascii="Times New Roman" w:cs="Times New Roman" w:eastAsia="Times New Roman" w:hAnsi="Times New Roman"/>
          <w:sz w:val="18"/>
          <w:szCs w:val="18"/>
          <w:color w:val="231F20"/>
        </w:rPr>
        <w:t>or example, due to COVID-19 lockdown restrictions in China in the second quarter of 2022, many of the ports shut down which has negatively impacted and may in the future negatively impact our ability to timely receive shipments of our products. We are also subject to risks of damage or loss during delivery by our shipping vendors. If our products are not delivered in a timely fashion or are damaged or lost during the delivery process, our consumers could become dissatisfied and cease shopping on our site or retailer or third-party ecommerce sites, which could have an adverse effect on our business, financial condition, operating results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risks related to online payment methods, including third-party payment processing-related risks.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We currently accept payments using a variety of methods, including credit card, debit card, PayPal and gift cards. As we offer new payment options to consumers, we may be subject to additional regulations, compliance requirements, fraud and other risks. We also rely on third parties to provide payment processing services, and for certain payment methods, we pay interchange and other fees, which may increase over time and raise our operating costs and affect our ability to achieve or maintain profitability. We are also subject to payment card association operating rules and certification requirements, including the Payment Card Industry Data Security Standard, or PCI-DSS, and rules governing electronic funds transfers, which could change or be reinterpreted to make it difficult or impossible for us to comply. If we (or a third-party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for payment for our goods and services, which could materially impact our operations and financial performance.</w:t>
      </w:r>
    </w:p>
    <w:p>
      <w:pPr>
        <w:spacing w:after="0" w:line="21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231F20"/>
        </w:rPr>
        <w:t>Furthermore, as our business changes, we may be subject to different rules under existing standards, which may require new assessments that involve costs above what we currently pay for compliance.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7" w:name="page38"/>
    <w:bookmarkEnd w:id="37"/>
    <w:p>
      <w:pPr>
        <w:ind w:right="160"/>
        <w:spacing w:after="0" w:line="266" w:lineRule="auto"/>
        <w:rPr>
          <w:sz w:val="20"/>
          <w:szCs w:val="20"/>
          <w:color w:val="auto"/>
        </w:rPr>
      </w:pPr>
      <w:r>
        <w:rPr>
          <w:rFonts w:ascii="Times New Roman" w:cs="Times New Roman" w:eastAsia="Times New Roman" w:hAnsi="Times New Roman"/>
          <w:sz w:val="18"/>
          <w:szCs w:val="18"/>
          <w:color w:val="231F20"/>
        </w:rPr>
        <w:t>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payments from consumers or facilitate other types of online payments.</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31F20"/>
        </w:rPr>
        <w:t>We also occasionally receive orders placed with fraudulent data and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also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 If any of these events were to occur, our business, financial condition, results of operations and prospects could be adversely affected.</w:t>
      </w:r>
    </w:p>
    <w:p>
      <w:pPr>
        <w:spacing w:after="0" w:line="21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231F20"/>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negatively impacted our cost of revenue in 2022 and we expect higher purchase prices in 2023, which will negatively impact our cost of revenue in 2023, which we may not be able to offset with price increases.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spacing w:after="0" w:line="220"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231F20"/>
        </w:rPr>
        <w:t>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have faced supply chain challenges, decelerating market demand and aging and slower turning inventory, we have received some product quality complaints from customers and consumers that have resulted and may in the future result in additional refunds, returns, write-offs and remediation costs. Remediation costs would be significant, including the cost to rework a product to be in sellable condition or the cost to destroy a product that cannot be remediated, and while immaterial as of December 31, 2022, it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Further, our third-party manufacturers, suppliers and retail and ecommerce customers may:</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38" w:name="page39"/>
    <w:bookmarkEnd w:id="38"/>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economic or business interests or goals that are inconsistent with ours;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take actions contrary to our instructions, requests, policies or objectives;</w:t>
      </w:r>
    </w:p>
    <w:p>
      <w:pPr>
        <w:spacing w:after="0" w:line="252" w:lineRule="exact"/>
        <w:rPr>
          <w:rFonts w:ascii="Times New Roman" w:cs="Times New Roman" w:eastAsia="Times New Roman" w:hAnsi="Times New Roman"/>
          <w:sz w:val="18"/>
          <w:szCs w:val="18"/>
          <w:color w:val="231F20"/>
        </w:rPr>
      </w:pPr>
    </w:p>
    <w:p>
      <w:pPr>
        <w:ind w:left="660" w:right="18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spacing w:after="0" w:line="20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financial difficulties;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raw material or labor shortages;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increases in raw material or labor costs which may affect our procurement costs;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encounter difficulties with proper payment of custom duties or excise taxes;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disclose our confidential information or intellectual property to competitors or third parties;</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engage in activities or employ practices that may harm our reputation; and</w:t>
      </w:r>
    </w:p>
    <w:p>
      <w:pPr>
        <w:spacing w:after="0" w:line="252"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work with, be acquired by, or come under control of, our competitors.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Legal and Governmental Regulation</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Selling Diapers and Wipes, Skin and Personal Care and Household and Wellness products and baby clothing and nursery bedding products involves inherent legal and other risks, and there is increasing governmental scrutiny of and public awareness regarding product safety. Illness, injury or death related to allergens, illnesses, foreign material contamination or other product safety incidents caused by our products, or involving our suppliers, could result in the disruption or discontinuance of sales of these products or our relationships with such suppliers, or otherwise result in increased operating costs, regulatory enforcement actions or harm to our reputation. For example, in 2015 multiple class action lawsuits were filed against us claiming that certain of our products, including our sunscreen, were ineffective and were not “natural,” which also resulted in an investigation by the Food and Drug Administration, or the FDA. In 2016 multiple class action lawsuits were filed against us claiming that we misled buyers about ingredients in our laundry detergent, dish soap and multi-surface cleaner. In 2022, a class action lawsuit was filed against us alleging that our plant-based claim on certain wipes products was deceptive to purchasers. In addition, we voluntarily recalled certain of our baby wipes and baby powder products in 2017. We also voluntarily recalled one of our bubble bath products in January 2021 due to concerns about potential contamination. Despite successfully completing these recalls, these incidents negatively affected our brand image and required significant time and resources to address.</w:t>
      </w:r>
    </w:p>
    <w:p>
      <w:pPr>
        <w:spacing w:after="0" w:line="21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231F20"/>
        </w:rPr>
        <w:t>Shipment of adulterated or misbranded products, even if inadvertent, can result in criminal or civil liability. Such incidents could also expose us to product liability, negligence, breach of warranty, false advertising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9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The occurrence of adverse reactions, ineffectiveness or other safety incidents could also adversely affect the price and availability of affected materials, resulting in higher costs, disruptions in supply and a reduction in our sales. Furthermore, any instances of contamination, defects, or misbranding or other regulatory noncompliance, whether or not caused by our actions, could compel us, our suppliers, our retail or ecommerce customers, or our consumers, depending on the circumstances, to conduct a recall in accordance with FDA, the Consumer Product Safety Commission, or CPSC, the USDA, the U.S. Environmental Protection Agency, or EPA, or other federal regulations and policies, and comparable state laws, regulations and policies. Product recalls could result in significant losses due to their costs, the destruction of product inventory, lost sales due to the unavailability of the product for a period of time and potential loss of existing retail or ecommerce partners or consumers and a potential negative impact on our ability to attract new consumers due to negative consumer experiences or because of an adverse impact on our brand and reputation. The costs of a recall could be outside the scope of our existing or future insurance policy coverage or limits.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9" w:name="page40"/>
    <w:bookmarkEnd w:id="39"/>
    <w:p>
      <w:pPr>
        <w:ind w:right="20" w:firstLine="648"/>
        <w:spacing w:after="0" w:line="255" w:lineRule="auto"/>
        <w:rPr>
          <w:sz w:val="20"/>
          <w:szCs w:val="20"/>
          <w:color w:val="auto"/>
        </w:rPr>
      </w:pPr>
      <w:r>
        <w:rPr>
          <w:rFonts w:ascii="Times New Roman" w:cs="Times New Roman" w:eastAsia="Times New Roman" w:hAnsi="Times New Roman"/>
          <w:sz w:val="18"/>
          <w:szCs w:val="18"/>
          <w:color w:val="231F20"/>
        </w:rPr>
        <w:t>In addition, companies that sell Diapers and Wipes, Skin and Personal Care, Household and Wellness and other products have been subject to targeted, large-scale tampering as well as to opportunistic, individual product tampering, and we, like any such company, could be a target for product tampering. Forms of tampering could include the introduction of foreign material, chemical contaminants and pathological organisms into products, as well as product substitution. Governmental regulations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have an adverse effect on our business, financial condition, results of operations and prospects.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Further, many products that we sell carry or are advertised with claims as to their origin, ingredients or health, wellness, environmental or other benefits or attributes, including, by way of example, the use of the terms “natural”, “organic”, “clean”, “clean conscious”, “sustainable”, “plant-based” or “naturally derived,” or similar synonyms or implied statements relating to such benefits or attributes. Although the FDA, FTC, and the USDA each has issued statements regarding the appropriate use of the word “natural,” there is no single, U.S. government regulated definition of the term “natural” or related concepts like “naturally derived” for use in the personal care industry, which is true for many other adjectives common in the clean conscious product industry. The resulting uncertainty has led to legal challenges. Plaintiffs have commenced legal actions against numerous companies that market “natural”, “naturally derived” or “clean” products or ingredients, asserting false, misleading and deceptive advertising and labeling and breach of warranty claims, including claims alleging the presence of genetically modified or synthetic ingredients, including synthetic or highly processed forms of otherwise natural ingredients. In limited circumstances, both the FDA and FTC have taken regulatory action against products labeled or advertised “natural” but that nonetheless contain synthetic ingredients or components. Should we become subject to similar claims, consumers may avoid purchasing products from us or seek alternatives, even if the basis for the claim is unfounded, and the cost of defending against any such claims could be significant. For example, a class action lawsuit was filed against us in 2022 alleging that our plant-based claim on certain wipes products was deceptive to purchasers. While we believe the claim is baseless, the cost of defending the lawsuit will be significant. Any loss of confidence on the part of consumers in the truthfulness of our labeling, advertising or ingredient claims would be difficult and costly to overcome and may significantly reduce our brand value. Any of these events could adversely affect our reputation and brand and decrease our sales, which could have an adverse effect on our business, financial condition, results of operations and prospects.</w:t>
      </w:r>
    </w:p>
    <w:p>
      <w:pPr>
        <w:spacing w:after="0" w:line="22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231F20"/>
        </w:rPr>
        <w:t>The USDA enforces federal standards for organic production and use of the term “organic” on product labeling for food and other agricultural products. These laws prohibit a company from selling or labeling products as organic unless they are produced and handled in accordance with the applicable federal law. Failure to comply with these requirements may subject us to liability or regulatory enforcement. Consumers may also pursue state law claims challenging use of the organic label as being intentionally mislabeled or misleading or deceptive to consumers.</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In addition, certain of the cleaning products, including the disinfectant products, we sell require approval from and registration with the EPA prior to sale. Products that expressly or impliedly claim to control microorganisms that pose a threat to human health may be subject to additional regulatory scrutiny and need to be supported by additional efficacy data. Should we advertise or market these EPA regulated products with claims that are not permitted by the terms of their registration or are otherwise false or misleading, the EPA may be authorized to take enforcement action to prevent the sale or distribution of disinfectant products. False or misleading marketing claims concerning a product’s EPA registration or its efficacy may also create the risk for challenges under state law at the consumer level.</w:t>
      </w:r>
    </w:p>
    <w:p>
      <w:pPr>
        <w:spacing w:after="0" w:line="21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extensive governmental regulation and we may incur material liabilities under, or costs in order to comply with, existing or future laws and regulation, and our failure to comply may result in enforcements, recalls, and other adverse actions.</w:t>
      </w:r>
    </w:p>
    <w:p>
      <w:pPr>
        <w:spacing w:after="0" w:line="18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231F20"/>
        </w:rPr>
        <w:t>We are subject to a broad range of federal, state, local, and foreign laws and regulations intended to protect public and worker health and safety, natural resources, the environment and consumers. Our operations are subject to regulation by the Occupational Safety and Health Administration, or OSHA, the FDA, the CPSC, the USDA, the FTC, EPA, and by various other federal, state, local and foreign authorities regarding the manufacture, processing, packaging, storage, sale, order fulfillment, advertising, labeling, import and export of our products. Certain of the cleaning products, including the disinfectant products, we sell may require EPA registration and approval prior to sale.</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231F20"/>
        </w:rPr>
        <w:t>In addition, we and our manufacturing partners are subject to additional regulatory requirements, including environmental, health and safety laws and regulations administered by the EPA, state, local and foreign environmental, health and safety legislative and regulatory authorities and the National Labor Relations Board, covering such areas as discharges and emissions to air and water, the use, management, disposal and remediation of, and human exposure to, hazardous materials and wastes, and public and worker health and safety. Violations of or liability under any of these laws and regulations may result in</w:t>
      </w:r>
    </w:p>
    <w:p>
      <w:pPr>
        <w:sectPr>
          <w:pgSz w:w="11900" w:h="16838" w:orient="portrait"/>
          <w:cols w:equalWidth="0" w:num="1">
            <w:col w:w="11220"/>
          </w:cols>
          <w:pgMar w:left="32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40" w:name="page41"/>
    <w:bookmarkEnd w:id="40"/>
    <w:p>
      <w:pPr>
        <w:ind w:right="80"/>
        <w:spacing w:after="0" w:line="253" w:lineRule="auto"/>
        <w:rPr>
          <w:sz w:val="20"/>
          <w:szCs w:val="20"/>
          <w:color w:val="auto"/>
        </w:rPr>
      </w:pPr>
      <w:r>
        <w:rPr>
          <w:rFonts w:ascii="Times New Roman" w:cs="Times New Roman" w:eastAsia="Times New Roman" w:hAnsi="Times New Roman"/>
          <w:sz w:val="18"/>
          <w:szCs w:val="18"/>
          <w:color w:val="231F20"/>
        </w:rPr>
        <w:t>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among other things. Such laws and regulations generally have become more stringent over time and may become more so in the future, and we may incur (directly, or indirectly through our manufacturing partners) material costs to comply with current or future laws and regulations or in any required product recalls. Liabilities under, and/or costs of compliance, and the impacts on us of any non-compliance, with any such laws and regulations could have an adverse effect on our business, financial condition, results of operations and prospects. In addition, changes in the laws and regulations to which we are subject, or in the prevailing interpretations of such laws and regulations by courts and enforcement authorities, could impose significant limitations and require changes to our business, which may increase our compliance expenses, make our business more costly and less efficient to conduct, and compromise our growth strategy, which could have an adverse effect on our business, financial condition, results of operations and prospects.</w:t>
      </w:r>
    </w:p>
    <w:p>
      <w:pPr>
        <w:spacing w:after="0" w:line="2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231F20"/>
        </w:rPr>
        <w:t>Our products are also subject to state laws and regulations, such as California’s Proposition 65, or Prop 65, which requires a specific warning on any product that contains a substance listed by the State of California as having been found to cause cancer or birth defects, unless the level of such substance in the product is below a safe harbor level. We have in the past been subject to lawsuits brought under Prop 65, and if we fail to comply with Prop 65 in the future, it may result in lawsuits and regulatory enforcement that could have a material adverse effect on our reputation, business, financial condition, results of operations and prospects. Further, the inclusion of warnings on our products to comply with Prop 65 could also reduce overall consumption of our products or leave consumers with the perception (whether or not valid) that our products do not meet their health and wellness needs, all of which could adversely affect our reputation, business, financial condition, results of operations and prospects. These developments, depending on the outcome, could have an adverse effect on our reputation, business, financial condition, results of operations and prospects.</w:t>
      </w:r>
    </w:p>
    <w:p>
      <w:pPr>
        <w:spacing w:after="0" w:line="21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existing laws or regulations or related official guidance, or the adoption of new laws or regulations or guidance, may increase our costs and otherwise adversely affect our business, financial condition, results of operations and prospects.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31F20"/>
        </w:rPr>
        <w:t>The manufacture and marketing of Diapers and Wipes, Skin and Personal Care and Household and Wellness products is highly regulated. We and our suppliers and manufacturers are subject to a variety of laws and regulations. These laws and regulations apply to many aspects of our business, including the manufacture, packaging, labeling, import, distribution and order fulfillment, advertising, sale, quality and safety of our products, as well as the health and safety of our employees and the protection of the environment.</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231F20"/>
        </w:rPr>
        <w:t>In the United States, we are subject to regulation by various government agencies, including OHSA, the FDA, the USDA, the FTC, the CPSC, and the EPA, the California Air Resources Board, or CARB, as well as various other federal, state and local agencies. We are also regulated outside the United States by various international regulatory bodies. In addition, we are subject to certain standards, such as the Global Food Safety Initiative, standards and review by voluntary organizations, such as BBB National Programs'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 could be the target of claims relating to false or deceptive advertising, including under the auspices of the FTC and the consumer protection statutes of some states.</w:t>
      </w:r>
    </w:p>
    <w:p>
      <w:pPr>
        <w:spacing w:after="0" w:line="2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231F20"/>
        </w:rPr>
        <w:t>The regulatory environment in which we operate has changed in the past could change significantly and adversely in the future. For example, in December 2009, the FTC substantially revised its Guides Concerning the Use of Endorsements and Testimonials in Advertising, or “Endorsement Guides,” to eliminate a safe harbor principle that formerly recognized that advertisers could publish consumer testimonials that conveyed truthful but extraordinary results from using the advertiser’s product as long as the advertiser clearly and conspicuously disclosed that the endorser’s results were not typical. Similarly, in 2012, the FTC announced revisions to its Guides For The Use Of Environmental Marketing Claims, or the “Green Guides,” that assist advertisers in avoiding the dissemination of false or deceptive environmental claims for their products. The Green Guides revisions introduced new and proscriptive guidance regarding advertisers’ use of product certifications and seals of approval, “recyclable” claims, “renewable materials” claims, “carbon offset” claims and other environmental benefit claims. Although we strive to adapt our marketing efforts to evolving regulatory requirements and related guidance, we may not always anticipate or timely identify changes in regulation or official guidance that could impact our business, with the result that we could be subjected to litigation and enforcement actions that could adversely affect our business, financial condition, results of operations and prospects. Future changes in regulations and related official guidance, including the Endorsement Guides and Green Guides, could also introduce new restrictions that impair our ability to market our products effectively and place us at a competitive disadvantage with competitors who depend less than we do on environmental marketing claims and social media influencer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Moreover, any change in manufacturing, advertising, labeling or packaging requirements for our products may lead to an increase in costs or interruptions in production, either of which could adversely affect our business, financial condition, results of operations and prospects. New or revised government laws, regulations or guidelines could result in additional compliance costs and, in the event of non-compliance, civil remedies, including fines, injunctions, withdrawals, recalls or seizures and confiscations, as well as potential criminal sanctions, any of which could have an adverse effect on our business, financial condition, results of operations and prospects.</w:t>
      </w:r>
    </w:p>
    <w:p>
      <w:pPr>
        <w:spacing w:after="0" w:line="2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by our network of retail and ecommerce partners, suppliers or manufacturers to comply with product safety, environmental or other laws and regulations, or with the specifications and requirements of our products, may disrupt our supply of products and adversely affect our business.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If our network of retail and ecommerce partners, suppliers or manufacturers fail to comply with environmental, health and safety or other laws and regulations, or face allegations of non-compliance, their operations may be disrupted and our reputation could be harmed. Additionally, our retail and ecommerce partners, suppliers and manufacturers are required to maintain the quality of our products and to comply with our standards and specifications. In the event of actual or alleged non-compliance, we might be forced to find alternative retail or ecommerce partners, suppliers or manufacturers and we may be subject to lawsuits and/or regulatory enforcement actions related to such non-compliance by the suppliers and manufacturers. As a result, our supply of Diapers and Wipes, Skin and Personal Care and Household and Wellness products could be disrupted or our costs could increase, which could adversely affect our business, financial condition, results of operations and prospects. The failure of any partner or manufacturer to produce products that conform to our standards could adversely affect our reputation in the marketplace and result in product recalls, product liability claims, government or third-party actions and economic loss. For example, a manufacturer’s failure to meet cGMPs, could result in the delivery of product that is subject to a product recall, product liability litigation, or government investigations. Additionally, actions we may take to mitigate the impact of any disruption or potential disruption in our supply of materials or finished inventory, including increasing inventory in anticipation of a potential supply or production interruption, could have an adverse effect on our business, financial condition, results of operations and prospects.</w:t>
      </w:r>
    </w:p>
    <w:p>
      <w:pPr>
        <w:spacing w:after="0" w:line="21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Class action litigation, other legal claims and regulatory enforcement actions could subject us to liability for damages, civil and criminal penalties and other monetary and non-monetary liability and could otherwise adversely affect our reputation, business, financial condition, results of operations and prospects.</w:t>
      </w:r>
    </w:p>
    <w:p>
      <w:pPr>
        <w:spacing w:after="0" w:line="20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231F20"/>
        </w:rPr>
        <w:t>We operate in a highly regulated environment with constantly evolving legal and regulatory frameworks. Consequently, we are subject to a heightened risk of consumer class action litigation, other legal claims, government investigations or other regulatory enforcement actions. The product marketing and labeling practices of companies operating in the Diapers and Wipes, Skin and Personal Care, Household and Wellness and clean conscious products segments of the marketplace receive close scrutiny from the private plaintiff’s class action bar and from public consumer protection agencies. Accordingly, there is risk that consumers will bring class action lawsuits and that the FTC and/or state attorneys general or other consumer protection law enforcement authorities will bring legal actions concerning the truth and accuracy of our product marketing and labeling claims. Examples of causes of action that may be asserted in a consumer class action lawsuit include fraud, false advertising, unfair and deceptive practices, negligent misrepresentation, unjust enrichment, breach of warranty and breach of state consumer protection statutes. We have been targeted with such litigation in the past. For example, in 2015, multiple class action lawsuits were filed against us claiming that certain of our products, including our sunscreen, were ineffective and were not “natural.” In 2017, we settled these class action lawsuits by agreeing to labeling changes and a $7.4 million settlement fund. In 2016, multiple class action lawsuits were filed against us claiming that we misled buyers about ingredients in our laundry detergent, dish soap and multi-surface cleaner. In 2017, we settled these class action lawsuits by agreeing to marketing or reformulating changes and a settlement fund of $1.6 million. In 2022, a class action lawsuit was filed against us alleging that our plant-based claim on certain wipes products was deceptive to purchasers. While we believe the claim is baseless, the cost of defending the lawsuit will be significant.</w:t>
      </w:r>
    </w:p>
    <w:p>
      <w:pPr>
        <w:spacing w:after="0" w:line="22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have also been the subject of litigation claiming our labels contain inaccurate or misleading information. In response, we have updated the language on certain of our labels. Changes in our labels could reduce overall consumption of our products or leave consumers with the perception (whether or not valid) that our products do not meet their safety, efficacy or clean conscious needs, which could adversely affect our reputation, business, financial condition, results of operations and prospects. Although we have implemented policies and procedures designed to ensure compliance with existing laws and regulations, there can be no assurance that our employees, consultants, independent contractors, suppliers, manufacturers or retail or ecommerce partners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and liabilities that could adversely affect our product sales, reputation, financial condition and operating results. These liabilities could include obligations to reformulate products or remove them from the marketplace, as well as obligations to disgorge revenue and to accept burdensome injunctions that limit our freedom to market our products. In addition, the costs and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2" w:name="page43"/>
    <w:bookmarkEnd w:id="42"/>
    <w:p>
      <w:pPr>
        <w:ind w:right="20"/>
        <w:spacing w:after="0" w:line="282" w:lineRule="auto"/>
        <w:rPr>
          <w:sz w:val="20"/>
          <w:szCs w:val="20"/>
          <w:color w:val="auto"/>
        </w:rPr>
      </w:pPr>
      <w:r>
        <w:rPr>
          <w:rFonts w:ascii="Times New Roman" w:cs="Times New Roman" w:eastAsia="Times New Roman" w:hAnsi="Times New Roman"/>
          <w:sz w:val="18"/>
          <w:szCs w:val="18"/>
          <w:color w:val="231F20"/>
        </w:rPr>
        <w:t>other effects of defending potential and pending litigation and administrative actions against us may be difficult to determine and could adversely affect our reputation, business, brand image, financial condition, results of operations and prospects.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Furthermore, 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as a result of civil or criminal penalties or otherwise, or if our business operations were interrupted for a substantial period of time, we could incur costs and suffer losses. Such liabilities, including inventory and business interruption losses, may not be covered by our insurance policies.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position and results of operations. Additionally, in the future, insurance coverage may not be available to us at commercially acceptable premiums, or at all.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Litigation or legal proceedings could expose us to significant liabilities and have a negative impact on our reputation or business.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We are, and may in the future become,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a description of our material pending legal proceedings, please see Note 11,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to the consolidated financial statements included elsewhere in this Annual Report on Form 10-K.</w:t>
      </w:r>
    </w:p>
    <w:p>
      <w:pPr>
        <w:spacing w:after="0" w:line="21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231F20"/>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an adverse effect on our business, financial condition, results of operations and prospects. Any claims or litigation, even if fully indemnified or insured, could damage our reputation and make it more difficult to compete effectively or to obtain adequate insurance in the future.</w:t>
      </w:r>
    </w:p>
    <w:p>
      <w:pPr>
        <w:spacing w:after="0" w:line="210"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231F20"/>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stakeholders with respect to our ESG practices, performance, commitments and disclosures may impact our reputation, increase our costs and impact our access to capital.</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Stakeholder scrutiny related to our ESG practices, commitments, performance and disclosures continues to increase. We have adopted certain policies and programs, including with respect to responsible ingredients and sustainability, safety and health, human capital management, social performance and community relations, diversity and inclusion and supply chain code of conduct. Our stakeholders might not be satisfied with our ESG practices, commitments, performance and/or disclosures, or the speed of their adoption, implementation and measurable success. Investor advocacy groups, certain institutional investors, investment funds, creditors and other influential investors are increasingly focused on our ESG practices and in recent years have placed increasing importance on the ESG implications of their investments and lending decisions. If we do not meet our stakeholders’ evolving expectations, our reputation, access to and cost of capital, and stock price could be negatively impacted.</w:t>
      </w:r>
    </w:p>
    <w:p>
      <w:pPr>
        <w:spacing w:after="0" w:line="21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Organizations that provide information to investors and financial institutions on ESG performance and related matters have developed quantitative and qualitative data collection processes and ratings processes for evaluating companies on their approach to ESG matters. Such ratings are used by some investors to inform their investment and voting decisions. In addition, many investors have created their own proprietary ratings that inform their investment and voting decisions. Unfavorable ratings or assessment of our ESG practices, including our compliance with certain disclosure standards and frameworks, may lead to negative investor sentiment toward us, which could have a negative impact on our stock price and our access to and cost of capital.</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3" w:name="page44"/>
    <w:bookmarkEnd w:id="43"/>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As we continue to focus on our ESG practices, commitments, performance and disclosures, and as ESG-related regulations and disclosure standards and frameworks continue to evolve, we have expanded our public disclosures in these areas. Such disclosures may reflect goals, aspirations, commitments, cost estimates and other expectations and assumptions, including over long timeframes, which are necessarily uncertain and may not be realized.</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New government regulations could also result in new or more stringent forms of ESG oversight and expanded disclosure. The SEC proposed climate-change related disclosure rules that, if adopted, would require significant disclosure regarding GHG emissions and would require significant time and expense to collect and prepare the information which may need to be gathered to satisfy such new disclosure requirements and any regulatory requirements for independent attestation as to such disclosures. Further, the voluntary disclosure standards or frameworks we choose to align with are evolving and may change over time and our interpretation of such disclosure standards and frameworks may differ from those of others, either of which may result in a lack of consistent or meaningful comparative data from period to period and/or significant revisions to our goals and aspirations or reported progress in achieving such goals and aspirations.</w:t>
      </w:r>
    </w:p>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Ensuring that there are adequate systems and processes in place to comply with the various ESG tracking and disclosure obligations will require management’s time and expense. If we do not adapt to or comply with government regulations, investor or stakeholder expectations, including with respect to evolving disclosure standards and frameworks, or if we are perceived to have not responded appropriately, regardless of whether there is a legal requirement to do so, we may suffer from reputational damage and our business, financial condition, cost of capital and/or stock price could be adversely affected.</w:t>
      </w:r>
    </w:p>
    <w:p>
      <w:pPr>
        <w:spacing w:after="0" w:line="210"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addition, our customers and consumers may require that we implement certain additional ESG procedures or standards before they will start or continue to do business with us, which could lead to preferential buying based on our ESG practices compared to our competitors’ ESG practices. Further, being associated with activities by suppliers, contractors or other affiliates that have or are perceived to have individual or cumulative adverse impacts on the environment, climate, biodiversity and land management, water access and management, human rights or cultural heritage could negatively affect our reputation and impose additional costs.</w:t>
      </w:r>
    </w:p>
    <w:p>
      <w:pPr>
        <w:spacing w:after="0" w:line="20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We (and our third parties) are subject to stringent and changing domestic and foreign laws, regulations, rules, contractual data privacy and security obligations, policies and other obligations related to data privacy and security. The actual or perceived failure by us, our consumers, partners or vendors to comply with obligations could lead to regulatory investigations or actions; litigation; fines and penalties; have an adverse effect on our business, financial condition, results of operations and prospects disruptions of our business operations; reputational harm; loss of revenue or profits; loss of customers or sales; and other adverse business consequences.</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231F20"/>
        </w:rPr>
        <w:t>In the ordinary course of business we process, and our vendors process on our behalf, personal information and other sensitive information, including proprietary and confidential business information, trade secrets, intellectual property, sensitive third-party information, and other information necessary to provide and deliver our products through our DTC channel to operate our business, for legal and marketing purposes, and for other business-</w:t>
      </w:r>
    </w:p>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related purposes. Our data Processing activities subject us to numerous data privacy and security obligations, such as various laws, regulations, guidance, industry standards, external and internal privacy and security policies, contracts, and other obligations that govern the Processing of personal information by us and on our behalf.</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Data privacy and information security has become a significant issue in the United States, countries in Europe, and in many other countries in which we operate and where we offer our products and services. The legal and regulatory framework for privacy and security issues is rapidly evolving and is expected to increase our compliance costs and exposure to liability. There are numerous federal, state, local, and foreign laws, orders, codes, regulations and regulatory guidance regarding privacy, information security and processing (which we collectively refer to as Data Protection Laws), the number and scope of which is changing, subject to differing applications and interpretations, and which may be inconsistent among jurisdictions, or in conflict with other rules, laws or Data Protection Obligations (defined below). We expect that there will continue to be new Data Protection Laws and Data Protection Obligations, and we cannot yet determine the impact such future Data Protection Laws may have on our business. Any significant change to Data Protection Laws and Data Protection Obligations, including without limitation, regarding the manner in which the express or implied consent of consumers for processing is obtained, could increase our costs and require us to modify our operations, possibly in a material manner, which we may be unable to complete and may limit our ability to store and process consumer information and operate our business.</w:t>
      </w:r>
    </w:p>
    <w:p>
      <w:pPr>
        <w:spacing w:after="0" w:line="2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231F20"/>
        </w:rPr>
        <w:t>We are or may also be subject to the terms of our external and internal privacy and security policies, codes, representations, certifications, industry standards, publications and frameworks (which we collectively refer to as Privacy Policies) and contractual obligations to third parties related to privacy, information security and processing, including contractual obligations to indemnify and hold harmless third parties from the costs or consequences of non-compliance with Data Protection Laws or other obligations (which we collectively refer to as Data Protection Obligations).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44" w:name="page45"/>
    <w:bookmarkEnd w:id="44"/>
    <w:p>
      <w:pPr>
        <w:ind w:right="80" w:firstLine="648"/>
        <w:spacing w:after="0" w:line="254" w:lineRule="auto"/>
        <w:rPr>
          <w:sz w:val="20"/>
          <w:szCs w:val="20"/>
          <w:color w:val="auto"/>
        </w:rPr>
      </w:pPr>
      <w:r>
        <w:rPr>
          <w:rFonts w:ascii="Times New Roman" w:cs="Times New Roman" w:eastAsia="Times New Roman" w:hAnsi="Times New Roman"/>
          <w:sz w:val="17"/>
          <w:szCs w:val="17"/>
          <w:color w:val="231F20"/>
        </w:rPr>
        <w:t xml:space="preserve">In the United States, these include rules and regulations promulgated under the authority of the Federal Trade Commission, the Electronic Communications Privacy Act, the Computer Fraud and Abuse Act, the California Consumer Privacy Act, or CCPA, the Telephone Consumer Protection Act, or TCPA, the Controlling the Assault of Non-Solicited Pornography And Marketing Act, or CAN-SPAM, other state and federal laws relating to privacy and data security, </w:t>
      </w:r>
      <w:r>
        <w:rPr>
          <w:rFonts w:ascii="Times New Roman" w:cs="Times New Roman" w:eastAsia="Times New Roman" w:hAnsi="Times New Roman"/>
          <w:sz w:val="17"/>
          <w:szCs w:val="17"/>
          <w:color w:val="000000"/>
        </w:rPr>
        <w:t>and other similar laws (e.g., wiretapping laws).</w:t>
      </w:r>
      <w:r>
        <w:rPr>
          <w:rFonts w:ascii="Times New Roman" w:cs="Times New Roman" w:eastAsia="Times New Roman" w:hAnsi="Times New Roman"/>
          <w:sz w:val="17"/>
          <w:szCs w:val="17"/>
          <w:color w:val="231F20"/>
        </w:rPr>
        <w:t xml:space="preserve"> The TCPA imposes specific requirements relating to marketing to individuals using technology such as telephones, mobile devices, and text messages. TCPA violations can result in significant financial penalties, as businesses can incur penalties or criminal fines imposed by the Federal Communications Commission or be fined up to $1,500 per violation through private litigation or state attorneys general or other state actor enforcement. Class action suits are the most common method for private enforcement. Many states have enacted</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231F20"/>
        </w:rPr>
        <w:t xml:space="preserve">telemarketing laws and regulations that are even more proscriptive than the TCPA and that pose additional litigation and regulatory enforcement risks. In addition, the CCPA applies to personal information of consumers, business representatives, and employees, and requires companies that process information of California residents to make specific disclosures to consumers about their information collection, use and sharing practices, and allows consumers to exercise certain privacy rights. The CCPA provides for civil penalties of up to $7,500 per violation and allows private litigants affected by certain data breaches to recover significant statutory damages. The CCPA may increase our compliance costs and potential liability. In addition, the California Privacy Rights Act of 2020, or CPRA, expands the CCPA’s requirements, including giving California residents the ability to limit the use of their sensitive information, by adding a new right for individuals to correct their personal information, and establishing a new California Privacy Protection Agency to implement and enforce the law. Other jurisdictions in the United States have passed or are proposing </w:t>
      </w:r>
      <w:r>
        <w:rPr>
          <w:rFonts w:ascii="Times New Roman" w:cs="Times New Roman" w:eastAsia="Times New Roman" w:hAnsi="Times New Roman"/>
          <w:sz w:val="18"/>
          <w:szCs w:val="18"/>
          <w:color w:val="000000"/>
        </w:rPr>
        <w:t>comprehensive privacy</w:t>
      </w:r>
      <w:r>
        <w:rPr>
          <w:rFonts w:ascii="Times New Roman" w:cs="Times New Roman" w:eastAsia="Times New Roman" w:hAnsi="Times New Roman"/>
          <w:sz w:val="18"/>
          <w:szCs w:val="18"/>
          <w:color w:val="231F20"/>
        </w:rPr>
        <w:t xml:space="preserve"> laws similar to the CCPA. Some observers have noted that the CCPA could mark the beginning of a trend toward more stringent privacy legislation in the United States. For example, Virginia passed the Consumer Data Protection Act, and Colorado passed the Colorado Privacy Act, both of which differ from the CPRA and become effective in 2023. If and as we become subject to new data privacy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and these developments further complicate compliance efforts, and increase legal risk and compliance costs for us, and the third parties upon whom we rely. Additionally, under various Data Protection Laws and Data Protection Obligations, we may be required to obtain certain consents to process personal information. Our inability or failure to do so could result in adverse consequences.</w:t>
      </w:r>
    </w:p>
    <w:p>
      <w:pPr>
        <w:spacing w:after="0" w:line="23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In addition, we are also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21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Outside the United States, an increasing number of laws, regulations, and industry standards apply to data privacy and security. For example, in Canada, the Personal Information Protection and Electronic Documents Act (“PIPEDA”) and various related provincial laws, as well as Canada’s Anti-Spam Legislation (“CASL”), may apply to our operations and the European Union’s General Data Protection Regulation, or GDPR, and the United Kingdom’s GDPR, or UK GDPR, imposes strict requirements for processing the personal data of individuals. For example, the GDPR introduced strict requirements for processing the personal data of European Union data subjects. Companies that must comply with the GDPR face increased compliance obligations and risk, including more robust regulatory enforcement of data protection requirements, an order prohibiting processing of European data subject personal data and potential fines for noncompliance of up to €20 million or 4% of the annual global revenues of the noncompliant company, whichever is greater. European data protection laws including the GDPR also generally prohibit the transfer of personal data from Europe, including the European Economic Area, or EEA, the United Kingdom, and Switzerland, to the United States and most other countries unless the parties to the transfer have established a legal basis for the transfer and implemented specific safeguards to protect the transferred personal data. Also, following the expiry of the post-Brexit transitional arrangements, the United Kingdom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The European Commission released a set of Standard Contractual Clauses (SCCs), that are designed to be a valid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Additional regulatory guidance has been released that seeks to imposes additional obligations</w:t>
      </w: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type w:val="continuous"/>
        </w:sectPr>
      </w:pPr>
    </w:p>
    <w:bookmarkStart w:id="45" w:name="page46"/>
    <w:bookmarkEnd w:id="45"/>
    <w:p>
      <w:pPr>
        <w:ind w:right="20"/>
        <w:spacing w:after="0" w:line="253" w:lineRule="auto"/>
        <w:rPr>
          <w:sz w:val="20"/>
          <w:szCs w:val="20"/>
          <w:color w:val="auto"/>
        </w:rPr>
      </w:pPr>
      <w:r>
        <w:rPr>
          <w:rFonts w:ascii="Times New Roman" w:cs="Times New Roman" w:eastAsia="Times New Roman" w:hAnsi="Times New Roman"/>
          <w:sz w:val="18"/>
          <w:szCs w:val="18"/>
          <w:color w:val="231F20"/>
        </w:rPr>
        <w:t>on companies seeking to rely on SCCs,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As such, any transfers by us or our vendors of personal information from Europe may not comply with European data protection law; may increase our exposure to the GDPR’s heightened sanctions for violations of its cross-border data transfer restrictions; may increase exposure to regulatory actions, substantial fines, and injunctions against processing or transferring personal data from Europe or elsewhere; and may reduce demand for our products from companies subject to European data protection laws.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The inability to import personal data to the United States could significantly and negatively impact our business operations, limiting our ability to collaborate with parties that are subject to European and other data privacy and security laws; or requiring us to increase our personal data processing capabilities and infrastructure in Europe and/or elsewhere at significant expense. Additionally, other countries outside of Europe have enacted or are considering enacting similar cross-border data transfer restrictions and laws requiring local data residency, which could increase the cost and complexity of delivering our products and operating our business.</w:t>
      </w:r>
    </w:p>
    <w:p>
      <w:pPr>
        <w:spacing w:after="0" w:line="21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231F20"/>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For example, Apple introduced an iOS update in April 2021 that allowed users to more easily opt-out of tracking of activity across devices, which may impact business. Google has announced that it will introduce similar changes in late 2021, which could have a similar negative impact on our business. Individuals may increasingly resist our collecting, using, and sharing of personal data to deliver targeted advertising. Individuals are increasingly becoming aware of options related to consent, “do not track” mechanisms, and “ad-blocking” software, any of which could materially impact our ability to collect personal data and deliver relevant promotions or media. We may be required to change the way we market our products. Any of these developments could impair our ability to reach new or existing customers or otherwise negatively affect our operations.</w:t>
      </w:r>
    </w:p>
    <w:p>
      <w:pPr>
        <w:spacing w:after="0" w:line="21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In addition to the EU GDPR, European legislative proposals and present laws and regulations apply to cookies and similar tracking technologies, electronic communications, and marketing. In the EU and the UK, regulators are increasingly focusing on compliance with requirements related to the online behavioral advertising ecosystem. It is anticipated that the ePrivacy Regulation and national implement laws will replace the current national laws that implement the ePrivacy Directive that governs electronic communications. Compliance with these laws may require us to make significant operational changes, limit the effectiveness of our marketing activities, divert the attention of our technology personnel, adversely affect our margins, and subject us to liabilities. Outside of Europe, other laws are further regulating targeted advertising, making certain online advertising activities more difficult and subject to additional scrutiny. For example, the CCPA grants California residents the right to opt-out of a company’s sharing of personally identifiable information for advertising purposes in exchange for money or other valuable consideration. Laws and regulations regarding the use of these cookies and other current online tracking and advertising practices or a loss in our ability to make effective use of services that employ such technologies could increase our costs of operations and limit our ability to acquire new consumers on cost-effective terms, which, in turn, could have an adverse effect on our business, financial condition, results of operations and prospects.</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We are also bound by contractual data privacy and security obligations related to data privacy and security, and our efforts to comply with such obligations may not be successful. For example, certain privacy laws, such as the GDPR and the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14"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231F20"/>
        </w:rPr>
        <w:t>Our obligations related to data privacy and security are quickly changing, becoming increasingly stringent and creating regulatory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6" w:name="page47"/>
    <w:bookmarkEnd w:id="46"/>
    <w:p>
      <w:pPr>
        <w:ind w:right="280"/>
        <w:spacing w:after="0" w:line="282" w:lineRule="auto"/>
        <w:rPr>
          <w:sz w:val="20"/>
          <w:szCs w:val="20"/>
          <w:color w:val="auto"/>
        </w:rPr>
      </w:pPr>
      <w:r>
        <w:rPr>
          <w:rFonts w:ascii="Times New Roman" w:cs="Times New Roman" w:eastAsia="Times New Roman" w:hAnsi="Times New Roman"/>
          <w:sz w:val="18"/>
          <w:szCs w:val="18"/>
          <w:color w:val="231F20"/>
        </w:rPr>
        <w:t>party processor to comply with applicable law, regulations, or contractual data privacy and security obligations could result in adverse effects, including inability to operate our business and proceedings against us by governmental entities or others.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strive to comply with applicable Data Protection Laws, Privacy Policies and Data Protection Obligations to the extent possible, but we may at times fail to do so, or may be perceived to have failed to do so.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operations. Moreover, despite our efforts, we may not be successful in achieving compliance if our employees, partners or vendors do not comply with applicable Data Protection Laws, Privacy Policies and Data Protection Obligations. If we or our vendors fail (or are perceived to have failed) to comply with applicable Data Protection Laws, Privacy Policies and Data Protection Obligations, or if our Privacy Policies are, in whole or part, found to be inaccurate, incomplete, deceptive, unfair, or misrepresentative of our actual practices, our business, financial condition, results of operations and prospects could be adversely affected.</w:t>
      </w:r>
    </w:p>
    <w:p>
      <w:pPr>
        <w:spacing w:after="0" w:line="21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Government regulation of the Internet and ecommerce is evolving, and unfavorable changes or failure by us to comply with these regulations could have an adverse effect on our business, financial condition, results of operations and prospects.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We are subject to general business regulations and laws as well as regulations and laws specifically governing the Internet and ecommerce. Existing and future regulations and laws could impede the growth of the Internet, ecommerce or mobile commerce, which could in turn adversely affect our growth. These regulations and laws may involve taxes, tariffs, privacy and data security, anti-spam, content protection, electronic contracts and communications, consumer protection, sales practices and Internet neutrality. It is not clear how some existing laws governing issues such as property ownership, sales and other taxes and consumer privacy apply to the Internet as many of these laws were adopted prior to the advent of the Internet and do not contemplate or address the unique issues raised by the Internet or ecommerce. Our subscription programs are also subject to a complex and evolving body of domestic and international consumer protection laws and regulations that govern automatically renewing purchase agreements and that vary from jurisdiction to jurisdiction. It is possible that general business regulations and laws, laws specifically governing the Internet or ecommerce, and automatic renewal laws governing product subscription programs may be interpreted and applied in a manner that is inconsistent from one jurisdiction to another and may conflict with other rules or our practices.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customers, suppliers or others. Any such proceeding or action could hurt our reputation, force us to spend significant amounts in defense of these proceedings, distract our management, increase our costs of doing business, decrease the use of our website and mobile applications by customers and suppliers and may result in the imposition of monetary liabilities and burdensome injunctions. We may also be contractually liable to indemnify and hold harmless third parties from the costs or consequences of non-compliance with any such laws or regulations. As a result, adverse developments with respect to these laws and regulations could have an adverse effect on our business, financial condition, results of operations and prospects.</w:t>
      </w:r>
    </w:p>
    <w:p>
      <w:pPr>
        <w:spacing w:after="0" w:line="22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We rely on a variety of marketing techniques and practices, including email and social media marketing, online targeted advertising, cookie-based processing, and postal mail to sell our products and services and to attract new consumers, and we, and our vendors, are subject to various current and future Data Protection Laws and Data Protection Obligations that govern marketing and advertising practices. Governmental authorities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w:t>
      </w:r>
    </w:p>
    <w:p>
      <w:pPr>
        <w:spacing w:after="0" w:line="21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Developments in labor and employment law and any unionizing efforts by employees could have an adverse effect on our business, financial condition, results of operations and prospects.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231F20"/>
        </w:rPr>
        <w:t>We face the risk that Congress, federal agencies or one or more states could approve legislation or regulations significantly affecting our businesses and our relationship with our employees and other individuals providing valuable services to us, such as our influencers. For example, the previously proposed federal legislation referred to as the Employee Free Choice Act would have substantially liberalized the procedures for union organization. None of our employees are currently covered by a collective bargaining agreement, but any attempt by our employees to organize a labor union could result in increased legal and other associated costs. Additionally, given the National Labor Relations Board’s “speedy election” rule, our ability to timely and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7" w:name="page48"/>
    <w:bookmarkEnd w:id="47"/>
    <w:p>
      <w:pPr>
        <w:ind w:right="180"/>
        <w:spacing w:after="0" w:line="282" w:lineRule="auto"/>
        <w:rPr>
          <w:sz w:val="20"/>
          <w:szCs w:val="20"/>
          <w:color w:val="auto"/>
        </w:rPr>
      </w:pPr>
      <w:r>
        <w:rPr>
          <w:rFonts w:ascii="Times New Roman" w:cs="Times New Roman" w:eastAsia="Times New Roman" w:hAnsi="Times New Roman"/>
          <w:sz w:val="18"/>
          <w:szCs w:val="18"/>
          <w:color w:val="231F20"/>
        </w:rPr>
        <w:t>effectively address any unionizing efforts would be difficult. If we enter into a collective bargaining agreement with our employees, the terms could have an adverse effect on our costs, efficiency and ability to generate acceptable returns on the affected operations.</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231F20"/>
        </w:rPr>
        <w:t>Federal and state wage and hour rules establish minimum salary requirements for employees to be exempt from overtime payments. For example, among other requirements, California law requires employers to pay employees who are classified as exempt from overtime a minimum salary of at least twice the minimum wage, which is currently $58,240 per year for executive, administrative and professional employees with employers that have 26 or more employees. Minimum salary requirements impact the way we classify certain employees, increases our payment of overtime wages and provision of meal or rest breaks, and increases the overall salaries we are required to pay to currently exempt employees to maintain their exempt status. As such, these requirements could have an adverse effect on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 and Information Technology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be unable to adequately obtain, maintain, protect and enforce our intellectual property rights.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231F20"/>
        </w:rPr>
        <w:t>We regard our brand, consumer lists, trademarks, trade dress, domain names, trade secrets, proprietary technology and similar intellectual property as critical to our success. We rely on trademark, copyright and patent law, trade secret protection, and confidentiality agreements with our employees and others to protect our proprietary rights.</w:t>
      </w:r>
    </w:p>
    <w:p>
      <w:pPr>
        <w:spacing w:after="0" w:line="20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Effective intellectual property protection may not be available in every country in which our products are, or may be made, available.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misappropriating or otherwise violating our proprietary rights, and we may be unable to broadly enforce all of our intellectual property rights. Any of our intellectual property rights may be challenged by others or invalidated through administrative process or litigation.</w:t>
      </w:r>
    </w:p>
    <w:p>
      <w:pPr>
        <w:spacing w:after="0" w:line="210"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231F20"/>
        </w:rPr>
        <w:t>Our pending and future patent and trademark applications may never be granted. Additionally, the process of obtaining patent and trademark protection is expensive and time-consuming, and we may be unable to prosecute all necessary or desirable patent and trademark applications at a reasonable cost or in a timely manner. There can be no assurance that our issued patents and registered trademarks or pending applications, if issued or registered, will adequately protect our intellectual property, as the legal standards relating to the validity, enforceability and scope of protection of patent, trademark and other intellectual property rights are constantly evolving and vary by jurisdiction. We also cannot be certain that others will not independently develop or otherwise acquire equivalent or superior technology or intellectual property rights.</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We further rely on confidentiality agreements to protect our intellectual property rights. 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 The effectiveness of these agreements are important as some of our formulations have been developed by or with our suppliers and manufacturers. However, we may fail to enter into confidentiality agreements with all parties who have access to our trade secrets or other confidential information. In addition,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Even if we are successful in prosecuting such claims, any remedy awarded may be insufficient to fully compensate us for the improper disclosure or misappropriation. In addition, 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31F20"/>
        </w:rPr>
        <w:t>We might be required to spend significant resources to monitor and protect our intellectual property rights. For example, we may initiate claims or litigation against others for infringement, misappropriation or violation of our intellectual property rights or other proprietary rights or to establish the validity of such rights.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litigation, whether or not it is resolved in our favor, could result in significant expense to us and divert the efforts of our technical and management personnel, which could have an adverse effect on our business, financial condition, results of operations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loss of any registered trademark or other intellectual property could enable other companies to compete more effectively with us.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48" w:name="page49"/>
    <w:bookmarkEnd w:id="48"/>
    <w:p>
      <w:pPr>
        <w:ind w:right="40" w:firstLine="648"/>
        <w:spacing w:after="0" w:line="266" w:lineRule="auto"/>
        <w:rPr>
          <w:sz w:val="20"/>
          <w:szCs w:val="20"/>
          <w:color w:val="auto"/>
        </w:rPr>
      </w:pPr>
      <w:r>
        <w:rPr>
          <w:rFonts w:ascii="Times New Roman" w:cs="Times New Roman" w:eastAsia="Times New Roman" w:hAnsi="Times New Roman"/>
          <w:sz w:val="18"/>
          <w:szCs w:val="18"/>
          <w:color w:val="231F20"/>
        </w:rPr>
        <w:t>We consider our trademarks to be valuable assets that reinforce our brand and consumers’ perception of our products. We have invested a significant amount of time and money in establishing and promoting our brands. Our continued success depends, to a significant degree, upon our ability to protect and preserve our registered trademarks and to successfully obtain additional trademark registrations in the future.</w:t>
      </w:r>
    </w:p>
    <w:p>
      <w:pPr>
        <w:spacing w:after="0" w:line="20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231F20"/>
        </w:rPr>
        <w:t>We may not be able to obtain trademark protection in all territories that we consider to be important to our business. In addition, we cannot assure you that the steps we have taken to protect our trademarks are adequate, that our trademarks can be successfully defended and asserted in the future or that third parties will not infringe upon any such rights. Our trademark rights and related registrations may be challenged, opposed, infringed, cancelled, circumvented or declared generic, or determined to be infringing on other marks, as applicable. Failure to protect our trademark rights could prevent us in the future from challenging third parties who use names and logos similar to our trademarks, which may in turn cause consumer confusion or negatively affect consumers’ perception of our brand and products. Moreover, any trademark disputes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could have an adverse effect on our business, financial condition, results of operations and prospects.</w:t>
      </w:r>
    </w:p>
    <w:p>
      <w:pPr>
        <w:spacing w:after="0" w:line="2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comply with our obligations under our existing license agreements or cannot license rights to use technologies on reasonable terms or at all, we may be unable to license rights that are critical to our business.</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We license certain intellectual property which is critical to our business, including pursuant to the Likeness Agreement with Jessica Warren. If we fail to comply with any of the obligations under our license agreements, we may be required to pay damages and the licensor may have the right to terminate the license. Termination by the licensor would cause us to lose valuable rights, and could inhibit our ability to commercialize our products. If any contract interpretation disagreement were to arise, the resolution could narrow what we 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spacing w:after="0" w:line="21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or other allegations that we infringe, misappropriate or otherwise violate the intellectual property rights of third parties, which could result in substantial damages and diversion of management’s efforts and attention.</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231F20"/>
        </w:rPr>
        <w:t>Third parties have from time to time claimed, and may claim in the future, that we have infringed, misappropriated or otherwise violated their intellectual property rights. These claims, whether meritorious or not, could be time-consuming, result in considerable litigation costs, result in injunctions against us or the payment of damages by us, require significant amounts of management time or result in the diversion of significant operational resources and expensive changes to our business model, result in the payment of substantial damages or injunctions against us, or require us to enter into costly royalty or licensing agreements, if available. As a result of a third party claim, we have agreed to certain restrictions regarding the goods and services that may be offered under our trademarks. In addition, we may be unable to obtain or utilize on terms that are favorable to us, or at all, licenses or other rights with respect to intellectual property we do not own. These risks have been amplified by the increase in third parties whose sole or primary business is to assert such claims. Any payments we are required to make and any injunctions we are required to comply with as a result of these claims could have an adverse effect on our business, financial condition, results of operations and prospects.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reliance on software-as-a-service, or SaaS, technologies from third parties may adversely affect our business and results of operations.</w:t>
      </w:r>
    </w:p>
    <w:p>
      <w:pPr>
        <w:spacing w:after="0" w:line="25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231F20"/>
        </w:rPr>
        <w:t>We rely on SaaS technologies from third parties, including Salesforce, in order to operate critical functions of our business, including financial management services, customer relationship management services, supply chain services and data storage services. If these services become unavailable due to extended outages or interruptions or because they are no longer available on commercially reasonable terms or prices, or for any other reason, our expenses could increase, our ability to manage our finances could be interrupted, our processes for managing sales of our offerings and supporting our consumers could be</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9" w:name="page50"/>
    <w:bookmarkEnd w:id="49"/>
    <w:p>
      <w:pPr>
        <w:ind w:right="100"/>
        <w:spacing w:after="0" w:line="266" w:lineRule="auto"/>
        <w:rPr>
          <w:sz w:val="20"/>
          <w:szCs w:val="20"/>
          <w:color w:val="auto"/>
        </w:rPr>
      </w:pPr>
      <w:r>
        <w:rPr>
          <w:rFonts w:ascii="Times New Roman" w:cs="Times New Roman" w:eastAsia="Times New Roman" w:hAnsi="Times New Roman"/>
          <w:sz w:val="18"/>
          <w:szCs w:val="18"/>
          <w:color w:val="231F20"/>
        </w:rPr>
        <w:t>impaired, our ability to communicate with our suppliers could be weakened and our ability to access or save data stored to the cloud may be impaired until equivalent services, if available, are identified, obtained and implemented, all of which could have an adverse effect on our business, financial condition, results of operations and prospects.</w:t>
      </w:r>
    </w:p>
    <w:p>
      <w:pPr>
        <w:spacing w:after="0" w:line="19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successfully maintain, scale and upgrade our information technology systems, and our failure to do so could have an adverse effect on our business, financial condition, results of operations and prospects.</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 xml:space="preserve">We have identified the need to significantly expand, scale and improve our information technology systems and personnel to support recent and expected future growth. As such, we are in the process of implementing, and will continue to invest in and implement, significant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these systems, including impairment of our ability to leverage our Retail channel or fulfill customer orders, potential disruption of our internal control structure, substantial capital expenditures, additional administration and operating expenses, the need to acquire and retain sufficiently skilled personnel to implement and operate the new systems, demands on management time, the introduction of errors or vulnerabilities and other risks and costs of delays or difficulties in transitioning to or integrating new systems into our current systems. These implementations, modifications and upgrades may not result in productivity improvements at a level that outweighs the costs of implementation, or at all. Additionally,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could have an adverse effect on our business, financial condition, results of operations and prospects. For example, in the fourth quarter of 2022, we replaced our order management system. We experienced some difficulties with the implementation of this new system, which caused us to incur </w:t>
      </w:r>
      <w:r>
        <w:rPr>
          <w:rFonts w:ascii="Times New Roman" w:cs="Times New Roman" w:eastAsia="Times New Roman" w:hAnsi="Times New Roman"/>
          <w:sz w:val="18"/>
          <w:szCs w:val="18"/>
          <w:color w:val="000000"/>
        </w:rPr>
        <w:t>$1.3 million in advanced shipping</w:t>
      </w:r>
      <w:r>
        <w:rPr>
          <w:rFonts w:ascii="Times New Roman" w:cs="Times New Roman" w:eastAsia="Times New Roman" w:hAnsi="Times New Roman"/>
          <w:sz w:val="18"/>
          <w:szCs w:val="18"/>
          <w:color w:val="231F20"/>
        </w:rPr>
        <w:t xml:space="preserve"> violation charges with some retail customers, and we may encounter further problems meeting the requirements set forth by our customers in the future, which could have an adverse effect on our business.</w:t>
      </w:r>
    </w:p>
    <w:p>
      <w:pPr>
        <w:spacing w:after="0" w:line="21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231F20"/>
        </w:rPr>
        <w:t>We are increasingly dependent on information technology and our ability to process data in order to operate and sell our goods and services,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spacing w:after="0" w:line="213"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17"/>
          <w:szCs w:val="17"/>
          <w:color w:val="231F20"/>
        </w:rPr>
        <w:t>We rely on information technology networks and systems and data processing (some of which are managed by third-parties) to market, sell and deliver our products and services, to fulfill orders, to collect, receive, store, process, generate, use, transfer, disclose, make accessible, protect, secure, dispose of and share (which we collectively refer to as Process or Processing) personal information, sensitive, confidential or proprietary information, financial information and other information, to manage a variety of business processes and activities, for financial reporting purposes, to operate our business, process orders and to comply with regulatory, legal and tax requirements (which we collectively refer to as Business Functions). Our ability to</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monitor these third parties’ cybersecurity practices is limited, and these third parties may not have adequate information security measures in place. And, while we may be entitled to damages if our third-party service providers fail to satisfy their privacy or security-related obligations to us, any award may be insufficient to cover our damages, or we may be unable to recover such award.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231F20"/>
        </w:rPr>
        <w:t>We may expend significant resources or modify our business activities in an effort to protect against security breaches. Certain data privacy and security obligations may require us to implement and maintain specific security measures, industry-standard or reasonable security measures to protect our information technology systems and data. Despite our efforts to ensure the security, privacy, integrity, confidentiality, availability, and authenticity of information technology networks and systems, Processing and information, there can be no assurance that these measures will be effective. The recovery systems, security protocols, network protection mechanisms and other security measures that we have integrated into our systems, networks and physical facilities, which are designed to protect against, detect and minimize security breaches, may not be adequate to prevent or detect service interruption, system failure data loss or theft, or other material adverse consequences. No security solution, strategy,</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0" w:name="page51"/>
    <w:bookmarkEnd w:id="50"/>
    <w:p>
      <w:pPr>
        <w:ind w:right="40"/>
        <w:spacing w:after="0" w:line="282" w:lineRule="auto"/>
        <w:rPr>
          <w:sz w:val="20"/>
          <w:szCs w:val="20"/>
          <w:color w:val="auto"/>
        </w:rPr>
      </w:pPr>
      <w:r>
        <w:rPr>
          <w:rFonts w:ascii="Times New Roman" w:cs="Times New Roman" w:eastAsia="Times New Roman" w:hAnsi="Times New Roman"/>
          <w:sz w:val="18"/>
          <w:szCs w:val="18"/>
          <w:color w:val="231F20"/>
        </w:rPr>
        <w:t>or measures can address all possible security threats or block all methods of penetrating a network or otherwise perpetrating a security breach because such threats and techniques change frequently, are often sophisticated in nature, and may not be detected until after a security breach has occurred.</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The risk of unauthorized circumvention of our security measures or those of our third parties has been heightened by advances in computer and software capabilities and the increasing sophistication of hackers, threat actors, personnel (such as through theft or misuse), sophisticated nation-states, and nation-state-supported actors who now engage and are expected to engage in cyber-attacks.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our third parties may be subject to a variety of evolving threats, including without limitation, the theft or misuse of personal and financial information, counterfeiting, “phishing” or social engineering attacks, ransomware, extortion, publicly announcing security breaches, account takeover attacks, denial or degradation of service attacks (such as credential stuffing), malicious code (such as viruses and worms), supply-chain attacks, software bugs, server malfunctions, software or hardware failures, loss of data or other information technology assets, adware, telecommunications failures, malware (including as a result of advanced persistent threat intrusion), fraudulent payment and identity theft, earthquakes, fires, floods, and other similar threats. Because the techniques used by hackers change frequently, we may be unable to anticipate these techniques or implement adequate preventive measures. Our applications, systems, networks, software and physical facilities could have material vulnerabilities, be breached or personal or confidential information could be otherwise compromised due to employee error or malfeasance. Third parties may also exploit vulnerabilities in, or obtain unauthorized access to, platforms, software, applications, systems, networks, sensitive information, and/or physical facilities utilized by our vendors. Improper access to our systems or databases could result in the theft, publication, deletion or modification of personal information, confidential or proprietary information, financial information and other information.</w:t>
      </w:r>
    </w:p>
    <w:p>
      <w:pPr>
        <w:spacing w:after="0" w:line="22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231F20"/>
        </w:rPr>
        <w:t>Ransomware attacks, including those perpetrated by organized criminal threat actors, nation-states, and nation-state-supported actors, are becoming increasingly prevalent and severe and can lead to significant interruptions in our operations, loss of information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 parties’ supply chains have not been compromised or that they do not contain exploitable defects or bugs that could result in a breach of or disruption to our information technology systems (including our products and services) or the third party information technology systems that support us and our services.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231F20"/>
        </w:rPr>
        <w:t xml:space="preserve">Any of the previously identified or similar threats could cause a security breach or other interruption. Any material disruption of our networks, systems or data processing activities, or those of our third parties, could disrupt our ability to provide our products and services, and to undertake, and cause a material adverse impact to, our Business Functions and our business, reputation and financial condition. If we (or a third party upon whom we rely) experience a security incident or are perceived to have experienced a security incident, or otherwise suffers damage, security breaches, vulnerabilities, disruption or shutdown, and we do not effectively resolve the issues in a timely manner, we may experience adverse consequences, to our Business Functions and our business, </w:t>
      </w:r>
      <w:r>
        <w:rPr>
          <w:rFonts w:ascii="Times New Roman" w:cs="Times New Roman" w:eastAsia="Times New Roman" w:hAnsi="Times New Roman"/>
          <w:sz w:val="18"/>
          <w:szCs w:val="18"/>
          <w:color w:val="000000"/>
        </w:rPr>
        <w:t>such as government enforcement actions (for example, investigations, fines, penalties, audits, and inspections); additional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 </w:t>
      </w:r>
      <w:r>
        <w:rPr>
          <w:rFonts w:ascii="Times New Roman" w:cs="Times New Roman" w:eastAsia="Times New Roman" w:hAnsi="Times New Roman"/>
          <w:sz w:val="18"/>
          <w:szCs w:val="18"/>
          <w:color w:val="231F20"/>
        </w:rPr>
        <w:t>For example, a security breach or other interruption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could result in unauthorized, unlawful, or accidental acquisition, modification, destruction, loss, alteration, encryption, disclosure of, or access to information. Our DTC and ecommerce operations are critical to our business and our financial performance. Our website serves as an effective extension of our marketing strategies by exposing potential new consumers to our brand, product offerings and enhanced content. Due to the importance of our website and DTC operations, any material disruption of our networks, systems or data processing activities related to our websites and DTC operations could reduce DTC sales and financial performance, damage our brand’s reputation and materially adversely impact our business.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We have not always been able in the past and may be unable in the future to detect, anticipate, measure or prevent threats or techniques used to detect or exploit vulnerabilities in our (or our third parties’) information technology, services, Processing, communications systems, or software. In addition, security researchers and other individuals have in the past and will continue in the future to actively search for and exploit actual and potential vulnerabilities in our (or our third parties’) information technology, services, communications or software.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51" w:name="page52"/>
    <w:bookmarkEnd w:id="51"/>
    <w:p>
      <w:pPr>
        <w:spacing w:after="0" w:line="254" w:lineRule="auto"/>
        <w:rPr>
          <w:sz w:val="20"/>
          <w:szCs w:val="20"/>
          <w:color w:val="auto"/>
        </w:rPr>
      </w:pPr>
      <w:r>
        <w:rPr>
          <w:rFonts w:ascii="Times New Roman" w:cs="Times New Roman" w:eastAsia="Times New Roman" w:hAnsi="Times New Roman"/>
          <w:sz w:val="18"/>
          <w:szCs w:val="18"/>
          <w:color w:val="231F20"/>
        </w:rPr>
        <w:t>security incident has occurred. These vulnerabilities pose material risks to our business. Further, we may experience delays in developing and deploying patches and other remedial measures to adequately address vulnerabilities, and taking such remedial steps could adversely impact or disrupt our operations. We expect similar issues to arise in the future as our products and services are more widely adopted, and as we continue to expand the features and functionality of existing products and services and introduce new products and services. Despite our efforts to identify and remediate vulnerabilities, if any, in our information technology systems (including our products), our efforts may not be successful. 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1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231F20"/>
        </w:rPr>
        <w:t>We may have contractual and other legal obligations to notify relevant stakeholders of any security breaches. Most jurisdictions have enacted laws requiring companies to notify individuals, regulatory authorities, and others of security breaches involving certain types of data. In addition, our agreements with certain consumers and partners may require us to notify them in the event of a security breach. Such mandatory disclosures are costly, and the disclosures or the failure to comply with such requirements could lead to adverse consequences. If we (or our third parties) experience a security breach or are perceived to have experienced a security breach,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interruptions in our operations (including availability of information); financial loss; and other similar harms. Security breaches and attendant consequences may cause customers to stop using our products or services, deter new customers from using our products or services, and negatively impact our ability to grow and operate our business.</w:t>
      </w:r>
    </w:p>
    <w:p>
      <w:pPr>
        <w:spacing w:after="0" w:line="2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231F20"/>
        </w:rPr>
        <w:t>There can be no assurance that any limitations of liability in our contracts would be enforceable or adequate or would otherwise protect us from liabilities, damages, or claims related to our data privacy and security obligations. We may not have adequate or sufficient insurance coverage to protect us from or to mitigate liabilities arising out of our privacy and security practices. In addition, we cannot be sure that such coverage will continue to be available on acceptable terms or at all, or that such coverage will pay any future claims or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Conducting Business Internationally</w:t>
      </w:r>
    </w:p>
    <w:p>
      <w:pPr>
        <w:spacing w:after="0" w:line="25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cannot successfully manage the unique challenges presented by international markets or successfully execute changes in our international strategy, we may not be successful in managing our operations outside the United States.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Our strategy may include the expansion of our operations to international markets. We currently sell products through retailers in Canada, Asia, the United Kingdom and certain countries in the European Union and we may consider distributing or shipping to additional geographies. Although some of our executive officers have experience in international business from prior positions, we have little experience with operations outside the United States. Our ability to operate internationally is affected by many of the same operational risks we face in expanding our U.S. operations. In addition, our international expansion may be adversely affected by our ability to identify and gain access to local suppliers, obtain and protect relevant trademarks, domain names, and other intellectual property, as well as by local laws and customs, legal and regulatory constraints, political and economic conditions and currency regulations of the countries or regions in which we may intend to operate in the future. Risks inherent in expanding our operations internationally also include, among others, the costs and difficulties of managing international operations, adverse tax consequences, domestic and international tariffs and other barriers to trade.</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In addition, competition is likely to intensify in the international markets where we plan to expand our operations. Standards for “clean”, “natural” or “organic” product labeling or designations may vary across different markets, which may require us to market our products differently or change the formulations of our products to meet local standards. Local companies based in markets outside the United States may have a substantial competitive advantage because of their greater understanding of, and focus on, those local markets. Some of our competitors may also be able to develop and grow in international markets more quickly than we will.</w:t>
      </w:r>
    </w:p>
    <w:p>
      <w:pPr>
        <w:spacing w:after="0" w:line="2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2" w:name="page53"/>
    <w:bookmarkEnd w:id="52"/>
    <w:p>
      <w:pPr>
        <w:ind w:firstLine="648"/>
        <w:spacing w:after="0" w:line="253" w:lineRule="auto"/>
        <w:rPr>
          <w:sz w:val="20"/>
          <w:szCs w:val="20"/>
          <w:color w:val="auto"/>
        </w:rPr>
      </w:pPr>
      <w:r>
        <w:rPr>
          <w:rFonts w:ascii="Times New Roman" w:cs="Times New Roman" w:eastAsia="Times New Roman" w:hAnsi="Times New Roman"/>
          <w:sz w:val="18"/>
          <w:szCs w:val="18"/>
          <w:color w:val="231F20"/>
        </w:rPr>
        <w:t>We derive a significant portion of our products from third-party manufacturing and supply partners in foreign countries and territories, including countries and territories perceived to carry an increased risk of corrupt business practices. The U.S. Foreign Corrupt Practices Act, or the FCPA, prohibits U.S. corporations and their employees and representatives from, directly or indirectly, offering, promising, making, giving, or authorizing others to give anything of value to any foreign government official, political party or official thereof, or political candidate to influence official action or otherwise in an attempt to obtain or retain business. In addition, the FCPA also requires that we make and keep accurate books and records that accurately and fairly reflect the transactions of the corporation and to devise and maintain an adequate system of internal accounting controls and compliance procedures designed to prevent violations of anti-corruption laws. We may be held liable for the corrupt or other illegal activities of our employees and representatives, even if we do not explicitly authorize such activities. We cannot assure you that all of our employees and representatives will not take actions in violation of anti-corruption laws for which we may be ultimately held responsible. As we increase our international business, our risks under anti-corruption laws may increase.</w:t>
      </w:r>
    </w:p>
    <w:p>
      <w:pPr>
        <w:spacing w:after="0" w:line="22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21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231F20"/>
        </w:rPr>
        <w:t>If we or our employees or representatives are determined to have violated the FCPA, U.S. export control laws and economic sanctions, or any of the anti-corruption, anti-bribery, export control, and sanctions laws in the countries and territories where we and our representatives do business, we could suffer severe fines and penalties, profit disgorgement, injunctions on future conduct, securities litigation, bans on transacting certain business, and other consequences that may have an adverse effect on our business, financial condition, results of operations and prospects. In addition, the costs we may incur in defending against any investigations stemming from our or our employees’ or representatives’ improper actions could be significant. Moreover, any actual or alleged corruption or sanctions concerns in our supply chain could carry significant reputational harm, including negative publicity, loss of goodwill, and decline in share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International trade disputes and the U.S. government’s trade policy could adversely affect our business.</w:t>
      </w:r>
    </w:p>
    <w:p>
      <w:pPr>
        <w:spacing w:after="0" w:line="25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231F20"/>
        </w:rPr>
        <w:t>International trade disputes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w:t>
      </w:r>
    </w:p>
    <w:p>
      <w:pPr>
        <w:spacing w:after="0" w:line="20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231F20"/>
        </w:rPr>
        <w:t>The U.S. government has indicated its intent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to date have not had a material impact on our operating results, to the extent that significant additional tariffs are imposed, depending on the extent of such tariffs, they could have a material impact on our operating results.</w:t>
      </w:r>
    </w:p>
    <w:p>
      <w:pPr>
        <w:spacing w:after="0" w:line="21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has the potential to adversely impact demand for our products, our costs, our consumers, our suppliers, and the U.S. economy, which in turn could have an adverse effect on our business, financial condition, results of operations and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Fluctuations in currency exchange rates may negatively affect our financial condition and results of operations.</w:t>
      </w:r>
    </w:p>
    <w:p>
      <w:pPr>
        <w:spacing w:after="0" w:line="25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231F20"/>
        </w:rPr>
        <w:t>Exchange rate fluctuations may affect the costs that we incur in our operations. The main currencies to which we are exposed are the Canadian Dollar, the Euro and the British Pound.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w:t>
      </w:r>
    </w:p>
    <w:p>
      <w:pPr>
        <w:sectPr>
          <w:pgSz w:w="11900" w:h="16838" w:orient="portrait"/>
          <w:cols w:equalWidth="0" w:num="1">
            <w:col w:w="11180"/>
          </w:cols>
          <w:pgMar w:left="320" w:top="117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231F20"/>
        </w:rPr>
        <w:t>be no assurance that foreign currency fluctuations will not have an adverse effect on our business, financial condition, results of operations and prospects.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are subject to international business uncertainties.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In 2022, international sales represented 2% of total revenue. Our business relies on third-party suppliers and manufacturers located in China, Mexico, and certain other foreign countries. We intend to continue to sell to consumers outside the United States and maintain our relationships in foreign countries where we have suppliers and manufacturers. Further, we may establish additional relationships in other countries in the future. The substantial up-front investment required, the lack of consumer awareness of our products 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territories. We cannot be assured that our international efforts will be successful. International sales and increased international operations may be subject to risks such as:</w:t>
      </w:r>
    </w:p>
    <w:p>
      <w:pPr>
        <w:spacing w:after="0" w:line="229"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difficulties in staffing and managing foreign operations and geographically dispersed operations;</w:t>
      </w:r>
    </w:p>
    <w:p>
      <w:pPr>
        <w:spacing w:after="0" w:line="13" w:lineRule="exact"/>
        <w:rPr>
          <w:rFonts w:ascii="Times New Roman" w:cs="Times New Roman" w:eastAsia="Times New Roman" w:hAnsi="Times New Roman"/>
          <w:sz w:val="20"/>
          <w:szCs w:val="20"/>
          <w:color w:val="auto"/>
        </w:rPr>
      </w:pPr>
    </w:p>
    <w:p>
      <w:pPr>
        <w:ind w:left="660" w:right="500" w:hanging="328"/>
        <w:spacing w:after="0" w:line="247"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burdens of complying with a wide variety of laws and regulations, including more stringent regulations relating to data privacy and security, particularly in the European Union;</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adverse tax effects and foreign exchange controls making it difficult to repatriate earnings and cash;</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political and economic instability;</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terrorist activities and natural disasters;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trade restrictions;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differing employment practices and laws and labor disruptions;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government controls;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inability to use or to obtain adequate intellectual property protection for our brand and key products;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enforcing contracts and legal decisions;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tariffs and customs duties and the classifications of our goods by applicable governmental bodies;</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legal system subject to undue influence or corruption;</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culture in which illegal sales practices may be prevalent;</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logistics and sourcing; and</w:t>
      </w:r>
    </w:p>
    <w:p>
      <w:pPr>
        <w:spacing w:after="0" w:line="9"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military conflicts.</w:t>
      </w:r>
    </w:p>
    <w:p>
      <w:pPr>
        <w:spacing w:after="0" w:line="23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231F20"/>
        </w:rPr>
        <w:t>The occurrence of any of these risks could have an adverse effect on our international business and consequently our overall business, financial condition, results of operations and prospects.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following Russia’s military invasion of Ukraine in February 2022, NATO deployed additional military forces to Eastern Europe, and the United States, European Union, and other nations announced various sanctions against Russia and Belarus. The invasion of Ukraine and the retaliatory measures that have been taken, and could be taken in future, by the U.S., NATO, and other countries have created global security concerns that could result in a regional conflict and otherwise have a lasting impact on regional and global economies and supply chains, any or all of which could adversely affect our business, financial condition, results of operations and prospects. For example, although we don't rely directly on Russia for oil consumption, the suppliers we do source oil from could pass on price increases to us, as a result of the overall increase in oil prices.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has been volatile, and the value of our common stock has declined.</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231F20"/>
        </w:rPr>
        <w:t>The market price of our common stock has been highly volatile and has fluctuated and declined substantially since our IPO and may continue to fluctuate or decline as a result of a variety of factors, some of which are beyond our control, including:</w:t>
      </w:r>
    </w:p>
    <w:p>
      <w:pPr>
        <w:spacing w:after="0" w:line="202"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actual or anticipated fluctuations in our financial condition or results of operations;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variance in our financial performance from expectations of securities analysts;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our projected operating and financial results;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by us or our competitors of significant business developments, acquisitions or new offerings;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announcements or concerns regarding real or perceived quality or health issues with our products or similar products of our competitors;</w:t>
      </w:r>
    </w:p>
    <w:p>
      <w:pPr>
        <w:spacing w:after="0" w:line="10" w:lineRule="exact"/>
        <w:rPr>
          <w:rFonts w:ascii="Times New Roman" w:cs="Times New Roman" w:eastAsia="Times New Roman" w:hAnsi="Times New Roman"/>
          <w:sz w:val="20"/>
          <w:szCs w:val="20"/>
          <w:color w:val="auto"/>
        </w:rPr>
      </w:pPr>
    </w:p>
    <w:p>
      <w:pPr>
        <w:ind w:left="660" w:right="84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adoption of new regulations applicable to the Diapers and Wipes, Skin and Personal Care and Household and Wellness industries or the expectations concerning future regulatory developments;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54" w:name="page55"/>
    <w:bookmarkEnd w:id="54"/>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our involvement in litigation;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future sales of our common stock by us or our stockholders;</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senior management or key personnel;</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trading volume of our common stock; and</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changes in the anticipated future size and growth rate of our market.</w:t>
      </w:r>
    </w:p>
    <w:p>
      <w:pPr>
        <w:spacing w:after="0" w:line="9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231F20"/>
        </w:rPr>
        <w:t>Broad market and industry fluctuations, as well as general economic, political, regulatory and market conditions, may also negatively impact the market price of our common stock, particularly in light of uncertainties surrounding the continuing effects of the COVID-19 pandemic</w:t>
      </w:r>
      <w:r>
        <w:rPr>
          <w:rFonts w:ascii="Times New Roman" w:cs="Times New Roman" w:eastAsia="Times New Roman" w:hAnsi="Times New Roman"/>
          <w:sz w:val="18"/>
          <w:szCs w:val="18"/>
          <w:color w:val="000000"/>
        </w:rPr>
        <w:t>, the challenging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macroeconomic environment </w:t>
      </w:r>
      <w:r>
        <w:rPr>
          <w:rFonts w:ascii="Times New Roman" w:cs="Times New Roman" w:eastAsia="Times New Roman" w:hAnsi="Times New Roman"/>
          <w:sz w:val="18"/>
          <w:szCs w:val="18"/>
          <w:color w:val="231F20"/>
        </w:rPr>
        <w:t>and the related impacts.</w:t>
      </w:r>
    </w:p>
    <w:p>
      <w:pPr>
        <w:spacing w:after="0" w:line="2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 w:lineRule="exact"/>
        <w:rPr>
          <w:sz w:val="20"/>
          <w:szCs w:val="20"/>
          <w:color w:val="auto"/>
        </w:rPr>
      </w:pPr>
    </w:p>
    <w:p>
      <w:pPr>
        <w:ind w:left="660" w:right="140" w:hanging="328"/>
        <w:spacing w:after="0" w:line="245"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authorize our board of directors to issue, without further action by the stockholders, shares of undesignated preferred stock with terms, rights and preferences determined by our board of directors that may be senior to our common stock;</w:t>
      </w: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require that any action to be taken by our stockholders be effected at a duly called annual or special meeting and not by written consent;</w:t>
      </w:r>
    </w:p>
    <w:p>
      <w:pPr>
        <w:spacing w:after="0" w:line="8" w:lineRule="exact"/>
        <w:rPr>
          <w:rFonts w:ascii="Times New Roman" w:cs="Times New Roman" w:eastAsia="Times New Roman" w:hAnsi="Times New Roman"/>
          <w:sz w:val="20"/>
          <w:szCs w:val="20"/>
          <w:color w:val="auto"/>
        </w:rPr>
      </w:pPr>
    </w:p>
    <w:p>
      <w:pPr>
        <w:ind w:left="660" w:right="360" w:hanging="328"/>
        <w:spacing w:after="0" w:line="254"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specify that special meetings of our stockholders can be called only by our board of directors, the chairperson of our board of directors, or our chief executive officer;</w:t>
      </w:r>
    </w:p>
    <w:p>
      <w:pPr>
        <w:spacing w:after="0" w:line="1" w:lineRule="exact"/>
        <w:rPr>
          <w:rFonts w:ascii="Times New Roman" w:cs="Times New Roman" w:eastAsia="Times New Roman" w:hAnsi="Times New Roman"/>
          <w:sz w:val="20"/>
          <w:szCs w:val="20"/>
          <w:color w:val="auto"/>
        </w:rPr>
      </w:pPr>
    </w:p>
    <w:p>
      <w:pPr>
        <w:ind w:left="660" w:right="500" w:hanging="328"/>
        <w:spacing w:after="0" w:line="244"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an advance notice procedure for stockholder proposals to be brought before an annual meeting, including proposed nominations of persons for election to our board of directors;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establish that our board of directors is divided into three classes, with each class serving three-year staggered terms;</w:t>
      </w:r>
    </w:p>
    <w:p>
      <w:pPr>
        <w:spacing w:after="0" w:line="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prohibit cumulative voting in the election of directors;</w:t>
      </w:r>
    </w:p>
    <w:p>
      <w:pPr>
        <w:spacing w:after="0" w:line="10" w:lineRule="exact"/>
        <w:rPr>
          <w:rFonts w:ascii="Times New Roman" w:cs="Times New Roman" w:eastAsia="Times New Roman" w:hAnsi="Times New Roman"/>
          <w:sz w:val="20"/>
          <w:szCs w:val="20"/>
          <w:color w:val="auto"/>
        </w:rPr>
      </w:pPr>
    </w:p>
    <w:p>
      <w:pPr>
        <w:ind w:left="640" w:hanging="308"/>
        <w:spacing w:after="0" w:line="237" w:lineRule="auto"/>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provide that our directors may be removed for cause only upon the vote of at least 66 </w:t>
      </w:r>
      <w:r>
        <w:rPr>
          <w:rFonts w:ascii="Times New Roman" w:cs="Times New Roman" w:eastAsia="Times New Roman" w:hAnsi="Times New Roman"/>
          <w:sz w:val="11"/>
          <w:szCs w:val="11"/>
          <w:color w:val="231F20"/>
        </w:rPr>
        <w:t>2</w:t>
      </w:r>
      <w:r>
        <w:rPr>
          <w:rFonts w:ascii="Arial" w:cs="Arial" w:eastAsia="Arial" w:hAnsi="Arial"/>
          <w:sz w:val="18"/>
          <w:szCs w:val="18"/>
          <w:color w:val="231F20"/>
        </w:rPr>
        <w:t>⁄</w:t>
      </w:r>
      <w:r>
        <w:rPr>
          <w:rFonts w:ascii="Times New Roman" w:cs="Times New Roman" w:eastAsia="Times New Roman" w:hAnsi="Times New Roman"/>
          <w:sz w:val="11"/>
          <w:szCs w:val="11"/>
          <w:color w:val="231F20"/>
        </w:rPr>
        <w:t>3</w:t>
      </w:r>
      <w:r>
        <w:rPr>
          <w:rFonts w:ascii="Times New Roman" w:cs="Times New Roman" w:eastAsia="Times New Roman" w:hAnsi="Times New Roman"/>
          <w:sz w:val="18"/>
          <w:szCs w:val="18"/>
          <w:color w:val="231F20"/>
        </w:rPr>
        <w:t>% of our outstanding shares of voting stock;</w:t>
      </w:r>
    </w:p>
    <w:p>
      <w:pPr>
        <w:spacing w:after="0" w:line="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provide that vacancies on our board of directors may be filled only by a majority of directors then in office, even though less than a quorum; and</w:t>
      </w:r>
    </w:p>
    <w:p>
      <w:pPr>
        <w:spacing w:after="0" w:line="10" w:lineRule="exact"/>
        <w:rPr>
          <w:rFonts w:ascii="Times New Roman" w:cs="Times New Roman" w:eastAsia="Times New Roman" w:hAnsi="Times New Roman"/>
          <w:sz w:val="20"/>
          <w:szCs w:val="20"/>
          <w:color w:val="auto"/>
        </w:rPr>
      </w:pPr>
    </w:p>
    <w:p>
      <w:pPr>
        <w:ind w:left="660" w:right="140" w:hanging="328"/>
        <w:spacing w:after="0" w:line="258"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 xml:space="preserve">require the approval of our board of directors or the holders of at least 66 </w:t>
      </w:r>
      <w:r>
        <w:rPr>
          <w:rFonts w:ascii="Times New Roman" w:cs="Times New Roman" w:eastAsia="Times New Roman" w:hAnsi="Times New Roman"/>
          <w:sz w:val="11"/>
          <w:szCs w:val="11"/>
          <w:color w:val="231F20"/>
        </w:rPr>
        <w:t>2</w:t>
      </w:r>
      <w:r>
        <w:rPr>
          <w:rFonts w:ascii="Arial" w:cs="Arial" w:eastAsia="Arial" w:hAnsi="Arial"/>
          <w:sz w:val="18"/>
          <w:szCs w:val="18"/>
          <w:color w:val="231F20"/>
        </w:rPr>
        <w:t>⁄</w:t>
      </w:r>
      <w:r>
        <w:rPr>
          <w:rFonts w:ascii="Times New Roman" w:cs="Times New Roman" w:eastAsia="Times New Roman" w:hAnsi="Times New Roman"/>
          <w:sz w:val="11"/>
          <w:szCs w:val="11"/>
          <w:color w:val="231F20"/>
        </w:rPr>
        <w:t>3</w:t>
      </w:r>
      <w:r>
        <w:rPr>
          <w:rFonts w:ascii="Times New Roman" w:cs="Times New Roman" w:eastAsia="Times New Roman" w:hAnsi="Times New Roman"/>
          <w:sz w:val="18"/>
          <w:szCs w:val="18"/>
          <w:color w:val="231F20"/>
        </w:rPr>
        <w:t>% of our outstanding shares of voting stock to amend our bylaws and certain provisions of our certificate of incorporation.</w:t>
      </w:r>
    </w:p>
    <w:p>
      <w:pPr>
        <w:spacing w:after="0" w:line="20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231F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w:t>
      </w:r>
    </w:p>
    <w:p>
      <w:pPr>
        <w:spacing w:after="0" w:line="21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231F20"/>
        </w:rPr>
        <w:t>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9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02"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the Court of Chancery of the State of Delaware is the exclusive forum for the following types of actions or proceedings under Delaware statutory or common law:</w:t>
      </w:r>
    </w:p>
    <w:p>
      <w:pPr>
        <w:spacing w:after="0" w:line="1" w:lineRule="exact"/>
        <w:rPr>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derivative action or proceeding brought on our behalf;</w:t>
      </w:r>
    </w:p>
    <w:p>
      <w:pPr>
        <w:spacing w:after="0" w:line="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of breach of fiduciary duty;</w:t>
      </w:r>
    </w:p>
    <w:p>
      <w:pPr>
        <w:spacing w:after="0" w:line="10" w:lineRule="exact"/>
        <w:rPr>
          <w:rFonts w:ascii="Times New Roman" w:cs="Times New Roman" w:eastAsia="Times New Roman" w:hAnsi="Times New Roman"/>
          <w:sz w:val="20"/>
          <w:szCs w:val="20"/>
          <w:color w:val="auto"/>
        </w:rPr>
      </w:pPr>
    </w:p>
    <w:p>
      <w:pPr>
        <w:ind w:left="660" w:right="280" w:hanging="328"/>
        <w:spacing w:after="0" w:line="248"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arising under the Delaware General Corporation Law, or DGCL, our amended and restated certificate of incorporation or our amended and restated bylaws;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any action asserting a claim against us that is governed by the internal-affairs doctrine or otherwise related to our internal affairs.</w:t>
      </w:r>
    </w:p>
    <w:p>
      <w:pPr>
        <w:sectPr>
          <w:pgSz w:w="11900" w:h="16838" w:orient="portrait"/>
          <w:cols w:equalWidth="0" w:num="1">
            <w:col w:w="11220"/>
          </w:cols>
          <w:pgMar w:left="320" w:top="11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type w:val="continuous"/>
        </w:sectPr>
      </w:pPr>
    </w:p>
    <w:bookmarkStart w:id="55" w:name="page56"/>
    <w:bookmarkEnd w:id="55"/>
    <w:p>
      <w:pPr>
        <w:ind w:firstLine="648"/>
        <w:spacing w:after="0" w:line="252" w:lineRule="auto"/>
        <w:rPr>
          <w:sz w:val="20"/>
          <w:szCs w:val="20"/>
          <w:color w:val="auto"/>
        </w:rPr>
      </w:pPr>
      <w:r>
        <w:rPr>
          <w:rFonts w:ascii="Times New Roman" w:cs="Times New Roman" w:eastAsia="Times New Roman" w:hAnsi="Times New Roman"/>
          <w:sz w:val="18"/>
          <w:szCs w:val="18"/>
          <w:color w:val="231F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2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litigating Securities Act claims in state court, or both state and federal court, of which could seriously harm our business, financial condition, results of operations and prospects.</w:t>
      </w:r>
    </w:p>
    <w:p>
      <w:pPr>
        <w:spacing w:after="0" w:line="20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Other than the 2021 Dividend </w:t>
      </w:r>
      <w:r>
        <w:rPr>
          <w:rFonts w:ascii="Times New Roman" w:cs="Times New Roman" w:eastAsia="Times New Roman" w:hAnsi="Times New Roman"/>
          <w:sz w:val="18"/>
          <w:szCs w:val="18"/>
          <w:b w:val="1"/>
          <w:bCs w:val="1"/>
          <w:i w:val="1"/>
          <w:iCs w:val="1"/>
          <w:color w:val="000000"/>
        </w:rPr>
        <w:t>paid on June 29, 2021</w:t>
      </w:r>
      <w:r>
        <w:rPr>
          <w:rFonts w:ascii="Times New Roman" w:cs="Times New Roman" w:eastAsia="Times New Roman" w:hAnsi="Times New Roman"/>
          <w:sz w:val="18"/>
          <w:szCs w:val="18"/>
          <w:b w:val="1"/>
          <w:bCs w:val="1"/>
          <w:i w:val="1"/>
          <w:iCs w:val="1"/>
          <w:color w:val="231F20"/>
        </w:rPr>
        <w:t>, we do not intend to pay dividends for the foreseeable future and, as a result, your ability to achieve a return on your investment will depend on appreciation in the price of our common stock.</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In April 2021, our board of directors declared a cash dividend of $35.0 million to the holders of record of our common stock and our redeemable convertible preferred stock as of May 3, 2021 that was contingent upon the closing of the IPO and was paid on June 29, 2021, or the 2021 Dividend. Other than the 2021 Dividend, we have never declared or paid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 In addition, the 2023 Credit Facility contains restrictions on our ability to pay dividends.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 active public trading market may not be sustained.</w:t>
      </w:r>
    </w:p>
    <w:p>
      <w:pPr>
        <w:spacing w:after="0" w:line="25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231F20"/>
        </w:rPr>
        <w:t>An active public trading market for our common stock may not be sustained. The market value of our common stock has decreased substantially from the initial public offering price. As a result of these and other factors, you may be unable to resell your shares of our common stock at or above the price you paid.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by using our shares as consideration.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Principal stockholders have substantial control over us and will be able to influence corporate matters.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231F20"/>
        </w:rPr>
        <w:t>Based on the number of shares outstanding as of December 31, 2022, our directors, executive officers and stockholders holding more than 5% of our outstanding capital stock, together with their respective affiliates, beneficially owned, in the aggregate, approximately 35.0%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Future sales of our common stock in the public market could cause the market price of our common stock to decline.</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56" w:name="page57"/>
    <w:bookmarkEnd w:id="56"/>
    <w:p>
      <w:pPr>
        <w:ind w:right="40" w:firstLine="648"/>
        <w:spacing w:after="0" w:line="258"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they may take steps to sell their shares or otherwise secure the unrecognized gains on those shares. We are unable to predict the timing of or the effect that such sales may have on the prevailing market price of our common stock.</w:t>
      </w:r>
    </w:p>
    <w:p>
      <w:pPr>
        <w:spacing w:after="0" w:line="20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issuance of additional capital stock in connection with financings, acquisitions, investments, our equity incentive plans or otherwise will dilute all other stockholders.</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We expect to issue additional capital stock in the future that will result in dilution to all other stockholders. We grant equity awards to employees, directors and consultants under our equity incentive plans. The market value of our common stock has decreased substantially since it began trading in May 2021, and because the number of shares subject to such awards is typically based on dollar values, the number of shares increases as our stock price decreases. We may also raise capital through equity financings in the future. As part of our business strategy, we may acquire or make investments in companies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10"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do not publish research or publish unfavorable or inaccurate research about our business, the market price and trading volume of our common stock could decline.</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231F20"/>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could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21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we cannot be certain if the reduced reporting and disclosure requirements applicable to emerging growth companies will make our common stock less attractive to investors.</w:t>
      </w:r>
    </w:p>
    <w:p>
      <w:pPr>
        <w:spacing w:after="0" w:line="18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216" w:lineRule="exact"/>
        <w:rPr>
          <w:sz w:val="20"/>
          <w:szCs w:val="20"/>
          <w:color w:val="auto"/>
        </w:rPr>
      </w:pPr>
    </w:p>
    <w:p>
      <w:pPr>
        <w:ind w:left="660" w:right="200" w:hanging="328"/>
        <w:spacing w:after="0" w:line="254"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the auditor attestation requirements of Section 404 of the Sarbanes-Oxley Act of 2002, or the Sarbanes-Oxley Act;</w:t>
      </w:r>
    </w:p>
    <w:p>
      <w:pPr>
        <w:spacing w:after="0" w:line="1" w:lineRule="exact"/>
        <w:rPr>
          <w:rFonts w:ascii="Times New Roman" w:cs="Times New Roman" w:eastAsia="Times New Roman" w:hAnsi="Times New Roman"/>
          <w:sz w:val="20"/>
          <w:szCs w:val="20"/>
          <w:color w:val="auto"/>
        </w:rPr>
      </w:pPr>
    </w:p>
    <w:p>
      <w:pPr>
        <w:ind w:left="660" w:right="20" w:hanging="328"/>
        <w:spacing w:after="0" w:line="244"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reduced disclosure obligations regarding executive compensation in our periodic reports and proxy statements; and</w:t>
      </w:r>
    </w:p>
    <w:p>
      <w:pPr>
        <w:spacing w:after="0" w:line="8" w:lineRule="exact"/>
        <w:rPr>
          <w:rFonts w:ascii="Times New Roman" w:cs="Times New Roman" w:eastAsia="Times New Roman" w:hAnsi="Times New Roman"/>
          <w:sz w:val="20"/>
          <w:szCs w:val="20"/>
          <w:color w:val="auto"/>
        </w:rPr>
      </w:pPr>
    </w:p>
    <w:p>
      <w:pPr>
        <w:ind w:left="660" w:right="120" w:hanging="328"/>
        <w:spacing w:after="0" w:line="255"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exemptions from the requirements of holding nonbinding advisory stockholder votes on executive compensation and stockholder approval of any golden parachute payments not previously approved.</w:t>
      </w:r>
    </w:p>
    <w:p>
      <w:pPr>
        <w:spacing w:after="0" w:line="21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231F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231F20"/>
        </w:rPr>
        <w:t>We will remain an emerging growth company until the earliest of: (1) December 31, 2026;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common stock held by non-affiliates exceeded $700 million as of June 30 of such fiscal year.</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7" w:name="page58"/>
    <w:bookmarkEnd w:id="57"/>
    <w:p>
      <w:pPr>
        <w:ind w:right="380" w:firstLine="648"/>
        <w:spacing w:after="0" w:line="261" w:lineRule="auto"/>
        <w:rPr>
          <w:sz w:val="20"/>
          <w:szCs w:val="20"/>
          <w:color w:val="auto"/>
        </w:rPr>
      </w:pPr>
      <w:r>
        <w:rPr>
          <w:rFonts w:ascii="Times New Roman" w:cs="Times New Roman" w:eastAsia="Times New Roman" w:hAnsi="Times New Roman"/>
          <w:sz w:val="18"/>
          <w:szCs w:val="18"/>
          <w:color w:val="231F20"/>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increased costs as a result of operating as a public company, and our management is required to devote substantial time to compliance with our public company responsibilities and corporate governance practices.</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As a public company, we incur significant finance, legal, accounting and other expenses, including director and officer liability insurance, that we did not incur as a private company, which we expect to further increase after we are no longer an “emerging growth company.” The Sarbanes-Oxley Act, the Dodd-Frank Wall Street Reform and Consumer Protection Act, the listing requirements of The Nasdaq Stock Market LLC, and other applicable securities rules and regulations impose various requirements on public companies. Our management and other personnel devote a substantial amount of time to compliance with these requirements and we may not be able to close our books on time, meet filing deadlines, or meet other public company requirements.</w:t>
      </w:r>
    </w:p>
    <w:p>
      <w:pPr>
        <w:spacing w:after="0" w:line="21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231F20"/>
        </w:rPr>
        <w:t>Moreover, these rules and regulations have increased our legal and financial compliance costs and made some activities more time-consuming and costly. We cannot predict or estimate the amount of additional costs we will incur as a public company or the specific timing of such costs.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31F20"/>
        </w:rPr>
        <w:t>Pursuant to Section 404 of the Sarbanes-Oxley Act, or Section 404, for the first time since becoming a public company, we are required to furnish a report by management on, among other things, the effectiveness of our internal control over financial reporting for the fiscal year ended December 31, 2022. This assessment must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Securities and Exchange Commission, or SEC, following the date we are no longer an emerging growth company. If we are unable to in any such annual report assert that our internal control over financial reporting is effective, investors may lose confidence in the accuracy and completeness of our financial reports, we may face restricted access to the capital markets or other sources of funds and our stock price may be adversely affected. To prepare for compliance with Section 404, we have engaged in and will continue to engage in a costly and challenging process of compiling the system and processing documentation necessary to perform the evaluation needed to comply with Section 404. Our compliance with Section 404 requires that we incur substantial expenses and expend significant management efforts. We currently do not have an internal audit group, and we have hired and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1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Failure to maintain internal control over financial reporting, including historical or future control deficiencies,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31F20"/>
        </w:rPr>
        <w:t>We lease our corporate headquarters located at 12130 Millennium Drive #500, Los Angeles, California, in a LEED certified building where we occupy approximately 46,518 square feet of office space pursuant to a lease that expires in February 2027. This lease provides us with an option to extend it for up to two consecutive periods of five years each. We also lease a warehouse and distribution facility located in Las Vegas, Nevada where we occupy approximately 570,810 square feet pursuant to a lease that expires in December 2027, with an option to extend this lease for up to two consecutive periods of five years each. From time to time we also utilize outside storage on a short term basis. Our Las Vegas, Nevada facility is operated by our distribution partner GEODIS. GEODIS also operates two other warehouse and distribution facilities on our behalf located in Breinigsville, Pennsylvania and the Netherlands and a short-term inventory storage location in Fontana, California. In total, we have over one million square feet of facility space that we leverage to fulfill DTC and retail orders. We believe that our current facilities are suitable and adequate to meet our current needs.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See Note 11, "</w:t>
      </w:r>
      <w:r>
        <w:rPr>
          <w:rFonts w:ascii="Times New Roman" w:cs="Times New Roman" w:eastAsia="Times New Roman" w:hAnsi="Times New Roman"/>
          <w:sz w:val="18"/>
          <w:szCs w:val="18"/>
          <w:i w:val="1"/>
          <w:iCs w:val="1"/>
          <w:color w:val="231F20"/>
        </w:rPr>
        <w:t>Commitments and Contingencies,"</w:t>
      </w:r>
      <w:r>
        <w:rPr>
          <w:rFonts w:ascii="Times New Roman" w:cs="Times New Roman" w:eastAsia="Times New Roman" w:hAnsi="Times New Roman"/>
          <w:sz w:val="18"/>
          <w:szCs w:val="18"/>
          <w:color w:val="231F20"/>
        </w:rPr>
        <w:t xml:space="preserve"> to the financial statements contained in this report for a discussion of legal proceedings that are incorporated by reference into this Item 3.</w:t>
      </w:r>
    </w:p>
    <w:p>
      <w:pPr>
        <w:spacing w:after="0" w:line="203"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0" w:right="4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Nasdaq Global Select Market on May 5, 2021, under the symbol “HNST.” Prior to that time, there was no public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March 14, 2023, we had approximately 115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 Graph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Reserved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together with our consolidated financial statements and related notes included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“Risk Factors” in this Annual Report on Form 10-K for a discussion of important factors that could cause our actual results to differ materially from those anticipated in these forward-looking statements. Unless the context otherwise requires, all references in this Annual Report on Form 10-K to “we,” “us,” “our,” “our company,” "the Company" and “Honest” refer to The Honest Company, Inc. and its consolidated subsidiaries.</w:t>
      </w:r>
    </w:p>
    <w:p>
      <w:pPr>
        <w:spacing w:after="0" w:line="21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the year ended December 31, 2022 compared to the year ended December 31, 2021 is presented below. A discussion regarding our financial condition and results of operations for the year ended December 31, 2021 compared to the year ended December 31, 2020 can be found in Item 7. “Management’s Discussion and Analysis of Financial Condition and Results of Operations” in our Annual Report on Form 10-K for the year ended December 31, 2021 filed with the Securities and Exchange Commission (“SEC”) on March 28, 2022.</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Honest Company, Inc. (“Honest” and, together with its consolidated subsidiaries, the “Company,” “we,” “us” and “our”) is a digitally-native consumer products company born in the Gen Z era to make purpose-driven consumer products designed for all people.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deep digital-first connection with consumers and omnichannel accessibility.</w:t>
      </w:r>
    </w:p>
    <w:p>
      <w:pPr>
        <w:spacing w:after="0" w:line="21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integrated multi-category product architecture is intentionally designed to serve our consumers every day, at every age and through every life stage, no matter where they are on their journey. Our three product categories are Diapers and Wipes, Skin and Personal Care, and Household and Wellness, which represented 64%, 28%, and 8%, respectively, of our revenue for the year ended December 31, 2022, compared to 63%, 32%, and 5%, respectively, of our revenue for the year ended December 31, 2021.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21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omnichannel approach seeks to meet consumers wherever they want to shop, balancing deep consumer connection with broad convenience and accessibility. Since our launch, we have built a well-integrated omnichannel presence by expanding our product availability across both Digital and Retail channels, including the launch of strategic partnerships with Target, Amazon and Walmart in 2014, 2017 and 2022, respectively. For the year ended December 31, 2022, we generated 45% and 55% of our revenue from our Digital and Retail channels, respectively, compared to 49% and 51%, respectively, for the year ended December 31, 2021.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our Digital channel, and our Retail channel, which includes leading retailers and their websites. </w:t>
      </w:r>
      <w:r>
        <w:rPr>
          <w:rFonts w:ascii="Times New Roman" w:cs="Times New Roman" w:eastAsia="Times New Roman" w:hAnsi="Times New Roman"/>
          <w:sz w:val="18"/>
          <w:szCs w:val="18"/>
          <w:color w:val="231F20"/>
        </w:rPr>
        <w:t>As of December 31, 2022, o</w:t>
      </w:r>
      <w:r>
        <w:rPr>
          <w:rFonts w:ascii="Times New Roman" w:cs="Times New Roman" w:eastAsia="Times New Roman" w:hAnsi="Times New Roman"/>
          <w:sz w:val="18"/>
          <w:szCs w:val="18"/>
          <w:color w:val="auto"/>
        </w:rPr>
        <w:t>ur products can be found in approximately 50,000 retail locations across the United States, Canada and Europe. Our integrated omnichannel presence provides meaningful benefits to our consumers which we believe is not easily replicated by our</w:t>
      </w:r>
    </w:p>
    <w:p>
      <w:pPr>
        <w:sectPr>
          <w:pgSz w:w="11900" w:h="16838" w:orient="portrait"/>
          <w:cols w:equalWidth="0" w:num="1">
            <w:col w:w="11220"/>
          </w:cols>
          <w:pgMar w:left="320" w:top="11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type w:val="continuous"/>
        </w:sectPr>
      </w:pPr>
    </w:p>
    <w:bookmarkStart w:id="61" w:name="page62"/>
    <w:bookmarkEnd w:id="61"/>
    <w:p>
      <w:pPr>
        <w:ind w:right="200"/>
        <w:spacing w:after="0" w:line="282" w:lineRule="auto"/>
        <w:rPr>
          <w:sz w:val="20"/>
          <w:szCs w:val="20"/>
          <w:color w:val="auto"/>
        </w:rPr>
      </w:pPr>
      <w:r>
        <w:rPr>
          <w:rFonts w:ascii="Times New Roman" w:cs="Times New Roman" w:eastAsia="Times New Roman" w:hAnsi="Times New Roman"/>
          <w:sz w:val="18"/>
          <w:szCs w:val="18"/>
          <w:color w:val="auto"/>
        </w:rPr>
        <w:t>competitors. This distinctive business model has allowed us to efficiently scale our business while remaining agnostic as to the channel where consumers purchase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May 7, 2021, we completed our IPO of 25,807,000 shares of our common stock at a stock price of $16.00 per share, resulting in aggregate net proceeds to us of approximately $91.0 million, after deducting the underwriting discount and commissions of $6.7 million and offering expenses of $5.5 million.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Annual Report on Form 10-K titled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Grow Our Brand Awareness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brand is integral to the growth of our business and is essential to our ability to engage and stay connected with the growing clean products consumer. Honest is still unknown to many consumers, with unaided brand awareness of 29% among diaper buyers according to our consumer research conducted in January 2022. In order to increase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Given higher costs of digital marketing and increased retail distribution, we have and expect to continue to shift the focus of our marketing spend towards supporting retail marketing programs and to make changes in our domestic and global marketing initiatives to increase brand awareness.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Innovation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in-house toxicologists and an eco-toxicologist,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21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use connectivity to our community of consumers to provide valuable insights that power innovation across categories. We use innovation to support our growth objectives across our portfolio, as highlighted in the three core pillars of our Innovation Framework: that we bring product innovation that 1) feeds and nurtures our core values, 2) expands within our existing product categories, and 3) grows into new potential product categories adjacent to existing categories that fit with our value proposition to the consumer.</w:t>
      </w:r>
    </w:p>
    <w:p>
      <w:pPr>
        <w:spacing w:after="0" w:line="207" w:lineRule="exact"/>
        <w:rPr>
          <w:sz w:val="20"/>
          <w:szCs w:val="20"/>
          <w:color w:val="auto"/>
        </w:rPr>
      </w:pPr>
    </w:p>
    <w:p>
      <w:pPr>
        <w:ind w:right="260" w:firstLine="648"/>
        <w:spacing w:after="0" w:line="277" w:lineRule="auto"/>
        <w:rPr>
          <w:sz w:val="20"/>
          <w:szCs w:val="20"/>
          <w:color w:val="auto"/>
        </w:rPr>
      </w:pPr>
      <w:r>
        <w:rPr>
          <w:rFonts w:ascii="Times New Roman" w:cs="Times New Roman" w:eastAsia="Times New Roman" w:hAnsi="Times New Roman"/>
          <w:sz w:val="17"/>
          <w:szCs w:val="17"/>
          <w:color w:val="auto"/>
        </w:rPr>
        <w:t>We continue to innovate in each of our product categories in areas such as breakthrough new product formulations, innovative packaging, costovation (defined below) and marketing strategy, with a focus on driving “big bets” across potential product adjacencies where we have: 1) ability to build on our premium positioning, 2) ability to lead and win in a category, and 3) the opportunity to expand into more places within an existing Honest home while positioning ourselves as a premium brand. We are also focused on building a portfolio of products in complementary categories through our Innovation Strategy and the investment in our Digital Strategy. We are building an Honest community with the goal of creating a more holistic clean,</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2" w:name="page63"/>
    <w:bookmarkEnd w:id="62"/>
    <w:p>
      <w:pPr>
        <w:ind w:right="360"/>
        <w:spacing w:after="0" w:line="282" w:lineRule="auto"/>
        <w:rPr>
          <w:sz w:val="20"/>
          <w:szCs w:val="20"/>
          <w:color w:val="auto"/>
        </w:rPr>
      </w:pPr>
      <w:r>
        <w:rPr>
          <w:rFonts w:ascii="Times New Roman" w:cs="Times New Roman" w:eastAsia="Times New Roman" w:hAnsi="Times New Roman"/>
          <w:sz w:val="18"/>
          <w:szCs w:val="18"/>
          <w:color w:val="auto"/>
        </w:rPr>
        <w:t>conscious home for consumers and customers alike. We strive for continuous improvement in our existing products’ safety, sustainability, efficacy and design profile while achieving better performance often at lower cost, which we refer to as costovation.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Product Category Growth</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product mix is a driver of our financial performance given our focus on accretive product launches and innovation to increase product margins. Even though our growth strategy aims to boost sales across all product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new revenue and brought higher margin products into our portfolio.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Execution of Omnichannel Strategy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Marketing Efficienc</w:t>
      </w:r>
      <w:r>
        <w:rPr>
          <w:rFonts w:ascii="Times New Roman" w:cs="Times New Roman" w:eastAsia="Times New Roman" w:hAnsi="Times New Roman"/>
          <w:sz w:val="18"/>
          <w:szCs w:val="18"/>
          <w:b w:val="1"/>
          <w:bCs w:val="1"/>
          <w:color w:val="auto"/>
        </w:rPr>
        <w:t>y</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w:t>
      </w:r>
      <w:r>
        <w:rPr>
          <w:rFonts w:ascii="Times New Roman" w:cs="Times New Roman" w:eastAsia="Times New Roman" w:hAnsi="Times New Roman"/>
          <w:sz w:val="18"/>
          <w:szCs w:val="18"/>
          <w:i w:val="1"/>
          <w:iCs w:val="1"/>
          <w:color w:val="auto"/>
        </w:rPr>
        <w:t>Honest Omni-Analytics</w:t>
      </w:r>
      <w:r>
        <w:rPr>
          <w:rFonts w:ascii="Times New Roman" w:cs="Times New Roman" w:eastAsia="Times New Roman" w:hAnsi="Times New Roman"/>
          <w:sz w:val="18"/>
          <w:szCs w:val="18"/>
          <w:color w:val="auto"/>
        </w:rPr>
        <w:t xml:space="preserve"> to generate valuable consumer insights that guide our omnichannel strategy and inform our marketing spend optimization. Our future success depends in part on our ability to effectively attract consumers on a cost-efficient basis and achieve efficiencies in our operations.</w:t>
      </w:r>
    </w:p>
    <w:p>
      <w:pPr>
        <w:spacing w:after="0" w:line="21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paid advertising includes search engine marketing, display, paid social media and product placement and traditional advertising, such as direct mail, television, radio and magazine advertising. Paid advertising costs significantly increased industry-wide in 2021 and 2022, which negatively impacted our ability to cost-effectively drive traffic to Honest.com and contributed to the decline in Digital revenue in 2021 and 2022 as a result of </w:t>
      </w:r>
      <w:r>
        <w:rPr>
          <w:rFonts w:ascii="Times New Roman" w:cs="Times New Roman" w:eastAsia="Times New Roman" w:hAnsi="Times New Roman"/>
          <w:sz w:val="18"/>
          <w:szCs w:val="18"/>
          <w:color w:val="231F20"/>
        </w:rPr>
        <w:t>our reduced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digital media spending in the face of such higher advertising costs</w:t>
      </w:r>
      <w:r>
        <w:rPr>
          <w:rFonts w:ascii="Times New Roman" w:cs="Times New Roman" w:eastAsia="Times New Roman" w:hAnsi="Times New Roman"/>
          <w:sz w:val="18"/>
          <w:szCs w:val="18"/>
          <w:color w:val="000000"/>
        </w:rPr>
        <w:t>. We drive a significant amount of traffic to our website via search engines and, therefore,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rely heavily on search engines. These elevated </w:t>
      </w:r>
      <w:r>
        <w:rPr>
          <w:rFonts w:ascii="Times New Roman" w:cs="Times New Roman" w:eastAsia="Times New Roman" w:hAnsi="Times New Roman"/>
          <w:sz w:val="18"/>
          <w:szCs w:val="18"/>
          <w:color w:val="231F20"/>
        </w:rPr>
        <w:t>advertising</w:t>
      </w:r>
      <w:r>
        <w:rPr>
          <w:rFonts w:ascii="Times New Roman" w:cs="Times New Roman" w:eastAsia="Times New Roman" w:hAnsi="Times New Roman"/>
          <w:sz w:val="18"/>
          <w:szCs w:val="18"/>
          <w:color w:val="000000"/>
        </w:rPr>
        <w:t xml:space="preserve"> costs have in 2022 impacted and may in the future impact marketing efficiencies, costs and revenue in our Digital channel.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Macro Trends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strategically positioned ourselves to benefit from several macro trends related to changes in consumer behavior. We believe consumers’ increasing interest in purpose-designed products has contributed to higher demand for our products. At the same time, changes in macro-level consumer spending trends, including as a result of the COVID-19 pandemic or broader macroeconomic conditions, such as inflation, have resulted and could in the future result in fluctuations in our operating results. The COVID-19 pandemic in particular has caused general business disruption worldwide since January 2020. The full extent to which the COVID-19 pandemic and these broader macroeconomic conditions will directly or indirectly impact our cash flow, business, financial condition, results of operations and prospects will depend on future developments that are uncertain.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Operations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our headquarters were temporarily closed but have since reopened in a hybrid capacity. During the pandemic we implemented travel restrictions and social distancing measures, including replacing many in-person meetings with virtual interactions, as well as other precautions for the safety of our employees, many of which we have continued. These actions represented a significant change in how we operate our business, but we believe that we successfully</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63" w:name="page64"/>
    <w:bookmarkEnd w:id="63"/>
    <w:p>
      <w:pPr>
        <w:ind w:right="140"/>
        <w:spacing w:after="0" w:line="282" w:lineRule="auto"/>
        <w:rPr>
          <w:sz w:val="20"/>
          <w:szCs w:val="20"/>
          <w:color w:val="auto"/>
        </w:rPr>
      </w:pPr>
      <w:r>
        <w:rPr>
          <w:rFonts w:ascii="Times New Roman" w:cs="Times New Roman" w:eastAsia="Times New Roman" w:hAnsi="Times New Roman"/>
          <w:sz w:val="18"/>
          <w:szCs w:val="18"/>
          <w:color w:val="auto"/>
        </w:rPr>
        <w:t>navigated this transition. We will continue to take actions as may be required or recommended by government or health authorities or as we determine are in the best interests of our employees and business partners in light of the pandemic.</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operations of our retail customers,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in the future, and has led to tighter inventory management by retailers, which has negatively impacted our revenue and fulfillment operations, and may continue in the future. Prolonged unfavorable economic conditions, including as a result of COVID-19 or similar outbreaks, and any resulting recession or slowed economic growth, have had and may continue to have an adverse effect on our sales and profitability.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Disruptions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experienced impacts on our inventory availability and delivery capacity during the COVID-19 outbreak. The out-of-stock inventory due to supply chain disruptions was significant on several key items, particularly in our Skin and Personal Care and Diapers and Wipes product categories. In the fourth quarter of 2021, we experienced lower than expected inventory receipts due largely to global supply chain delays, including a delay in receiving shipments from overseas, which we also experienced in the second quarter of 2022. For example, due to new COVID-19 lockdown restrictions in China in the second quarter of 2022, many of the ports shut down which has negatively impacted and may in the future negatively impact our ability to timely receive shipments of our products. To the extent that additional prevention and mitigation measures are implemented in the future, or there is uncertainty about the effectiveness of these or any other measures to contain the spread of COVID-19, there has been and continues to be an adverse impact on global economic conditions and consumer confidence and spending, which has adversely affected our supply chain as well as the demand for our products and has impacted our revenue and ability to service our customer orders. During 2022, we took measures to bolster key aspects of our supply chain, such as increasing inventory levels to support retail distribution growth and longer lead times.</w:t>
      </w:r>
    </w:p>
    <w:p>
      <w:pPr>
        <w:spacing w:after="0" w:line="2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as a result of the COVID-19 pandemic and other macroeconomic trends, we and our distribution partners have experienced disruptions to the operations of our fulfillment centers, including a nationwide truck driver shortage during the fourth quarter of 2021. For example, an international freight forwarder partner experienced a cybersecurity attack during the first quarter of 2022 resulting in a delay in the shipment and launch of our </w:t>
      </w:r>
      <w:r>
        <w:rPr>
          <w:rFonts w:ascii="Times New Roman" w:cs="Times New Roman" w:eastAsia="Times New Roman" w:hAnsi="Times New Roman"/>
          <w:sz w:val="18"/>
          <w:szCs w:val="18"/>
          <w:i w:val="1"/>
          <w:iCs w:val="1"/>
          <w:color w:val="auto"/>
        </w:rPr>
        <w:t>Beauty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Restage </w:t>
      </w:r>
      <w:r>
        <w:rPr>
          <w:rFonts w:ascii="Times New Roman" w:cs="Times New Roman" w:eastAsia="Times New Roman" w:hAnsi="Times New Roman"/>
          <w:sz w:val="18"/>
          <w:szCs w:val="18"/>
          <w:color w:val="auto"/>
        </w:rPr>
        <w:t>products in Europe. Also, in the third quarter of 2022, some of our digital and retail customers began to reduce inventory on hand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fulfillment schedules, which has negatively impacted our fulfillment operations and our revenue and is expected to continue to do so in the future.</w:t>
      </w:r>
    </w:p>
    <w:p>
      <w:pPr>
        <w:spacing w:after="0" w:line="21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We continue to work with our existing manufacturing, logistics and other supply chain partners to ensure our ability to service our consumers and retail and third-party ecommerce customers. We have experienced and anticipate continued increases in commodity prices, labor costs, input costs and transportation costs. For example, some of our contracts with third-party manufacturers have clauses that trigger good faith renegotiation of purchase costs in the case of significant raw material cost escalation. In the fourth quarter of 2021, we were informed by two third-party manufacturers in our Diapers and Wipes and Skin and Personal Care categories, respectively, that those hurdles had been met. In addition, in the third quarter of 2022, we received requests from the same two third-party manufacturers to renegotiate purchase costs due to continued increases in raw material costs. As a result, we negotiated and agreed to higher purchase prices which has negatively impacted our cost of revenue during the year ended December 31, 2022 and will continue to have a negative impact on our results of operations. Due to continued elevated input costs such as fluff pulp, we experienced further escalation of purchase costs and cost of revenue in the fourth quarter of 2022 and anticipate the same in 2023. Additionally, one of our fulfillment partners passed on increased service and inflation related costs to us, including warehouse labor cost, which negatively impacted our cost of revenue. If we are not successful negotiating future renewals, our business, financial condition, results of operations and prospects could be adversely affected.</w:t>
      </w:r>
    </w:p>
    <w:p>
      <w:pPr>
        <w:spacing w:after="0" w:line="2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Moreover, the demand for sustainable packaging and ingredients is outpacing the supply and increasing the cost of these raw materials. For example, there is a supplier shortage or significant demand for and cost impacts to various raw materials used in manufacturing and distributing our products, including post-consumer recycled plastic resin, post-consumer recycled cardboard shipping cartons for our Honest.com shipments, surfactants, fluff pulp and other diaper raw materials.</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implemented price increases that took effect in the first half of 2022 and in December 2022 and plan to take additional price increases in 2023 and in the future as needed to offset current and future input cost inflation and to pursue productivity initiatives to offset inflation. However, we may not be able to increase our prices or productivity sufficiently enough</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4" w:name="page65"/>
    <w:bookmarkEnd w:id="64"/>
    <w:p>
      <w:pPr>
        <w:ind w:right="180"/>
        <w:spacing w:after="0" w:line="282" w:lineRule="auto"/>
        <w:rPr>
          <w:sz w:val="20"/>
          <w:szCs w:val="20"/>
          <w:color w:val="auto"/>
        </w:rPr>
      </w:pPr>
      <w:r>
        <w:rPr>
          <w:rFonts w:ascii="Times New Roman" w:cs="Times New Roman" w:eastAsia="Times New Roman" w:hAnsi="Times New Roman"/>
          <w:sz w:val="18"/>
          <w:szCs w:val="18"/>
          <w:color w:val="auto"/>
        </w:rPr>
        <w:t>to offset these costs. We continue to experience significant increasing input cost levels that have and could continue to hamper our ability to drive margin expansion. Customer demand for our products may change based on price increases.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Preferences</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during 2020, COVID-19 drove a demand shift towards our Digital channel as consumers shifted to online shopping amid the pandemic. Given our digitally-native brand and strong digital penetration, we believe we benefited from this trend. Additionally, in 2020 we benefited from increasing consumer and customer demand for sanitization and disinfecting products, which drove revenue growth in our Household and Wellness product category. In 2021 and 2022, we saw a significant decline in consumer demand for sanitization and disinfecting products as consumers returned to pre-COVID routines. In addition, retailers continue to manage heavy inventories of these products in stores and warehouse facilities.</w:t>
      </w:r>
    </w:p>
    <w:p>
      <w:pPr>
        <w:spacing w:after="0" w:line="21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2021, we began to see increased consumer willingness to return to in-store shopping as the economy reopened and more of the population became vaccinated, driving revenue growth within our Retail channel, specifically within our Diapers and Wipes and Skin and Personal Care product categories. During the year ended December 31, 2022, the Retail channel revenue continued to increase compared to our Digital channel due to this trend as well as expanded and new distribution, marketing efforts and strong retail consumption across product categories.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Inventory is reflected at net realizable value which includes a reserve for excess inventory. We estimate reserve requirements based on current and forecasted demand, including the ability to liquidate excess inventory and estimated liquidation value. Given the significant decline in consumer demand for sanitizing and disinfecting products, we recorded an inventory write-down, inclusive of overhead costs and tariffs, of $4.3 million and $5.6 million, during the year ended December 31, 2022 and 2021, respectively, relating to certain sanitization and disinfecting products as the amount of inventory was significantly in excess of existing and projected demand, and we may record inventory write-downs in the future. Included in these inventory write-downs is $1.0 million and $0.7 million of Company earmarked donations of excess sanitization products during the year ended December 31, 2022 and 2021, respectively, which is included in selling, general and administrative expense on the consolidated statements of comprehensive loss. The amount of excess sanitization products donated in future periods may differ from those earmarked for donations. Depending on future consumer behavior in relation to changes in the COVID-19 pandemic, the macroeconomic environment or otherwise and related aging of inventory, among other factors, we may incur additional inventory write-downs, customer returns or incur additional donation expense or disposal costs as we reduce excess inventory.</w:t>
      </w:r>
    </w:p>
    <w:p>
      <w:pPr>
        <w:spacing w:after="0" w:line="20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Due to increasing supply chain lead times, new retail distribution and expectation of supplier price increases that took effect in early 2023, we have increased our inventory levels to ensure in-stock position to service customers and consumers. In addition, inflation in input costs, including higher product costs, inbound shipping and warehouse labor, has resulted in a higher dollar value of inventory. As a result of these factors, during the year ended December 31, 2022, inventory has increased by $40.0 million compared to the year ended December 31, 2021, which mainly represents an increase in quantities on-hand, as well as higher cost per unit due to input cost inflation and higher capitalized costs associated with in-bound freight and warehouse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25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became effective on January 1, 2023, including a 15% corporate minimum tax and a 1% excise tax on stock buybacks. While we are still evaluating the impact of the Act, we do not currently expect any material changes on our consolidated financial position, results of operations and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and their respective websites, who may also resell our products through their own online platforms. Our revenue is recognized net of allowances for returns, discounts, credits and any taxes collected from consumers.</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65" w:name="page66"/>
    <w:bookmarkEnd w:id="65"/>
    <w:p>
      <w:pPr>
        <w:ind w:firstLine="648"/>
        <w:spacing w:after="0" w:line="253" w:lineRule="auto"/>
        <w:rPr>
          <w:sz w:val="20"/>
          <w:szCs w:val="20"/>
          <w:color w:val="auto"/>
        </w:rPr>
      </w:pPr>
      <w:r>
        <w:rPr>
          <w:rFonts w:ascii="Times New Roman" w:cs="Times New Roman" w:eastAsia="Times New Roman" w:hAnsi="Times New Roman"/>
          <w:sz w:val="18"/>
          <w:szCs w:val="18"/>
          <w:color w:val="auto"/>
        </w:rPr>
        <w:t>In 2019, we entered into a license agreement with Butterblu, LLC, or Butterblu, pursuant to which we licensed certain of our trademarks to Butterblu for the manufacture and distribution of certain baby apparel products in exchange for royalties. Butterblu operates and maintains our baby apparel offerings independently through the honestbabyclothing.com website. For the year ended December 31, 2022 and 2021, we collected $1.0 million and $0.9 million, respectively, in royalty revenue related to this license agreement. For the year ended December 31, 2020, we did not collect any royalty revenue under this agreement due in part because we granted Butterblu temporary payment relief. In August 2022, we terminated the license agreement in advance of its expiration date and entered into a supplier services agreement with Butterblu, pursuant to which Butterblu provides certain design, manufacturing, sales and marketing services to us. As part of the supplier services agreement, we acquired all of Butterblu's existing inventory of Honest baby apparel products for $5.5 million, and have agreed to purchase and own inventory for the term of the supplier service agreement which is until December 31, 2026, unless terminated sooner. We entered into this supplier services agreement to create growth opportunities and synergies between our portfolio of products. Butterblu continues to operate and maintain our baby apparel offerings independently through the honestbabyclothing.com website under our supplier services agreement. Honest Baby Clothing® sales are now reflected as revenue in our consolidated statements of operations. For the year ended December 31, 2022, we recognized $10.0 million in revenue, excluding royalty revenue, which was included in our Household and Wellness product category, and $7.7 million of associated cost of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selling, general and administrative, marketing and research and development expenses.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56"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third-party product development and marketing costs, depreciation and amortization and overhead costs. We expect our general and administrative expenses to increase in absolute dollars as we continue to grow our business and organizational capabilities. Since our IPO, we have also incurred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product categories and hero products with key retailers, as well as expand brand awareness, introduce new product innovation across multiple product categories and implement new marketing strategies in the United States. As we launch new products, we expect to make marketing investments to build brand awareness, drive trial and set the foundation for future revenue growth.</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IPO-Related Expenses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After the closing of the IPO, we paid $9.5 million in bonuses to certain employees, including members of management, excluding in each case payroll taxes and expenses. The bonus was recognized in selling, general and administrative and research and development expense. In addition, upon the effective date of the registration statement for our IPO in May 2021, we recognized stock-based compensation expense in selling, general and administrative and research and development expenses of $3.1 million related to certain performance and market-based stock options and $0.2 million related to certain restricted stock units that vested upon this liquidity event.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7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consists primarily of interest income earned on our short-term investments and our cash and cash equivalents balances. Prior to the adoption of Financial Accounting Standards Board Accounting Standard Update No 2016-02, </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on January 1, 2022, interest expense consisted primarily of the portion of rent payments recognized as imputed interest expense under build-to-suit accounting associated with our leasing arrangements.</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our foreign currency exchange gains, losses relating to transactions denominated in currencies other than the U.S. dollar and contingent gains. We expect our foreign currency gains and losses to continue to fluctuate in the future due to changes in both the volume of foreign currency transactions and foreign currency exchange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1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each of the periods indicated: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80" w:type="dxa"/>
            <w:vAlign w:val="bottom"/>
            <w:gridSpan w:val="6"/>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109,172</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84,059</w:t>
            </w:r>
          </w:p>
        </w:tc>
        <w:tc>
          <w:tcPr>
            <w:tcW w:w="0" w:type="dxa"/>
            <w:vAlign w:val="bottom"/>
          </w:tcPr>
          <w:p>
            <w:pPr>
              <w:spacing w:after="0"/>
              <w:rPr>
                <w:sz w:val="1"/>
                <w:szCs w:val="1"/>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54,260</w:t>
            </w:r>
          </w:p>
        </w:tc>
        <w:tc>
          <w:tcPr>
            <w:tcW w:w="0" w:type="dxa"/>
            <w:vAlign w:val="bottom"/>
          </w:tcPr>
          <w:p>
            <w:pPr>
              <w:spacing w:after="0"/>
              <w:rPr>
                <w:sz w:val="1"/>
                <w:szCs w:val="1"/>
                <w:color w:val="auto"/>
              </w:rPr>
            </w:pPr>
          </w:p>
        </w:tc>
      </w:tr>
      <w:tr>
        <w:trPr>
          <w:trHeight w:val="297"/>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0" w:type="dxa"/>
            <w:vAlign w:val="bottom"/>
          </w:tcPr>
          <w:p>
            <w:pPr>
              <w:spacing w:after="0"/>
              <w:rPr>
                <w:sz w:val="1"/>
                <w:szCs w:val="1"/>
                <w:color w:val="auto"/>
              </w:rPr>
            </w:pPr>
          </w:p>
        </w:tc>
      </w:tr>
      <w:tr>
        <w:trPr>
          <w:trHeight w:val="21"/>
        </w:trPr>
        <w:tc>
          <w:tcPr>
            <w:tcW w:w="7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______________</w:t>
            </w: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7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706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stock-based compensation expense as follows: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0" w:type="dxa"/>
            <w:vAlign w:val="bottom"/>
          </w:tcPr>
          <w:p>
            <w:pPr>
              <w:spacing w:after="0"/>
              <w:rPr>
                <w:sz w:val="1"/>
                <w:szCs w:val="1"/>
                <w:color w:val="auto"/>
              </w:rPr>
            </w:pP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1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14"/>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a percentage of revenue)</w:t>
            </w:r>
          </w:p>
        </w:tc>
        <w:tc>
          <w:tcPr>
            <w:tcW w:w="0" w:type="dxa"/>
            <w:vAlign w:val="bottom"/>
          </w:tcPr>
          <w:p>
            <w:pPr>
              <w:spacing w:after="0"/>
              <w:rPr>
                <w:sz w:val="1"/>
                <w:szCs w:val="1"/>
                <w:color w:val="auto"/>
              </w:rPr>
            </w:pPr>
          </w:p>
        </w:tc>
      </w:tr>
      <w:tr>
        <w:trPr>
          <w:trHeight w:val="27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100.0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xml:space="preserve">(15.6) </w:t>
            </w:r>
            <w:r>
              <w:rPr>
                <w:rFonts w:ascii="Arial" w:cs="Arial" w:eastAsia="Arial" w:hAnsi="Arial"/>
                <w:sz w:val="18"/>
                <w:szCs w:val="18"/>
                <w:color w:val="auto"/>
                <w:w w:val="99"/>
              </w:rPr>
              <w:t>%</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(12.1)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 Amounts may not sum due to rounding.</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 Ended December 31, 2022 and 2021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Product Category</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Diapers and Wipes</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200,429</w:t>
            </w:r>
          </w:p>
        </w:tc>
        <w:tc>
          <w:tcPr>
            <w:tcW w:w="20" w:type="dxa"/>
            <w:vAlign w:val="bottom"/>
          </w:tcPr>
          <w:p>
            <w:pPr>
              <w:spacing w:after="0"/>
              <w:rPr>
                <w:sz w:val="23"/>
                <w:szCs w:val="23"/>
                <w:color w:val="auto"/>
              </w:rPr>
            </w:pP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200,923</w:t>
            </w:r>
          </w:p>
        </w:tc>
        <w:tc>
          <w:tcPr>
            <w:tcW w:w="10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Skin and Personal Care</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(12,381)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Household and Wellness</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7,887</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10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7"/>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Channel</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141,403</w:t>
            </w:r>
          </w:p>
        </w:tc>
        <w:tc>
          <w:tcPr>
            <w:tcW w:w="20" w:type="dxa"/>
            <w:vAlign w:val="bottom"/>
          </w:tcPr>
          <w:p>
            <w:pPr>
              <w:spacing w:after="0"/>
              <w:rPr>
                <w:sz w:val="23"/>
                <w:szCs w:val="23"/>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10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(16,143)</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7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11,155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20" w:type="dxa"/>
            <w:vAlign w:val="bottom"/>
          </w:tcPr>
          <w:p>
            <w:pPr>
              <w:spacing w:after="0"/>
              <w:rPr>
                <w:sz w:val="22"/>
                <w:szCs w:val="22"/>
                <w:color w:val="auto"/>
              </w:rPr>
            </w:pP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10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(4,988)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Revenue was $313.7 million for the year ended December 31, 2022, as compared to $318.6 million for the year ended December 31, 2021. The decrease of $5.0 million, or 1.6%, was primarily due to a $12.4 million decrease in revenue from Skin and Personal Care products and a $0.5 million decrease in revenue from Diapers and Wipes, offset by a $7.9 million increase in revenue from Household and Wellness products. The revenue decrease from Skin and Personal Care was primarily driven by a decrease of $8.5 million in revenue related to a rotational program with a key club retailer that occurred during the year ended December 31, 2021 and did not occur during the year ended December 31, 2022 and a $4.7 million in liquidation sales in advance of our </w:t>
      </w:r>
      <w:r>
        <w:rPr>
          <w:rFonts w:ascii="Times New Roman" w:cs="Times New Roman" w:eastAsia="Times New Roman" w:hAnsi="Times New Roman"/>
          <w:sz w:val="18"/>
          <w:szCs w:val="18"/>
          <w:i w:val="1"/>
          <w:iCs w:val="1"/>
          <w:color w:val="auto"/>
        </w:rPr>
        <w:t>Beauty Restage</w:t>
      </w:r>
      <w:r>
        <w:rPr>
          <w:rFonts w:ascii="Times New Roman" w:cs="Times New Roman" w:eastAsia="Times New Roman" w:hAnsi="Times New Roman"/>
          <w:sz w:val="18"/>
          <w:szCs w:val="18"/>
          <w:color w:val="auto"/>
        </w:rPr>
        <w:t xml:space="preserve"> to clear out legacy inventory, partially offset by higher consumption, price increases and distribution gains. The revenue decrease in Diapers and Wipes was primarily driven by a decrease in diaper revenue due to lower traffic, lower bundle subscribers and decreased revenue in our Digital channel as the price of digital marketing escalated and impacted our ability to cost-effectively drive traffic to our Honest.com and digital customers and led us </w:t>
      </w:r>
      <w:r>
        <w:rPr>
          <w:rFonts w:ascii="Times New Roman" w:cs="Times New Roman" w:eastAsia="Times New Roman" w:hAnsi="Times New Roman"/>
          <w:sz w:val="18"/>
          <w:szCs w:val="18"/>
          <w:color w:val="231F20"/>
        </w:rPr>
        <w:t>to shift our advertising budget toward our Retail channel</w:t>
      </w:r>
      <w:r>
        <w:rPr>
          <w:rFonts w:ascii="Times New Roman" w:cs="Times New Roman" w:eastAsia="Times New Roman" w:hAnsi="Times New Roman"/>
          <w:sz w:val="18"/>
          <w:szCs w:val="18"/>
          <w:color w:val="auto"/>
        </w:rPr>
        <w:t>, partially offset by an increase in our wipes revenue, price increases in both Diapers and Wipes and distribution gains. The revenue increase in Household and Wellness was primarily driven by $10.0 million in revenue from Honest Baby</w:t>
      </w:r>
    </w:p>
    <w:p>
      <w:pPr>
        <w:sectPr>
          <w:pgSz w:w="11900" w:h="16838" w:orient="portrait"/>
          <w:cols w:equalWidth="0" w:num="1">
            <w:col w:w="11120"/>
          </w:cols>
          <w:pgMar w:left="320" w:top="1390"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90" w:right="459" w:bottom="0" w:gutter="0" w:footer="0" w:header="0"/>
          <w:type w:val="continuous"/>
        </w:sectPr>
      </w:pPr>
    </w:p>
    <w:bookmarkStart w:id="69" w:name="page70"/>
    <w:bookmarkEnd w:id="69"/>
    <w:p>
      <w:pPr>
        <w:ind w:right="60"/>
        <w:spacing w:after="0" w:line="282" w:lineRule="auto"/>
        <w:rPr>
          <w:sz w:val="20"/>
          <w:szCs w:val="20"/>
          <w:color w:val="auto"/>
        </w:rPr>
      </w:pPr>
      <w:r>
        <w:rPr>
          <w:rFonts w:ascii="Times New Roman" w:cs="Times New Roman" w:eastAsia="Times New Roman" w:hAnsi="Times New Roman"/>
          <w:sz w:val="18"/>
          <w:szCs w:val="18"/>
          <w:color w:val="auto"/>
        </w:rPr>
        <w:t>Clothing as a result of our transition from a license agreement to a supplier services agreement with Butterblu, partially offset by a $2.3 million decrease in sanitization and disinfecting products revenue.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pricing increases taken in the first half of 2022 contributed $10.3 million to revenue for the year ended December 31, 2022.</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Revenue increased in our Retail channel for the year ended December 31, 2022, compared to the year ended December 31, 2021, primarily due to an increase in revenue across product categories related to new retail distribution gains and strong consumption growth at existing and new retail customers, partially offset by two rotational programs (sanitization and disinfecting and baby and personal care) with a key club customer during the year ended December 31, 2021, that did not occur during the year ended December 31, 2022. The decrease in revenue in our Digital channel for the year ended December 31, 2022, compared to the year ended December 31, 2021, was primarily due to higher digital marketing costs which impacted the ability to cost-effectively drive traffic to Honest.com and our digital customers, as well as a key digital customer that reduced its weeks of supply of inventory and experienced lower diaper and wipes bundle subscribers.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80" w:type="dxa"/>
            <w:vAlign w:val="bottom"/>
            <w:gridSpan w:val="9"/>
          </w:tcPr>
          <w:p>
            <w:pPr>
              <w:ind w:left="8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209,467</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7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109,172</w:t>
            </w: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 was $221.3 million for the year ended December 31, 2022, as compared to $209.5 million for the year ended December 31, 2021. The increase of $11.9 million, or 5.7%, was primarily due to higher fulfillment costs, especially in transportation, freight and warehouse labor costs, higher product costs, driven by increased product costs for our diapers and personal care products, higher revenue from Honest Baby Clothing, as well as rent expense related to our warehouse facility due to the derecognition of our built-to-suit lease as a result of the adoption of ASC 842 (previously recognized in interest expense). Cost of revenue as a percentage of revenue increased by 483 basis points primarily due to higher input costs, along with higher trade promotion levels as compared to the year ended December 31, 2021, partially offset by pricing increases implemented in the first half of 2022 and cost reduction projects.</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Gross profit was $92.3 million for the year ended December 31, 2022, as compared to $109.2 million for the year ended December 31, 2021. The decrease of $16.9 million, or 15.4%, was primarily due to the decrease in revenue in our Skin and Personal Care product category, higher input costs, including higher fluff pulp costs and higher raw material prices from manufacturers, and higher fulfillment costs, higher levels of promotional spending and fixed cost deleverage, partially offset by the increase in revenue in our Household and Wellness product category, pricing increases implemented in the first half of 2022 and cost savings.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1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58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0" w:type="dxa"/>
            <w:vAlign w:val="bottom"/>
          </w:tcPr>
          <w:p>
            <w:pPr>
              <w:spacing w:after="0"/>
              <w:rPr>
                <w:sz w:val="1"/>
                <w:szCs w:val="1"/>
                <w:color w:val="auto"/>
              </w:rPr>
            </w:pPr>
          </w:p>
        </w:tc>
      </w:tr>
      <w:tr>
        <w:trPr>
          <w:trHeight w:val="2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were $87.3 million for the year ended December 31, 2022, as compared to $84.1 million for the year ended December 31, 2021. The increase of $3.3 million, or 3.9%, was primarily due to $5.8 million in CEO transition expenses, a $3.9 million increase in legal fees, a $2.0 million increase in service fees related to the Honest Baby Clothing servicing agreement, a $1.3 million in advanced shipping vendor violation charges related to implementation of our new order management system and a $1.1 million increase in donation expense, partially offset by non-recurring IPO related expenses for the year ended December 31, 2021 that did not occur during the year ended December 31, 2022. The IPO-related expenses during the year ended December 31, 2021 included $9.1 million in bonus payments made to certain employees, including members of management, excluding payroll taxes and expenses, $1.9 million in stock-based compensation expense related to the vesting of performance based awards and $1.0 million in accounting expenses related to the IPO during the year ended December 31, 2021.</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70" w:name="page71"/>
    <w:bookmarkEnd w:id="70"/>
    <w:tbl>
      <w:tblPr>
        <w:tblLayout w:type="fixed"/>
        <w:tblInd w:w="20" w:type="dxa"/>
        <w:tblCellMar>
          <w:top w:w="0" w:type="dxa"/>
          <w:left w:w="0" w:type="dxa"/>
          <w:bottom w:w="0" w:type="dxa"/>
          <w:right w:w="0" w:type="dxa"/>
        </w:tblCellMar>
      </w:tblPr>
      <w:tr>
        <w:trPr>
          <w:trHeight w:val="238"/>
        </w:trPr>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Marketing expenses were $47.8 million for the year ended December 31, 2022, as compared to $54.3 million for the year ended December 31, 2021. The decrease of $6.5 million, or 11.9%, was primarily due to a strategic shift in digital marketing spend in the face of higher advertising costs to our Retail channel reflecting lower marketing spend of $4.8 million at Honest.com and $2.5 million with a key digital customer, offset by an increase in marketing expenses in our Retail channel.</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were $7.0 million for the year ended December 31, 2022, as compared to $7.7 million for the year ended December 31, 2021. The decrease of $0.7 million, or 8.9%, was primarily related to a $0.5 million decrease in stock-based compensation expense.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6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0" w:type="dxa"/>
            <w:vAlign w:val="bottom"/>
          </w:tcPr>
          <w:p>
            <w:pPr>
              <w:spacing w:after="0"/>
              <w:rPr>
                <w:sz w:val="1"/>
                <w:szCs w:val="1"/>
                <w:color w:val="auto"/>
              </w:rPr>
            </w:pPr>
          </w:p>
        </w:tc>
      </w:tr>
      <w:tr>
        <w:trPr>
          <w:trHeight w:val="27"/>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 %</w:t>
            </w:r>
          </w:p>
        </w:tc>
        <w:tc>
          <w:tcPr>
            <w:tcW w:w="0" w:type="dxa"/>
            <w:vAlign w:val="bottom"/>
          </w:tcPr>
          <w:p>
            <w:pPr>
              <w:spacing w:after="0"/>
              <w:rPr>
                <w:sz w:val="1"/>
                <w:szCs w:val="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 %</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Interest and other income, net were $0.9 million for the year ended December 31, 2022, as compared to interest and other expense, net of $1.8 million for the year ended December 31, 2021. The increase of $2.6 million, or 149.0%, was primarily due to a decrease in interest expense related to the derecognition of our built-to-suit lease as a result of the adoption of ASC 842, as well as an increase in interest earned on investments. Under the new lease accounting, all lease expenses related to the built-to-suit lease are included in cost of revenue. Additionally, during the year ended December 31, 2022, $0.7 million of other income was related to the recognition of taxes and interest to be refunded from the Nevada Department of Taxation legal settlement. Refer to Note 11, “Commitments and Contingencies,” to the consolidated financial statements included elsewhere in this Annual Report on Form 10-K for more information on the legal settlement.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net losses and net cash outflows from operating activities since our inception. Prior to our IPO, our available liquidity and operations were financed primarily through the sale of redeemable convertible preferred stock, equity securities and to a lesser extent, debt financing. Upon the closing of our IPO, we received net proceeds of approximately $91.0 million, after deducting underwriting discounts and commissions of $6.7 million and offering expenses of $5.5 million. As of December 31, 2022, we had $9.5 million of cash and cash equivalents and $5.7 million of short-term investments. Although we are dependent on our ability to generate sufficient cash flow from operations or raise capital to achieve our business objectives, we believe our existing cash, cash equivalents and short-term investments will be sufficient to meet our short-term and long-term working capital and capital expenditure needs, given our plan to generate positive cash flow from reducing our inventory and the availability under our 2023 Credit Facility. Refer to 17, "Subsequent Events" included in the consolidated financial statements for more information on the 2023 Credit Facility.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sectPr>
          <w:pgSz w:w="11900" w:h="16838" w:orient="portrait"/>
          <w:cols w:equalWidth="0" w:num="1">
            <w:col w:w="11220"/>
          </w:cols>
          <w:pgMar w:left="320" w:top="1170" w:right="359" w:bottom="11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144"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Facility</w:t>
      </w:r>
    </w:p>
    <w:p>
      <w:pPr>
        <w:spacing w:after="0" w:line="25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In April 2021, we entered into a first lien credit agreement (the “2021 Credit Facility”), with JPMorgan Chase Bank, N.A., as administrative agent and lender, and the other lenders party thereto, which provided for a $35.0 million revolving credit facility that matures on April 30, 2026. The 2021 Credit Facility included a subfacility that provided for the issuance of letters of credit in an amount of up to $10.0 million at any time outstanding, which reduced the amount available under the 2021 Credit Facility.</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2022, there were outstanding standby letters of credit of $4.8 million related to lease obligations with $30.2 million available to be drawn upon. The 2021 Credit Facility was subject to customary fees for loan facilities of this type, including a commitment fee based on the average daily undrawn portion of the revolving credit facility. We recognized the commitment fee as incurred in interest and other income (expense), net in the consolidated statements of comprehensive loss. For the year ended December 31, 2022 and 2021, the commitment fee incurred was immaterial. The interest rate applicable to the 2021 Credit Facility was, at our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there was no outstanding balance under the 2021 Credit Facility we were in compliance with the covenants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20" w:lineRule="exact"/>
        <w:rPr>
          <w:sz w:val="20"/>
          <w:szCs w:val="20"/>
          <w:color w:val="auto"/>
        </w:rPr>
      </w:pPr>
    </w:p>
    <w:p>
      <w:pPr>
        <w:ind w:right="60" w:firstLine="648"/>
        <w:spacing w:after="0" w:line="296" w:lineRule="auto"/>
        <w:rPr>
          <w:sz w:val="20"/>
          <w:szCs w:val="20"/>
          <w:color w:val="auto"/>
        </w:rPr>
      </w:pPr>
      <w:r>
        <w:rPr>
          <w:rFonts w:ascii="Times New Roman" w:cs="Times New Roman" w:eastAsia="Times New Roman" w:hAnsi="Times New Roman"/>
          <w:sz w:val="17"/>
          <w:szCs w:val="17"/>
          <w:color w:val="auto"/>
        </w:rPr>
        <w:t>In January 2023, upon entry into the 2023 Credit Facility, the Company’s 2021 Credit Facility was terminated. Refer to Note 8, "Credit Facilities" and 17, "Subsequent Events" included in the consolidated financial statements for more information on the termination of the 2021 Credit Facility.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which reduced the amount available under the 2021 Credit Facility. Availability of the 2023 Credit Facility will be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 rate applicable to the 2023 Credit Facility will be, at the Company’s option, either (a) the Adjusted Term SOFR rate (subject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 floor), plus a margin ranging from 1.50% to 2.25% or (b) the CB floating rate, (i) plus a margin of 0.25% or (ii) minus a margin ranging from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0.50%. The margin will be based upon the Company’s fixed charge coverage ratio. The CB floating rate is the highest of (a) the Wall Street Journal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and (b) 2.50%.</w:t>
      </w:r>
    </w:p>
    <w:p>
      <w:pPr>
        <w:spacing w:after="0" w:line="23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2023 Credit Facility will terminate and borrowings thereunder, if any, will be due in full on April 30, 2026. Debt under the 2023 Credit Facility will be guaranteed by substantially all of the Company’s material domestic subsidiaries and will be secured by substantially all of the Company’s and such subsidiaries’ assets.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certain affirmative and negative covenants including the requirement that it maintains a minimum total fixed charge coverage ratio during the periods set forth in the 2023 Credit Facility and also includes customary events of default. The 2023 Credit Facility contains covenants that restrict, among other things, the Company's ability to sell assets, make investments and acquisitions, grant liens, change the Company’s lines of business, pay dividends and make certain other restricted payments. Failure to do so, unless waived by the lenders under the 2023 Credit Facility pursuant to its terms, as amended, would result in an event of default under the 2023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(76,275)</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(38,154)</w:t>
            </w:r>
          </w:p>
        </w:tc>
        <w:tc>
          <w:tcPr>
            <w:tcW w:w="0" w:type="dxa"/>
            <w:vAlign w:val="bottom"/>
          </w:tcPr>
          <w:p>
            <w:pPr>
              <w:spacing w:after="0"/>
              <w:rPr>
                <w:sz w:val="1"/>
                <w:szCs w:val="1"/>
                <w:color w:val="auto"/>
              </w:rPr>
            </w:pPr>
          </w:p>
        </w:tc>
      </w:tr>
      <w:tr>
        <w:trPr>
          <w:trHeight w:val="27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7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60,368</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from the sales of our products through Digital and Retail channels to our consumers and customers.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20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$76.3 million for the year ended December 31, 2022 was primarily due to net loss of $49.0 million, non-cash adjustments of $24.2 million and a net decrease in cash related to changes in operating assets and liabilities of $51.4 million. Non-cash adjustments primarily consisted of stock-based compensation of $15.1 million, amortization of operating ROU assets of $6.2 million and depreciation and amortization of $2.8 million. Changes in cash flows related to operating assets and liabilities primarily consisted of a $40.0 million increase in inventory reflecting cost inflation (inclusive of the purchase of $5.5 million of Honest Baby Clothing inventory from Butterblu), an increase in weeks of supply due to longer lead times, as well as in advance of new distribution and an additional investment in advance of supplier price increases that took effect in early 2023, a $10.6 million increase in accounts receivable due to growth in Retail channel revenue, a $4.4 million increase in prepaid expenses and other assets due to timing of payments, offset by a $10.4 million use of cash due to the timing of payments associated with our accounts payable, accrued expenses and a $7.0 million use of cash due to operating lease obligations.</w:t>
      </w:r>
    </w:p>
    <w:p>
      <w:pPr>
        <w:spacing w:after="0" w:line="21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$38.2 million for the year ended December 31, 2021 was primarily due to net loss of $38.7 million, non-cash adjustments of $21.3 million and a net decrease in cash related to changes in operating assets and liabilities of $20.8 million. Non-cash adjustments primarily consisted of stock-based compensation of $16.8 million and depreciation and amortization of $4.1 million. Changes in cash flows related to operating assets and liabilities primarily consisted of a $9.0 million increase in accounts receivable due to higher revenue from retail customers, $6.7 million use of cash due to the timing of payments associated with our accounts payable and operating leasing obligations, a $6.1 million increase in prepaid expenses and other assets due to timing of payments, as well as the non-monetary sale of our legacy beauty inventory for future marketing and transportation credits and a $1.0 million decrease in inventory due to timing of inventory purchases.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$35.0 million for the year ended December 31, 2022 was due to purchases of short-term investments of $12.8 million, offset by proceeds from the maturities of short-term investments of $49.4 million.</w:t>
      </w:r>
    </w:p>
    <w:p>
      <w:pPr>
        <w:spacing w:after="0" w:line="20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$8.6 million for the year ended December 31, 2021 was due to purchases of short-term investments of $65.3 million, offset by proceeds from the sales and maturities of short-term investments of $27.4 million and $29.5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consisted of proceeds from sales of securities, payment of offering costs, proceeds from stock option award exercises and principal payments of financing lease obligations.</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$38.4 thousand for the year ended December 31, 2022 primarily consisted of proceeds from stock option exercises and the 2021 ESPP, partially offset by principal payments of financing lease obligations.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3" w:name="page74"/>
    <w:bookmarkEnd w:id="73"/>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$60.4 million for the year ended December 31, 2021 primarily consisted of proceeds from our IPO of $96.5 million, net of underwriting discounts and commissions and proceeds from the exercise of stock options of $5.7 million, offset by dividend payments of $35.0 million and payments of offering costs in connection with our IPO of $5.5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2021, our board of directors declared a cash dividend of $35.0 million to the holders of record of our common stock and our redeemable convertible preferred stock as of May 3, 2021, which we paid on June 29,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r>
        <w:rPr>
          <w:rFonts w:ascii="Times New Roman" w:cs="Times New Roman" w:eastAsia="Times New Roman" w:hAnsi="Times New Roman"/>
          <w:sz w:val="18"/>
          <w:szCs w:val="18"/>
          <w:color w:val="231F20"/>
        </w:rPr>
        <w:t>Refer to Note</w:t>
      </w:r>
      <w:r>
        <w:rPr>
          <w:rFonts w:ascii="Times New Roman" w:cs="Times New Roman" w:eastAsia="Times New Roman" w:hAnsi="Times New Roman"/>
          <w:sz w:val="18"/>
          <w:szCs w:val="18"/>
          <w:color w:val="auto"/>
        </w:rPr>
        <w:t xml:space="preserve"> 17, "Subsequent Events" </w:t>
      </w:r>
      <w:r>
        <w:rPr>
          <w:rFonts w:ascii="Times New Roman" w:cs="Times New Roman" w:eastAsia="Times New Roman" w:hAnsi="Times New Roman"/>
          <w:sz w:val="18"/>
          <w:szCs w:val="18"/>
          <w:color w:val="231F20"/>
        </w:rPr>
        <w:t>included in these consolidated financial statements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more information </w:t>
      </w:r>
      <w:r>
        <w:rPr>
          <w:rFonts w:ascii="Times New Roman" w:cs="Times New Roman" w:eastAsia="Times New Roman" w:hAnsi="Times New Roman"/>
          <w:sz w:val="18"/>
          <w:szCs w:val="18"/>
          <w:color w:val="000000"/>
        </w:rPr>
        <w:t>on the 2023 Credit Facility.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prepare and present our consolidated financial statements in accordance with GAAP. However, management believes that adjusted EBITDA, a non-GAAP financial measure, provides investors with additional useful information in evaluating our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 adjusted EBITDA as net income (loss), adjusted to exclude: (1) interest and other (income) expense, net; (2) income tax provision;</w:t>
      </w:r>
    </w:p>
    <w:p>
      <w:pPr>
        <w:spacing w:after="0" w:line="27" w:lineRule="exact"/>
        <w:rPr>
          <w:sz w:val="20"/>
          <w:szCs w:val="20"/>
          <w:color w:val="auto"/>
        </w:rPr>
      </w:pPr>
    </w:p>
    <w:p>
      <w:pPr>
        <w:jc w:val="both"/>
        <w:ind w:right="60" w:firstLine="8"/>
        <w:spacing w:after="0" w:line="255"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(4) stock-based compensation expense, including payroll tax; (5) the IPO bonus in the second quarter of 2021, including associated payroll taxes and expenses, and third-party costs associated with our IPO in 2021; (6) litigation and settlement fees associated with certain non-ordinary course securities litigation claims; and (7) CEO transition expenses.</w:t>
      </w:r>
    </w:p>
    <w:p>
      <w:pPr>
        <w:spacing w:after="0" w:line="21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such as CEO transition expenses.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stated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adjusted EBITDA, for each of the periods presented:</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270"/>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0" w:type="dxa"/>
            <w:vAlign w:val="bottom"/>
          </w:tcPr>
          <w:p>
            <w:pPr>
              <w:spacing w:after="0"/>
              <w:rPr>
                <w:sz w:val="1"/>
                <w:szCs w:val="1"/>
                <w:color w:val="auto"/>
              </w:rPr>
            </w:pPr>
          </w:p>
        </w:tc>
      </w:tr>
      <w:tr>
        <w:trPr>
          <w:trHeight w:val="30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IPO and other transaction-related expenses</w:t>
            </w:r>
            <w:r>
              <w:rPr>
                <w:rFonts w:ascii="Times New Roman" w:cs="Times New Roman" w:eastAsia="Times New Roman" w:hAnsi="Times New Roman"/>
                <w:sz w:val="23"/>
                <w:szCs w:val="23"/>
                <w:color w:val="auto"/>
                <w:vertAlign w:val="superscript"/>
              </w:rPr>
              <w:t>(1)</w:t>
            </w:r>
          </w:p>
        </w:tc>
        <w:tc>
          <w:tcPr>
            <w:tcW w:w="420" w:type="dxa"/>
            <w:vAlign w:val="bottom"/>
          </w:tcPr>
          <w:p>
            <w:pPr>
              <w:spacing w:after="0"/>
              <w:rPr>
                <w:sz w:val="24"/>
                <w:szCs w:val="24"/>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litigation expense</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CEO transition expense</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expense related to stock-based compensation</w:t>
            </w:r>
          </w:p>
        </w:tc>
        <w:tc>
          <w:tcPr>
            <w:tcW w:w="4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w:t>
      </w:r>
    </w:p>
    <w:p>
      <w:pPr>
        <w:spacing w:after="0" w:line="20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1"/>
          <w:szCs w:val="11"/>
          <w:color w:val="auto"/>
        </w:rPr>
        <w:t>Includes IPO-related costs, including IPO bonus and transaction-related third-party expenses, which are generally incremental costs incurred associated with the preparation of the IPO.</w:t>
      </w:r>
    </w:p>
    <w:p>
      <w:pPr>
        <w:spacing w:after="0" w:line="21" w:lineRule="exact"/>
        <w:rPr>
          <w:sz w:val="20"/>
          <w:szCs w:val="20"/>
          <w:color w:val="auto"/>
        </w:rPr>
      </w:pPr>
    </w:p>
    <w:p>
      <w:pPr>
        <w:ind w:left="300" w:hanging="292"/>
        <w:spacing w:after="0"/>
        <w:tabs>
          <w:tab w:leader="none" w:pos="3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consulting fee, severance, and legal fees related to our former CEO, as well as recruiting fees, among other related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5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We lease warehouse and office facilities under operating and finance lease agreements. We have unconditional purchase commitments for software service subscriptions, advertising services and certain other services. </w:t>
      </w:r>
      <w:r>
        <w:rPr>
          <w:rFonts w:ascii="Times New Roman" w:cs="Times New Roman" w:eastAsia="Times New Roman" w:hAnsi="Times New Roman"/>
          <w:sz w:val="18"/>
          <w:szCs w:val="18"/>
          <w:color w:val="000000"/>
        </w:rPr>
        <w:t>See Note 11, “Commitments and Contingencies,” to the consolidated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financial statements included elsewhere in this Annual Report on Form 10-K for more information on our short-term and long-term leases and purchase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the consolidated financial statements included elsewhere in this Annual Report on Form 10-K for a discussion of recently issued accounting pronouncements not yet adopted and recently adopted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5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to the consolidated financial statements included elsewhere in this Annual Report on Form 10-K for a description of our other significant accounting policies. The preparation of our consolidated financial statements in conformity with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sale of our products through Digital and Retail channels in the following product categories: Diapers and Wipes, Skin and Personal Care and Household and Wellness. The Digital channel includes direct to the consumer sales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customers.</w:t>
      </w:r>
    </w:p>
    <w:p>
      <w:pPr>
        <w:spacing w:after="0" w:line="21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account for revenue contracts with customers by applying the following steps in accordance with Accounting Standard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contract, or contracts, with a customer</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Identification of the performance obligations in the contract</w:t>
      </w:r>
    </w:p>
    <w:p>
      <w:pPr>
        <w:sectPr>
          <w:pgSz w:w="11900" w:h="16838" w:orient="portrait"/>
          <w:cols w:equalWidth="0" w:num="1">
            <w:col w:w="11220"/>
          </w:cols>
          <w:pgMar w:left="320" w:top="1174" w:right="359" w:bottom="5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577" w:gutter="0" w:footer="0" w:header="0"/>
          <w:type w:val="continuous"/>
        </w:sectPr>
      </w:pPr>
    </w:p>
    <w:bookmarkStart w:id="75" w:name="page76"/>
    <w:bookmarkEnd w:id="75"/>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Determination of the transaction price</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Allocation of the transaction price to the performance obligations in the contract</w:t>
      </w:r>
    </w:p>
    <w:p>
      <w:pPr>
        <w:spacing w:after="0" w:line="10" w:lineRule="exact"/>
        <w:rPr>
          <w:rFonts w:ascii="Times New Roman" w:cs="Times New Roman" w:eastAsia="Times New Roman" w:hAnsi="Times New Roman"/>
          <w:sz w:val="20"/>
          <w:szCs w:val="20"/>
          <w:color w:val="auto"/>
        </w:rPr>
      </w:pPr>
    </w:p>
    <w:p>
      <w:pPr>
        <w:ind w:left="640" w:hanging="308"/>
        <w:spacing w:after="0" w:line="233" w:lineRule="auto"/>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Recognition of revenue when, or as, we satisfy a performance obligation</w:t>
      </w:r>
    </w:p>
    <w:p>
      <w:pPr>
        <w:spacing w:after="0" w:line="23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elected an accounting policy to record all shipping and handling costs as fulfillment costs. We accrue the cost of shipping and handling and recognize revenue and costs at the point in time that control of the goods transfers to the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Direct-to-Consumer</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direct sales to the consumer through our website, our performance obligation consists of the sale of finished goods to the consumer. Consumers may purchase products at any time or enter into subscription arrangements. Consumers place orders online in accordance with our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We recognize revenue when these gift cards are redeemed for products and the revenue recognition criteria as described above have been met.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Retail and Third-Party Ecommerce</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For retail and third-party ecommerce sales, our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we have the right to consideration as outlined in the contract. Payment terms vary among the retail and third-party ecommerce customers although terms generally include a requirement of payment within 30 to 45 days of product shipment.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Returns and Allowances</w:t>
      </w:r>
    </w:p>
    <w:p>
      <w:pPr>
        <w:spacing w:after="0" w:line="2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record estimated sales returns in the same period that the related revenue is recorded. We use the expected value method to estimate returns, taking into consideration assumptions of demand based on historical data and historical returns rates. When estimating returns, we also consider future business initiatives and relevant anticipated future events. Estimated sales returns and ultimate losses may vary from actual results, which could be material to the consolidated financial statements. The estimated sales returns allowance is recorded as a reduction in revenue.</w:t>
      </w:r>
    </w:p>
    <w:p>
      <w:pPr>
        <w:spacing w:after="0" w:line="21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we offer credits in the form of discounts, which are recorded as reductions in revenue and are allocated to products on a relative basis based on their respective standalone selling price.</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retail and third-party ecommerce sales, we routinely commit to one-time or ongoing sales incentive programs that may require us to estimate and accrue the expected costs of such programs, including trade promotion activities and contractual allowances. We record these programs as a reduction to revenue unless we receive a distinct benefit in exchange for credits claimed by the customer and can reasonably estimate the fair value of the benefit received, in which case we record the programs as marketing expense. We recognize a liability or a reduction to accounts receivable, and reduce revenue based on the estimated amount of credits that will be claimed by customers. An allowance is recorded as a reduction to accounts receivable if the customer can deduct the program amount from the outstanding invoice.</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are included in the transaction price to the extent that a significant reversal of revenue would not result once the uncertainty is resolved. In developing our estimate, we use historical analysis and contractual rates in determining the accruals for these activities. Also, we consider the susceptibility of the incentive to outside influences, the length of time until the uncertainty is resolved, and our experience with similar contracts. Judgment is required to determine the timing and amount of recognition of sales incentive program accruals which we estimate based on past practice with similar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Inventories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Inventories consists of finished goods and are stated at the lower of cost or estimated net realizable value. Cost is computed based on weighted-average historical costs. We allocate certain overhead costs to the carrying value of our finished goods. The carrying value of inventories is reduced for any excess and obsolete inventory. Excess and obsolete inventory</w:t>
      </w:r>
    </w:p>
    <w:p>
      <w:pPr>
        <w:sectPr>
          <w:pgSz w:w="11900" w:h="16838" w:orient="portrait"/>
          <w:cols w:equalWidth="0" w:num="1">
            <w:col w:w="11200"/>
          </w:cols>
          <w:pgMar w:left="32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type w:val="continuous"/>
        </w:sectPr>
      </w:pPr>
    </w:p>
    <w:bookmarkStart w:id="76" w:name="page77"/>
    <w:bookmarkEnd w:id="76"/>
    <w:p>
      <w:pPr>
        <w:ind w:right="140"/>
        <w:spacing w:after="0" w:line="282" w:lineRule="auto"/>
        <w:rPr>
          <w:sz w:val="20"/>
          <w:szCs w:val="20"/>
          <w:color w:val="auto"/>
        </w:rPr>
      </w:pPr>
      <w:r>
        <w:rPr>
          <w:rFonts w:ascii="Times New Roman" w:cs="Times New Roman" w:eastAsia="Times New Roman" w:hAnsi="Times New Roman"/>
          <w:sz w:val="18"/>
          <w:szCs w:val="18"/>
          <w:color w:val="auto"/>
        </w:rPr>
        <w:t>reductions are determined based on assumptions about future demand and sales prices, estimates of the impact of competition, and the age of inventory. If actual conditions are less favorable than those previously estimated by management, additional inventory write-downs could be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56" w:lineRule="exact"/>
        <w:rPr>
          <w:sz w:val="20"/>
          <w:szCs w:val="20"/>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employees and non-employees based on the grant-date fair value of stock awards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w:t>
      </w:r>
    </w:p>
    <w:p>
      <w:pPr>
        <w:spacing w:after="0" w:line="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determination of stock-based compensation cost is inherently uncertain and subjective and involves the application of valuation models and assumptions requiring the use of judgment. If factors change and different assumptions are used, stock-based compensation expense and net losses could be significantly different.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21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on deferred tax assets when it is determined that it is more likely than not that some portion or all of the net deferred tax assets will not be realized.</w:t>
      </w:r>
    </w:p>
    <w:p>
      <w:pPr>
        <w:spacing w:after="0" w:line="202"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We recognize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We recognize interest and penalties related to income tax matters in income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5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SEC rules and regulations, as a smaller reporting company, we are not required to provide the information required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gridSpan w:val="6"/>
          </w:tcPr>
          <w:p>
            <w:pPr>
              <w:ind w:left="11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57"/>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238)</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0000FF"/>
                <w:w w:val="99"/>
              </w:rPr>
              <w:t>76</w:t>
            </w:r>
          </w:p>
        </w:tc>
      </w:tr>
      <w:tr>
        <w:trPr>
          <w:trHeight w:val="270"/>
        </w:trPr>
        <w:tc>
          <w:tcPr>
            <w:tcW w:w="2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420" w:type="dxa"/>
            <w:vAlign w:val="bottom"/>
            <w:tcBorders>
              <w:top w:val="single" w:sz="8" w:color="0000FF"/>
            </w:tcBorders>
            <w:gridSpan w:val="5"/>
          </w:tcPr>
          <w:p>
            <w:pPr>
              <w:spacing w:after="0"/>
              <w:rPr>
                <w:sz w:val="23"/>
                <w:szCs w:val="23"/>
                <w:color w:val="auto"/>
              </w:rPr>
            </w:pPr>
          </w:p>
        </w:tc>
        <w:tc>
          <w:tcPr>
            <w:tcW w:w="110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20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77</w:t>
            </w:r>
          </w:p>
        </w:tc>
        <w:tc>
          <w:tcPr>
            <w:tcW w:w="80" w:type="dxa"/>
            <w:vAlign w:val="bottom"/>
          </w:tcPr>
          <w:p>
            <w:pPr>
              <w:spacing w:after="0"/>
              <w:rPr>
                <w:sz w:val="23"/>
                <w:szCs w:val="23"/>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398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gridSpan w:val="6"/>
          </w:tcPr>
          <w:p>
            <w:pPr>
              <w:jc w:val="center"/>
              <w:ind w:left="1026"/>
              <w:spacing w:after="0"/>
              <w:rPr>
                <w:sz w:val="20"/>
                <w:szCs w:val="20"/>
                <w:color w:val="auto"/>
              </w:rPr>
            </w:pPr>
            <w:r>
              <w:rPr>
                <w:rFonts w:ascii="Times New Roman" w:cs="Times New Roman" w:eastAsia="Times New Roman" w:hAnsi="Times New Roman"/>
                <w:sz w:val="20"/>
                <w:szCs w:val="20"/>
                <w:color w:val="0000FF"/>
                <w:w w:val="99"/>
              </w:rPr>
              <w:t>78</w:t>
            </w:r>
          </w:p>
        </w:tc>
      </w:tr>
      <w:tr>
        <w:trPr>
          <w:trHeight w:val="27"/>
        </w:trPr>
        <w:tc>
          <w:tcPr>
            <w:tcW w:w="288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360" w:type="dxa"/>
            <w:vAlign w:val="bottom"/>
            <w:gridSpan w:val="3"/>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gridSpan w:val="3"/>
            <w:shd w:val="clear" w:color="auto" w:fill="0000FF"/>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7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Redeemable Convertible Preferred Stock and Stockholders’ Equity (Deficit)</w:t>
            </w:r>
          </w:p>
        </w:tc>
        <w:tc>
          <w:tcPr>
            <w:tcW w:w="1100" w:type="dxa"/>
            <w:vAlign w:val="bottom"/>
          </w:tcPr>
          <w:p>
            <w:pPr>
              <w:spacing w:after="0"/>
              <w:rPr>
                <w:sz w:val="24"/>
                <w:szCs w:val="24"/>
                <w:color w:val="auto"/>
              </w:rPr>
            </w:pPr>
          </w:p>
        </w:tc>
        <w:tc>
          <w:tcPr>
            <w:tcW w:w="1480" w:type="dxa"/>
            <w:vAlign w:val="bottom"/>
            <w:gridSpan w:val="6"/>
          </w:tcPr>
          <w:p>
            <w:pPr>
              <w:jc w:val="center"/>
              <w:ind w:left="1026"/>
              <w:spacing w:after="0"/>
              <w:rPr>
                <w:sz w:val="20"/>
                <w:szCs w:val="20"/>
                <w:color w:val="auto"/>
              </w:rPr>
            </w:pPr>
            <w:r>
              <w:rPr>
                <w:rFonts w:ascii="Times New Roman" w:cs="Times New Roman" w:eastAsia="Times New Roman" w:hAnsi="Times New Roman"/>
                <w:sz w:val="20"/>
                <w:szCs w:val="20"/>
                <w:color w:val="0000FF"/>
                <w:w w:val="99"/>
              </w:rPr>
              <w:t>79</w:t>
            </w:r>
          </w:p>
        </w:tc>
      </w:tr>
      <w:tr>
        <w:trPr>
          <w:trHeight w:val="270"/>
        </w:trPr>
        <w:tc>
          <w:tcPr>
            <w:tcW w:w="2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740" w:type="dxa"/>
            <w:vAlign w:val="bottom"/>
            <w:tcBorders>
              <w:top w:val="single" w:sz="8" w:color="0000FF"/>
            </w:tcBorders>
            <w:gridSpan w:val="5"/>
          </w:tcPr>
          <w:p>
            <w:pPr>
              <w:spacing w:after="0"/>
              <w:rPr>
                <w:sz w:val="23"/>
                <w:szCs w:val="23"/>
                <w:color w:val="auto"/>
              </w:rPr>
            </w:pPr>
          </w:p>
        </w:tc>
        <w:tc>
          <w:tcPr>
            <w:tcW w:w="1200" w:type="dxa"/>
            <w:vAlign w:val="bottom"/>
            <w:gridSpan w:val="2"/>
          </w:tcPr>
          <w:p>
            <w:pPr>
              <w:spacing w:after="0"/>
              <w:rPr>
                <w:sz w:val="23"/>
                <w:szCs w:val="23"/>
                <w:color w:val="auto"/>
              </w:rPr>
            </w:pPr>
          </w:p>
        </w:tc>
        <w:tc>
          <w:tcPr>
            <w:tcW w:w="20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80</w:t>
            </w:r>
          </w:p>
        </w:tc>
        <w:tc>
          <w:tcPr>
            <w:tcW w:w="80" w:type="dxa"/>
            <w:vAlign w:val="bottom"/>
          </w:tcPr>
          <w:p>
            <w:pPr>
              <w:spacing w:after="0"/>
              <w:rPr>
                <w:sz w:val="23"/>
                <w:szCs w:val="23"/>
                <w:color w:val="auto"/>
              </w:rPr>
            </w:pPr>
          </w:p>
        </w:tc>
      </w:tr>
      <w:tr>
        <w:trPr>
          <w:trHeight w:val="20"/>
        </w:trPr>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460" w:type="dxa"/>
            <w:vAlign w:val="bottom"/>
            <w:gridSpan w:val="4"/>
          </w:tcPr>
          <w:p>
            <w:pPr>
              <w:spacing w:after="0"/>
              <w:rPr>
                <w:sz w:val="21"/>
                <w:szCs w:val="21"/>
                <w:color w:val="auto"/>
              </w:rPr>
            </w:pPr>
          </w:p>
        </w:tc>
        <w:tc>
          <w:tcPr>
            <w:tcW w:w="1400" w:type="dxa"/>
            <w:vAlign w:val="bottom"/>
            <w:gridSpan w:val="5"/>
          </w:tcPr>
          <w:p>
            <w:pPr>
              <w:jc w:val="center"/>
              <w:ind w:left="1086"/>
              <w:spacing w:after="0"/>
              <w:rPr>
                <w:sz w:val="20"/>
                <w:szCs w:val="20"/>
                <w:color w:val="auto"/>
              </w:rPr>
            </w:pPr>
            <w:r>
              <w:rPr>
                <w:rFonts w:ascii="Times New Roman" w:cs="Times New Roman" w:eastAsia="Times New Roman" w:hAnsi="Times New Roman"/>
                <w:sz w:val="18"/>
                <w:szCs w:val="18"/>
                <w:color w:val="0000FF"/>
                <w:w w:val="99"/>
              </w:rPr>
              <w:t>81</w:t>
            </w:r>
          </w:p>
        </w:tc>
        <w:tc>
          <w:tcPr>
            <w:tcW w:w="8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78" w:name="page79"/>
    <w:bookmarkEnd w:id="78"/>
    <w:p>
      <w:pPr>
        <w:spacing w:after="0" w:line="200" w:lineRule="exact"/>
        <w:rPr>
          <w:sz w:val="20"/>
          <w:szCs w:val="20"/>
          <w:color w:val="auto"/>
        </w:rPr>
      </w:pPr>
    </w:p>
    <w:p>
      <w:pPr>
        <w:spacing w:after="0" w:line="26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The Honest Company,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Honest Company, Inc. and its subsidiaries (the “Company”) as of December 31, 2022 and 2021, and the related consolidated statements of comprehensive loss, of redeemable convertible preferred stock and stockholders' equity (deficit)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fiscal year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ectPr>
          <w:pgSz w:w="11900" w:h="16838" w:orient="portrait"/>
          <w:cols w:equalWidth="0" w:num="1">
            <w:col w:w="11240"/>
          </w:cols>
          <w:pgMar w:left="320" w:top="1440" w:right="339" w:bottom="10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23" w:gutter="0" w:footer="0" w:header="0"/>
          <w:type w:val="continuous"/>
        </w:sectPr>
      </w:pPr>
    </w:p>
    <w:bookmarkStart w:id="79" w:name="page80"/>
    <w:bookmarkEnd w:id="79"/>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40" w:type="dxa"/>
            <w:vAlign w:val="bottom"/>
            <w:gridSpan w:val="4"/>
          </w:tcPr>
          <w:p>
            <w:pPr>
              <w:ind w:left="408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1"/>
                <w:szCs w:val="21"/>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50,791</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115,664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75,668</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p>
        </w:tc>
        <w:tc>
          <w:tcPr>
            <w:tcW w:w="220" w:type="dxa"/>
            <w:vAlign w:val="bottom"/>
          </w:tcPr>
          <w:p>
            <w:pPr>
              <w:spacing w:after="0"/>
              <w:rPr>
                <w:sz w:val="23"/>
                <w:szCs w:val="23"/>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93,491</w:t>
            </w: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$0.0001 par value, 20,000,000 shares authorized at December 31, 2022 and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none issued or outstanding as of December 31, 2022 and 2021</w:t>
            </w:r>
          </w:p>
        </w:tc>
        <w:tc>
          <w:tcPr>
            <w:tcW w:w="220" w:type="dxa"/>
            <w:vAlign w:val="bottom"/>
          </w:tcPr>
          <w:p>
            <w:pPr>
              <w:spacing w:after="0"/>
              <w:rPr>
                <w:sz w:val="20"/>
                <w:szCs w:val="20"/>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2022 and</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92,896,736 and 91,512,140 shares issued and outstanding as of December 31, 2022 and</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 respectively</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570,794</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0" w:type="dxa"/>
            <w:vAlign w:val="bottom"/>
          </w:tcPr>
          <w:p>
            <w:pPr>
              <w:spacing w:after="0"/>
              <w:rPr>
                <w:sz w:val="1"/>
                <w:szCs w:val="1"/>
                <w:color w:val="auto"/>
              </w:rPr>
            </w:pPr>
          </w:p>
        </w:tc>
      </w:tr>
      <w:tr>
        <w:trPr>
          <w:trHeight w:val="270"/>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272,597</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2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1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192,626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107,896</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71,253</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44,478</w:t>
            </w: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145,998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121,436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21"/>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3"/>
                <w:szCs w:val="23"/>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34,075,572</w:t>
            </w:r>
          </w:p>
        </w:tc>
        <w:tc>
          <w:tcPr>
            <w:tcW w:w="0" w:type="dxa"/>
            <w:vAlign w:val="bottom"/>
          </w:tcPr>
          <w:p>
            <w:pPr>
              <w:spacing w:after="0"/>
              <w:rPr>
                <w:sz w:val="1"/>
                <w:szCs w:val="1"/>
                <w:color w:val="auto"/>
              </w:rPr>
            </w:pPr>
          </w:p>
        </w:tc>
      </w:tr>
      <w:tr>
        <w:trPr>
          <w:trHeight w:val="54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short-term investments, net of taxes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(38,814)</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0" w:right="359" w:bottom="1440" w:gutter="0" w:footer="0" w:header="0"/>
        </w:sectPr>
      </w:pPr>
    </w:p>
    <w:bookmarkStart w:id="81" w:name="page82"/>
    <w:bookmarkEnd w:id="81"/>
    <w:p>
      <w:pPr>
        <w:ind w:left="4520"/>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40" w:type="dxa"/>
            <w:vAlign w:val="bottom"/>
          </w:tcPr>
          <w:p>
            <w:pPr>
              <w:spacing w:after="0"/>
              <w:rPr>
                <w:sz w:val="17"/>
                <w:szCs w:val="17"/>
                <w:color w:val="auto"/>
              </w:rPr>
            </w:pPr>
          </w:p>
        </w:tc>
        <w:tc>
          <w:tcPr>
            <w:tcW w:w="1900" w:type="dxa"/>
            <w:vAlign w:val="bottom"/>
            <w:tcBorders>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 Convertible</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90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180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84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1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60" w:type="dxa"/>
            <w:vAlign w:val="bottom"/>
            <w:gridSpan w:val="3"/>
          </w:tcPr>
          <w:p>
            <w:pPr>
              <w:jc w:val="center"/>
              <w:ind w:right="600"/>
              <w:spacing w:after="0" w:line="14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840" w:type="dxa"/>
            <w:vAlign w:val="bottom"/>
          </w:tcPr>
          <w:p>
            <w:pPr>
              <w:jc w:val="center"/>
              <w:ind w:right="59"/>
              <w:spacing w:after="0" w:line="145"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1"/>
                <w:szCs w:val="21"/>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21"/>
                <w:szCs w:val="21"/>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76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21"/>
                <w:szCs w:val="21"/>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49,100,928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34,033,074</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108,109</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(338,511)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(230,277)</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56"/>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2020</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49,100,928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34,089,186</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116,055</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(352,977)</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(236,825)</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 (38,679)</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1,170,803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 restricted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($0.42 per share)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pursuant to initial public offering,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of underwriting commissions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discounts and offering costs of</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$12.2 million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6,451,613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91,039</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Conversion of redeemable</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convertible preferred stock to</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upon initial public</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(49,100,928)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49,649,023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376,405</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withheld for tax</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 and net settlement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91,512,140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570,794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(391,656)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6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179,106</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(49,019)</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options exercised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0" w:type="dxa"/>
            <w:vAlign w:val="bottom"/>
          </w:tcPr>
          <w:p>
            <w:pPr>
              <w:spacing w:after="0"/>
              <w:rPr>
                <w:sz w:val="1"/>
                <w:szCs w:val="1"/>
                <w:color w:val="auto"/>
              </w:rPr>
            </w:pPr>
          </w:p>
        </w:tc>
      </w:tr>
      <w:tr>
        <w:trPr>
          <w:trHeight w:val="243"/>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 restricted stock</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1,253,348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issued under employee</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purchase plan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22"/>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withheld for tax</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 and net settlement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56"/>
        </w:trPr>
        <w:tc>
          <w:tcPr>
            <w:tcW w:w="2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ASC 842 transition effect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0" w:type="dxa"/>
            <w:vAlign w:val="bottom"/>
          </w:tcPr>
          <w:p>
            <w:pPr>
              <w:spacing w:after="0"/>
              <w:rPr>
                <w:sz w:val="1"/>
                <w:szCs w:val="1"/>
                <w:color w:val="auto"/>
              </w:rPr>
            </w:pP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92,896,736</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586,213</w:t>
            </w:r>
          </w:p>
        </w:tc>
        <w:tc>
          <w:tcPr>
            <w:tcW w:w="8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(439,830)</w:t>
            </w:r>
          </w:p>
        </w:tc>
        <w:tc>
          <w:tcPr>
            <w:tcW w:w="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146,360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70" w:right="3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(49,019)</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(14,466)</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7,905</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(24,129)</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long-term liabilities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56"/>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(76,275)</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(12,066)</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(22,462)</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53,528</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6"/>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34,963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(8,623)</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36,696</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initial public offering, net of underwriting commissions and</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discounts</w:t>
            </w:r>
          </w:p>
        </w:tc>
        <w:tc>
          <w:tcPr>
            <w:tcW w:w="1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initial public offering costs</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ESPP</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on finance lease liabilities</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0" w:type="dxa"/>
            <w:vAlign w:val="bottom"/>
          </w:tcPr>
          <w:p>
            <w:pPr>
              <w:spacing w:after="0"/>
              <w:rPr>
                <w:sz w:val="1"/>
                <w:szCs w:val="1"/>
                <w:color w:val="auto"/>
              </w:rPr>
            </w:pPr>
          </w:p>
        </w:tc>
      </w:tr>
      <w:tr>
        <w:trPr>
          <w:trHeight w:val="237"/>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60,368</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23,657</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Beginning of the period</w:t>
            </w:r>
          </w:p>
        </w:tc>
        <w:tc>
          <w:tcPr>
            <w:tcW w:w="1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13,543</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End of the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100" w:type="dxa"/>
            <w:vAlign w:val="bottom"/>
          </w:tcPr>
          <w:p>
            <w:pPr>
              <w:spacing w:after="0"/>
              <w:rPr>
                <w:sz w:val="22"/>
                <w:szCs w:val="22"/>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29,259</w:t>
            </w:r>
          </w:p>
        </w:tc>
        <w:tc>
          <w:tcPr>
            <w:tcW w:w="0" w:type="dxa"/>
            <w:vAlign w:val="bottom"/>
          </w:tcPr>
          <w:p>
            <w:pPr>
              <w:spacing w:after="0"/>
              <w:rPr>
                <w:sz w:val="1"/>
                <w:szCs w:val="1"/>
                <w:color w:val="auto"/>
              </w:rPr>
            </w:pP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current</w:t>
            </w:r>
          </w:p>
        </w:tc>
        <w:tc>
          <w:tcPr>
            <w:tcW w:w="13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56"/>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32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320" w:type="dxa"/>
            <w:vAlign w:val="bottom"/>
            <w:tcBorders>
              <w:top w:val="single" w:sz="8" w:color="auto"/>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9,517</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50,791</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37,200</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activities</w:t>
            </w: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Equipment acquired under capital lease obligations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Deferred IPO costs included in accounts payable and accrued expenses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included in accounts payable and accrued expenses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00"/>
          </w:cols>
          <w:pgMar w:left="340" w:top="1170" w:right="359" w:bottom="564"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0" w:right="359" w:bottom="564" w:gutter="0" w:footer="0" w:header="0"/>
          <w:type w:val="continuous"/>
        </w:sectPr>
      </w:pPr>
    </w:p>
    <w:bookmarkStart w:id="83" w:name="page84"/>
    <w:bookmarkEnd w:id="8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Honest Company,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 percentages and as otherwise indicated)</w:t>
      </w:r>
    </w:p>
    <w:p>
      <w:pPr>
        <w:spacing w:after="0" w:line="9" w:lineRule="exact"/>
        <w:rPr>
          <w:sz w:val="20"/>
          <w:szCs w:val="20"/>
          <w:color w:val="auto"/>
        </w:rPr>
      </w:pPr>
    </w:p>
    <w:p>
      <w:pPr>
        <w:ind w:left="360" w:hanging="352"/>
        <w:spacing w:after="0"/>
        <w:tabs>
          <w:tab w:leader="none" w:pos="3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3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Honest Company, Inc. (the “Company”) was incorporated in the State of California on July 19, 2011 and on May 23, 2012 was re-incorporated in the State of Delaware under the same name. The Company is a digitally-native consumer products company born in the Gen Z era to make purpose-driven consumer products designed for all people. The Company sells its products through digital and retail sales channels in the following product categories: Diapers and Wipes, Skin and Personal Care, and Household and Wellness.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56"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Company's common stock, $0.0001 par value per share at an offering price of $16.00 per share. The Company sold 6,451,613 shares and certain existing stockholders sold an aggregate of 19,355,387 shares. The Company received aggregate net proceeds of approximately $91.0 million after deducting underwriting discounts and commissions of $6.7 million and other offering expenses of</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$5.5 million.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Upon completion of the IPO, the Company paid $9.5 million in cash bonuses to certain employees including members of management, as well as $0.2 million in related payroll taxes and expenses. Cash bonuses of $9.1 million were recorded in sales, general and administrative expenses and</w:t>
      </w:r>
    </w:p>
    <w:p>
      <w:pPr>
        <w:ind w:right="20"/>
        <w:spacing w:after="0" w:line="260" w:lineRule="auto"/>
        <w:rPr>
          <w:sz w:val="20"/>
          <w:szCs w:val="20"/>
          <w:color w:val="auto"/>
        </w:rPr>
      </w:pPr>
      <w:r>
        <w:rPr>
          <w:rFonts w:ascii="Times New Roman" w:cs="Times New Roman" w:eastAsia="Times New Roman" w:hAnsi="Times New Roman"/>
          <w:sz w:val="18"/>
          <w:szCs w:val="18"/>
          <w:color w:val="auto"/>
        </w:rPr>
        <w:t>$0.4 million were recorded in research and development expenses in the accompanying consolidated statements of comprehensive loss upon completion of the IPO.</w:t>
      </w:r>
    </w:p>
    <w:p>
      <w:pPr>
        <w:spacing w:after="0" w:line="20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April 2021, the Company's board of directors declared a cash dividend of $35.0 million to the holders of record of its common stock and its redeemable convertible preferred stock as of May 3, 2021, which the Company paid on June 29, 2021</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 See Note 10 "</w:t>
      </w:r>
      <w:r>
        <w:rPr>
          <w:rFonts w:ascii="Times New Roman" w:cs="Times New Roman" w:eastAsia="Times New Roman" w:hAnsi="Times New Roman"/>
          <w:sz w:val="18"/>
          <w:szCs w:val="18"/>
          <w:i w:val="1"/>
          <w:iCs w:val="1"/>
          <w:color w:val="231F20"/>
        </w:rPr>
        <w:t>Redeemable Convertible Preferred Stock and Stockholders’ Deficit</w:t>
      </w:r>
      <w:r>
        <w:rPr>
          <w:rFonts w:ascii="Times New Roman" w:cs="Times New Roman" w:eastAsia="Times New Roman" w:hAnsi="Times New Roman"/>
          <w:sz w:val="18"/>
          <w:szCs w:val="18"/>
          <w:color w:val="231F20"/>
        </w:rPr>
        <w:t>" for more information on</w:t>
      </w:r>
      <w:r>
        <w:rPr>
          <w:rFonts w:ascii="Times New Roman" w:cs="Times New Roman" w:eastAsia="Times New Roman" w:hAnsi="Times New Roman"/>
          <w:sz w:val="18"/>
          <w:szCs w:val="18"/>
          <w:color w:val="auto"/>
        </w:rPr>
        <w:t xml:space="preserve"> the Company’s redeemable convertible preferred stock as of December 31, 2020.</w:t>
      </w:r>
    </w:p>
    <w:p>
      <w:pPr>
        <w:spacing w:after="0" w:line="215" w:lineRule="exact"/>
        <w:rPr>
          <w:sz w:val="20"/>
          <w:szCs w:val="20"/>
          <w:color w:val="auto"/>
        </w:rPr>
      </w:pPr>
    </w:p>
    <w:p>
      <w:pPr>
        <w:ind w:right="7500" w:firstLine="8"/>
        <w:spacing w:after="0" w:line="534" w:lineRule="auto"/>
        <w:tabs>
          <w:tab w:leader="none" w:pos="31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The consolidated financial statements include the accounts of the Company, and its wholly owned subsidiaries after elimination of intercompany transactions and balances.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consolidated financial statements and accompanying notes have been retroactively adjusted, where applicable, to reflect the impact of the stock split.</w:t>
      </w:r>
    </w:p>
    <w:p>
      <w:pPr>
        <w:sectPr>
          <w:pgSz w:w="11900" w:h="16838" w:orient="portrait"/>
          <w:cols w:equalWidth="0" w:num="1">
            <w:col w:w="11200"/>
          </w:cols>
          <w:pgMar w:left="320" w:top="117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Segment Reporting and Geographic Information</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the disclosure of contingent assets and contingent liabilities at the date of the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and for the periods prior to the Company's IPO, the fair value of common stock. On an ongoing basis, the Company evaluates its estimates compared to historical experience and trends, which form the basis for making judgments about the carrying value of assets and liabilities.</w:t>
      </w:r>
    </w:p>
    <w:p>
      <w:pPr>
        <w:spacing w:after="0" w:line="21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the novel coronavirus disease (“COVID-19”) a pandemic. The full extent to which the outbreak of the COVID-19 pandemic and any COVID-19 variants will impact the Company’s business, results of operations and financial condition is still unknown and will depend on future developments, which are uncertain and cannot be predicted, including, but not limited to, the duration and spread of the COVID-19 outbreak and its variants, their severity, the actions to contain the virus and its variants or treat their impact, and how quickly and to what extent normal economic and operating conditions can resume.</w:t>
      </w:r>
    </w:p>
    <w:p>
      <w:pPr>
        <w:spacing w:after="0" w:line="21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light of the unknown ultimate duration and severity of COVID-19 and the impact of any COVID-19 variants,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December 31, 2022 and through the date these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 For example, based on macro trends within our Household and Wellness product category, consumer demand for sanitizing and disinfecting products has decelerated at a more rapid than expected rate as more consumers are vaccinated and retailers continue to manage heavy inventories of sanitization and disinfecting products in stores. The Company recorded an inventory write-down, inclusive of overhead costs and tariffs, of $4.3 million and $5.6 million, during the year ended December 31, 2022 and 2021, respectively, relating to certain sanitization and disinfecting products as the amount of inventory was significantly in excess of the decreasing demand. Included in these inventory write-down is $1.0 million and $0.7 million of Company earmarked donations of excess sanitization products during the year ended December 31, 2022 and 2021, respectively, which is included in selling, general and administrative expense on the consolidated statements of comprehensive loss. The amount of excess sanitization products donated in future periods may differ from those earmarked for donations. The Company will continue to monitor and evaluate the uncertainty and volatility of these conditions, in particular, the impact on the amount and valuation of the Company’s inventory in the future.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stated maturities of three months or less from the date of purchase. Cash equivalents comprise amounts invested in money market funds.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Investments</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Investments consist of highly liquid investments in debt securities. Investments comprises commercial paper, certificates of deposit, corporate bonds and U.S. government and agency securities, which are classified as available-for-sale investments. The Company includes its available-for-sale investments in current assets because the securities represent investments of cash available for current operations. Available-for-sale investments are recorded at fair value, which is based on quoted market prices for such securities, if available, or is estimated on the basis of quoted market prices of financial instruments with similar</w:t>
      </w:r>
    </w:p>
    <w:p>
      <w:pPr>
        <w:sectPr>
          <w:pgSz w:w="11900" w:h="16838" w:orient="portrait"/>
          <w:cols w:equalWidth="0" w:num="1">
            <w:col w:w="11200"/>
          </w:cols>
          <w:pgMar w:left="320" w:top="14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85" w:name="page86"/>
    <w:bookmarkEnd w:id="85"/>
    <w:p>
      <w:pPr>
        <w:ind w:right="120"/>
        <w:spacing w:after="0" w:line="282" w:lineRule="auto"/>
        <w:rPr>
          <w:sz w:val="20"/>
          <w:szCs w:val="20"/>
          <w:color w:val="auto"/>
        </w:rPr>
      </w:pPr>
      <w:r>
        <w:rPr>
          <w:rFonts w:ascii="Times New Roman" w:cs="Times New Roman" w:eastAsia="Times New Roman" w:hAnsi="Times New Roman"/>
          <w:sz w:val="18"/>
          <w:szCs w:val="18"/>
          <w:color w:val="auto"/>
        </w:rPr>
        <w:t>characteristics. Unrealized holding gains and losses are excluded from earnings and are reported as a component of comprehensive loss. Realized gains or losses are recorded in interest and other income (expense), net.</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evaluates the potential impairment through review of unrealized losses associated with its investments to determine if the impairment is “temporary” or “other-than-temporary.” A “temporary” unrealized loss is recorded in the accumulated other comprehensive loss component of stockholders’ deficit. Such an unrealized loss does not reduce net income for the applicable accounting period because the loss is not viewed as “other-than-temporary”. If the impairment is determined to be “other-than-temporary” the loss is recorded as an impairment charge in the period any such determination is made. The factors evaluated to differentiate between “temporary” and “other-than-temporary” include the projected future cash flows, credit rating actions, and assessment of the credit quality of the underlying collateral, as well as other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cash equivalents, short-term investments and accounts receivable. The Company places its cash with high credit quality financial institutions, which typically exceed federally insured limits. The Company invests its excess cash primarily in highly rated money market funds and short-term debt instruments, diversifies its investments and, by policy, invests only in highly rated securities to minimize credit risk.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accounts receivable, net, were as follows:</w:t>
      </w:r>
    </w:p>
    <w:p>
      <w:pPr>
        <w:spacing w:after="0" w:line="30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36830</wp:posOffset>
            </wp:positionV>
            <wp:extent cx="3711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70"/>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3"/>
                <w:szCs w:val="23"/>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customers that accounted for 10% or more of total revenue were as follows:</w:t>
      </w:r>
    </w:p>
    <w:p>
      <w:pPr>
        <w:spacing w:after="0" w:line="3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36830</wp:posOffset>
            </wp:positionV>
            <wp:extent cx="54946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9465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2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
        </w:trPr>
        <w:tc>
          <w:tcPr>
            <w:tcW w:w="254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3"/>
                <w:szCs w:val="23"/>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3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currently buys all of its diapers from one supplier. Additionally, the Company currently buys substantially all of its wipes from one supplier. Management believes that other suppliers could provide similar products on reasonable terms. A change in suppliers, however, could cause a delay in manufacturing and a possible inventory shortage and loss of revenue, which would adversely affect the Company's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Sales made to consumers through the Company’s Honest.com website are conducted with credit cards, and the Company records its credit card sales in transit as accounts receivable at selling price less applicable deductions. The Company also extends credit in the normal course of business to its third-party ecommerce customers and retailers and performs credit evaluations on a case-by-case basis. The Company does not obtain collateral or other security related to its accounts receivable.</w:t>
      </w:r>
    </w:p>
    <w:p>
      <w:pPr>
        <w:spacing w:after="0" w:line="207"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$0.5 million and $0.2 million, respectively, as of December 31, 2022 and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Inventories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Inventories consist of finished goods and are stated at the lower of cost or estimated net realizable value. Cost is computed based on weighted average historical costs. The Company allocates certain overhead costs to the carrying value of its finished goods. The carrying value of inventories is reduced for any excess and obsolete inventory. Excess and obsolete inventory reductions are determined based on assumptions about future demand and sales prices, estimates of the impact of competition, and</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86" w:name="page87"/>
    <w:bookmarkEnd w:id="86"/>
    <w:p>
      <w:pPr>
        <w:ind w:right="360"/>
        <w:spacing w:after="0" w:line="282" w:lineRule="auto"/>
        <w:rPr>
          <w:sz w:val="20"/>
          <w:szCs w:val="20"/>
          <w:color w:val="auto"/>
        </w:rPr>
      </w:pPr>
      <w:r>
        <w:rPr>
          <w:rFonts w:ascii="Times New Roman" w:cs="Times New Roman" w:eastAsia="Times New Roman" w:hAnsi="Times New Roman"/>
          <w:sz w:val="18"/>
          <w:szCs w:val="18"/>
          <w:color w:val="auto"/>
        </w:rPr>
        <w:t>the age of inventory. If actual conditions are less favorable than those previously estimated by management, additional inventory write-downs could be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Repairs and maintenance costs are expensed as incurred. When assets are retired or otherwise disposed of, the cost and the related accumulated depreciation are removed from the respective accounts and any resulting gain or loss is reflected in the consolidated statements of comprehensive loss. Depreciation and amortization are recorded using the straight-line method over the estimated useful lives of the assets as follows: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and website development costs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7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Lesser of the estimated useful life or the remaining lease term</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IPO Costs</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Deferred offering costs consisted of costs incurred in connection with the sale of the Company’s common stock in its IPO, including certain legal, accounting, and other IPO-related expenses. Immediately upon the completion of the Company's IPO, deferred offering costs of $5.5 million were reclassified into stockholders’ equity from other assets as a reduction from the proceeds of the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256"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Beginning with the year ended December 31, 2022, the Company accounts for leases in accordance with Accounting Standards Codification No.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purposes of calculating the right-of-use ("ROU") assets and lease liability. The Company elected the practical expedient to not separate lease and non-lease components, as such non-lease components are included in the calculation of the ROU asset and lease liability and included in the lease expense over the term of the lease. As most of the Company's leases do not contain an implicit interest rate, the Company uses judgement to determine an incremental borrowing rate to use at lease commencement.</w:t>
      </w:r>
    </w:p>
    <w:p>
      <w:pPr>
        <w:spacing w:after="0" w:line="19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Operating lease ROU assets and lease liabilities are recorded on the date the Company takes possession of the leased assets with expense recognized on a straight-line basis over the lease term. Leases with an estimated total term of 12 months or less are not recorded on the balance sheet and the lease expense is recognized on a straight-line basis over the lease term. Deferred rent represented the difference between rent amounts paid and amounts recognized as straight-line expense. The excess of straight-line rent expense over lease payments due was recorded as a deferred rent liability in accrued expenses, for the current portion, and other long-term liabilities, for the noncurrent portion, in the consolidated balance sheets. With the adoption of ASC 842, deferred rent is no longer recorded. As of December 31, 2021, the Company recorded deferred rent liabilities of $1.0 million in accrued expenses and $7.4 million in other long-term liabilities. Generally, the Company’s lease agreements do not contain material residual value guarantees or material restrictive covenants.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Capitalized Software and Website Development Costs</w:t>
      </w:r>
    </w:p>
    <w:p>
      <w:pPr>
        <w:spacing w:after="0" w:line="25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its internal-use software costs and website development costs in accordance with ASC No. 350-40, </w:t>
      </w:r>
      <w:r>
        <w:rPr>
          <w:rFonts w:ascii="Times New Roman" w:cs="Times New Roman" w:eastAsia="Times New Roman" w:hAnsi="Times New Roman"/>
          <w:sz w:val="18"/>
          <w:szCs w:val="18"/>
          <w:i w:val="1"/>
          <w:iCs w:val="1"/>
          <w:color w:val="auto"/>
        </w:rPr>
        <w:t>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and ASC No. 350-50,</w:t>
      </w:r>
      <w:r>
        <w:rPr>
          <w:rFonts w:ascii="Times New Roman" w:cs="Times New Roman" w:eastAsia="Times New Roman" w:hAnsi="Times New Roman"/>
          <w:sz w:val="18"/>
          <w:szCs w:val="18"/>
          <w:i w:val="1"/>
          <w:iCs w:val="1"/>
          <w:color w:val="auto"/>
        </w:rPr>
        <w:t xml:space="preserve"> Website Development Costs</w:t>
      </w:r>
      <w:r>
        <w:rPr>
          <w:rFonts w:ascii="Times New Roman" w:cs="Times New Roman" w:eastAsia="Times New Roman" w:hAnsi="Times New Roman"/>
          <w:sz w:val="18"/>
          <w:szCs w:val="18"/>
          <w:color w:val="auto"/>
        </w:rPr>
        <w:t>, respectively. The Company capitalizes costs to purchase and develop its websites and internal-use software and amortizes such costs on a straight-line basis over the estimated useful life of the software once it is available for its intended use. Capitalization of internal-use costs begins when the preliminary project stage is completed, management with the relevant authority authorizes and commits to the funding of the project, and it is probable that the project will be completed and will be used to perform the function intended. Capitalization of these costs ceases once the project is substantially complete and the software is ready for its intended purpose. Capitalized internal-use software and</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website development costs, including purchased software, is recorded in property and equipment, net in the consolidated balance sheets.</w:t>
      </w:r>
    </w:p>
    <w:p>
      <w:pPr>
        <w:spacing w:after="0" w:line="2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cloud-computing service arrangements, the Company capitalizes implementation costs consistent with internal-use software costs. Such capitalized costs are included within prepaid expenses and other current assets, for the current portion, and other assets, for the noncurrent portion, in the consolidated balance sheets and are expensed on a straight-line basis over the term of the service arrangement as selling, general and administrative expense. Capitalized implementation costs from cloud computing service arrangements was $1.0 million, net of $1.8 million of accumulated amortization as of December 31, 2022 and $0.9 million, net of $1.2 million of accumulated amortization as of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Goodwill</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legal factors or in the business climate, an adverse action or assessment by a regulator, unanticipated competition, a loss of key personnel, significant changes in the manner in which the Company uses the acquired assets or the strategy for the Company’s overall business, significant industry or economic trends, or significant underperformance relevant to expected historical or projected future results of operations.</w:t>
      </w:r>
    </w:p>
    <w:p>
      <w:pPr>
        <w:spacing w:after="0" w:line="21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after assessing the totality of events or circumstances, the Company determines it is not more likely than not that the fair value of a reporting unit is less than its carrying amount, then additional impairment testing is not required. However, if the Company concludes otherwise, then the Company is required to perform the first of a two-step impairment test.</w:t>
      </w:r>
    </w:p>
    <w:p>
      <w:pPr>
        <w:spacing w:after="0" w:line="20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first step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compared with its implied fair value. The estimate of implied fair value of goodwill may require valuations of certain internally generated and unrecognized intangible assets. If the carrying amount of goodwill exceeds the implied fair value of that goodwill, an impairment loss is recognized in an amount equal to the excess. The Company tests goodwill for impairment annually at October 31. The Company performed its annual goodwill impairment test as of October 31, 2022 and no impairment was identified.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Intangible Assets, Net</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Intangible assets are stated at cost, net of accumulated amortization. Intangible assets consist of tradenames and domain names. Tradenames and domain names are amortized on a straight-line basis, which approximates the pattern in which the economic benefits are consumed, over the estimated useful lives of the assets of 15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assesses the carrying value of its long-lived assets, consisting primarily of property and equipment and intangible assets, when there is evidence that events or changes in circumstances indicate that the carrying value of an asset or group of assets may not be recoverable. Such events or changes in circumstances may include a significant decrease in the market price of a long-lived asset, a significant change in the extent or manner in which an asset is used, a significant change in legal factors or in the business climate, a significant deterioration in the amount of revenue or cash flows expected to be generated from a group of assets, a current expectation that, more likely than not a long-lived asset will be sold or otherwise disposed of significantly before the end of its previously estimated useful life, or any other significant adverse change that would indicate that the carrying value of an asset or group of assets may not be recoverable. The Company performs impairment testing at the asset group level that represents the lowest level for which identifiable cash flows are largely independent of the cash flows of other assets and liabilities. If events or changes in circumstances indicate that the carrying amount of an asset group may not be recoverable and the expected undiscounted future cash flows attributable to the asset group are less than the carrying amount of the asset group, an impairment loss equal to the excess of the asset’s carrying value over its fair value is recorded.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an asset and liability approach that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w:t>
      </w:r>
    </w:p>
    <w:p>
      <w:pPr>
        <w:sectPr>
          <w:pgSz w:w="11900" w:h="16838" w:orient="portrait"/>
          <w:cols w:equalWidth="0" w:num="1">
            <w:col w:w="11220"/>
          </w:cols>
          <w:pgMar w:left="32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88" w:name="page89"/>
    <w:bookmarkEnd w:id="88"/>
    <w:p>
      <w:pPr>
        <w:ind w:right="100"/>
        <w:spacing w:after="0" w:line="282" w:lineRule="auto"/>
        <w:rPr>
          <w:sz w:val="20"/>
          <w:szCs w:val="20"/>
          <w:color w:val="auto"/>
        </w:rPr>
      </w:pPr>
      <w:r>
        <w:rPr>
          <w:rFonts w:ascii="Times New Roman" w:cs="Times New Roman" w:eastAsia="Times New Roman" w:hAnsi="Times New Roman"/>
          <w:sz w:val="18"/>
          <w:szCs w:val="18"/>
          <w:color w:val="auto"/>
        </w:rPr>
        <w:t>tax basis of assets and liabilities and are measured using enacted tax rates in effect for the year in which the differences are expected to reverse. The effect of a change in tax rates or tax law on deferred tax assets and liabilities is recognized in income in the period that includes the enactment date.</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on deferred tax assets when it is determined that it is more likely than not that some portion or all of the net deferred tax assets will not be realized.</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uncertain tax positions only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income tax matters in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Foreign Currency Transactions</w:t>
      </w:r>
    </w:p>
    <w:p>
      <w:pPr>
        <w:spacing w:after="0" w:line="25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foreign currency gains or losses in other income, net in the consolidated statements of comprehensive loss, related to transactions denominated in currencies other than the U.S. dollar. During the years ended December 31, 2022, 2021 and 2020, realized and unrealized foreign currency (losses) and gains, net were $(0.2) million, $(0.1) million and $0.1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Contingent Liabilities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a potential loss contingency is considered probable, and the amount can be reasonably estimated, the Company accrues a liability for an estimated loss. If the reasonable estimate of the loss is a range and no amount within the range is a better estimate, the minimum amount of the range is recorded as a liability.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employees and non-employees based on the grant-date fair value of stock award over the applicable service period.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restricted stock awards that contain service vesting conditions is estimated based on the fair value of the underlying shares on grant date, with a cumulative adjustment for the portion of the service period that occurred for the period prior to the performance condition becoming probable of being achieved.</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awards that contain service, performance or a combination of both vesting conditions, the grant date fair value of restricted stock award is estimated based on the fair value of the underlying shares on grant date while the Black-Scholes option-pricing model is used to estimate the grant date fair value of stock option awards.</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stock option awards that contain service, performance and market vesting conditions, where the performance condition is an initial public offering or a change in control event, performance condition is not probable of being achieved for accounting purposes until the event occurs. Thereafter, stock-based compensation expense is recognized when the event occurs even if the market condition was not or is not achieved, provided the employee continues to satisfy the service condition.</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Monte Carlo simulation model is used to estimate the fair value of stock options that have market vesting conditions. Determining the fair value of stock option awards requires judgment and the assumptions used in the option-pricing models require the input of subjective assumptions which are as follows:</w:t>
      </w:r>
    </w:p>
    <w:p>
      <w:pPr>
        <w:spacing w:after="0" w:line="201" w:lineRule="exact"/>
        <w:rPr>
          <w:sz w:val="20"/>
          <w:szCs w:val="20"/>
          <w:color w:val="auto"/>
        </w:rPr>
      </w:pPr>
    </w:p>
    <w:p>
      <w:pPr>
        <w:ind w:right="140" w:firstLine="656"/>
        <w:spacing w:after="0" w:line="257" w:lineRule="auto"/>
        <w:tabs>
          <w:tab w:leader="none" w:pos="75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w:t>
      </w:r>
      <w:r>
        <w:rPr>
          <w:rFonts w:ascii="Times New Roman" w:cs="Times New Roman" w:eastAsia="Times New Roman" w:hAnsi="Times New Roman"/>
          <w:sz w:val="18"/>
          <w:szCs w:val="18"/>
          <w:color w:val="auto"/>
        </w:rPr>
        <w:t>- Prior to the Company's IPO, the fair value of the common stock underlying the Company’s stock-based awards was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Board of Directors (the “Board”). The Company’s Board determined the common stock fair value at the stock option grant date by considering several objective and subjective factors, including the price paid for its common and preferred stock, actual and forecasted operating and financial performance, market conditions and performance of comparable publicly traded companies, developments and milestones within the Company, the rights, preferences, and privileges of its common and preferred stock, and the likelihood of achieving a liquidity event. Subsequent to the Company's IPO, the fair value of the Company's common stock is determined based on the closing stock price on the date of grant.</w:t>
      </w:r>
    </w:p>
    <w:p>
      <w:pPr>
        <w:sectPr>
          <w:pgSz w:w="11900" w:h="16838" w:orient="portrait"/>
          <w:cols w:equalWidth="0" w:num="1">
            <w:col w:w="11200"/>
          </w:cols>
          <w:pgMar w:left="320" w:top="117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type w:val="continuous"/>
        </w:sectPr>
      </w:pPr>
    </w:p>
    <w:bookmarkStart w:id="89" w:name="page90"/>
    <w:bookmarkEnd w:id="89"/>
    <w:p>
      <w:pPr>
        <w:ind w:right="20" w:firstLine="656"/>
        <w:spacing w:after="0" w:line="284" w:lineRule="auto"/>
        <w:tabs>
          <w:tab w:leader="none" w:pos="7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Expected volatility is based on historical volatilities of a publicly traded peer group based on weekly price observations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equivalent to the expected term of the stock option grants.</w:t>
      </w:r>
    </w:p>
    <w:p>
      <w:pPr>
        <w:spacing w:after="0" w:line="185" w:lineRule="exact"/>
        <w:rPr>
          <w:rFonts w:ascii="Times New Roman" w:cs="Times New Roman" w:eastAsia="Times New Roman" w:hAnsi="Times New Roman"/>
          <w:sz w:val="18"/>
          <w:szCs w:val="18"/>
          <w:color w:val="auto"/>
        </w:rPr>
      </w:pPr>
    </w:p>
    <w:p>
      <w:pPr>
        <w:ind w:right="300" w:firstLine="656"/>
        <w:spacing w:after="0" w:line="261" w:lineRule="auto"/>
        <w:tabs>
          <w:tab w:leader="none" w:pos="7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For stock options with only service vesting conditions the expected term is determined using the simplified method,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using the contractual life of the option and the vesting period. For stock options with performance or market conditions, the term is estimated in consideration of the time period expected to achieve the performance or market condition, the contractual term of the award, and estimates of future exercise behavior.</w:t>
      </w:r>
    </w:p>
    <w:p>
      <w:pPr>
        <w:spacing w:after="0" w:line="206" w:lineRule="exact"/>
        <w:rPr>
          <w:rFonts w:ascii="Times New Roman" w:cs="Times New Roman" w:eastAsia="Times New Roman" w:hAnsi="Times New Roman"/>
          <w:sz w:val="18"/>
          <w:szCs w:val="18"/>
          <w:color w:val="auto"/>
        </w:rPr>
      </w:pPr>
    </w:p>
    <w:p>
      <w:pPr>
        <w:ind w:right="360" w:firstLine="656"/>
        <w:spacing w:after="0" w:line="284" w:lineRule="auto"/>
        <w:tabs>
          <w:tab w:leader="none" w:pos="7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of treasury bonds with a maturity that approximates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options.</w:t>
      </w:r>
    </w:p>
    <w:p>
      <w:pPr>
        <w:spacing w:after="0" w:line="185" w:lineRule="exact"/>
        <w:rPr>
          <w:rFonts w:ascii="Times New Roman" w:cs="Times New Roman" w:eastAsia="Times New Roman" w:hAnsi="Times New Roman"/>
          <w:sz w:val="18"/>
          <w:szCs w:val="18"/>
          <w:color w:val="auto"/>
        </w:rPr>
      </w:pPr>
    </w:p>
    <w:p>
      <w:pPr>
        <w:ind w:right="460" w:firstLine="656"/>
        <w:spacing w:after="0" w:line="315" w:lineRule="auto"/>
        <w:tabs>
          <w:tab w:leader="none" w:pos="75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dividend yield is based on the Company’s current expectations of dividend payouts. The Company has never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or paid any cash dividends on its common stock, and the Company does not anticipate paying any cash dividends in the foreseeable future.</w:t>
      </w:r>
    </w:p>
    <w:p>
      <w:pPr>
        <w:spacing w:after="0" w:line="164"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determination of stock-based compensation cost is inherently uncertain and subjective and involves the application of valuation models and assumptions requiring the use of judgment. If the Company had made different assumptions, its stock-based compensation expense and its net loss could have been significantly different.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shares are issued from authorized shares of common stock upon the exercise of stock options.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 Quoted prices in active markets for identical assets or liabilities.</w:t>
      </w:r>
    </w:p>
    <w:p>
      <w:pPr>
        <w:spacing w:after="0" w:line="27" w:lineRule="exact"/>
        <w:rPr>
          <w:sz w:val="20"/>
          <w:szCs w:val="20"/>
          <w:color w:val="auto"/>
        </w:rPr>
      </w:pPr>
    </w:p>
    <w:p>
      <w:pPr>
        <w:jc w:val="both"/>
        <w:ind w:left="740" w:right="20" w:hanging="728"/>
        <w:spacing w:after="0" w:line="250"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740" w:right="40" w:hanging="728"/>
        <w:spacing w:after="0" w:line="255" w:lineRule="auto"/>
        <w:rPr>
          <w:sz w:val="20"/>
          <w:szCs w:val="20"/>
          <w:color w:val="auto"/>
        </w:rPr>
      </w:pPr>
      <w:r>
        <w:rPr>
          <w:rFonts w:ascii="Times New Roman" w:cs="Times New Roman" w:eastAsia="Times New Roman" w:hAnsi="Times New Roman"/>
          <w:sz w:val="18"/>
          <w:szCs w:val="18"/>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1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its products through digital and retail sales channels in the following product categories: Diapers and Wipes, Skin and Personal Care, and Household and Wellness. The digital sales channel includes direct-to-consumer sales through the Company’s website and sales to third-party ecommerce customers, who resell the Company’s products through their own online platforms. The retail sales channel includes sales to traditional brick and mortar retailers, who may also resell the Company’s products through their own online platforms.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Company accounts for revenue contracts with customers by applying the following steps in accordance with ASC No. 606, </w:t>
      </w:r>
      <w:r>
        <w:rPr>
          <w:rFonts w:ascii="Times New Roman" w:cs="Times New Roman" w:eastAsia="Times New Roman" w:hAnsi="Times New Roman"/>
          <w:sz w:val="18"/>
          <w:szCs w:val="18"/>
          <w:i w:val="1"/>
          <w:iCs w:val="1"/>
          <w:color w:val="231F20"/>
        </w:rPr>
        <w:t>Revenue from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Contracts with Customers</w:t>
      </w:r>
      <w:r>
        <w:rPr>
          <w:rFonts w:ascii="Times New Roman" w:cs="Times New Roman" w:eastAsia="Times New Roman" w:hAnsi="Times New Roman"/>
          <w:sz w:val="18"/>
          <w:szCs w:val="18"/>
          <w:color w:val="231F20"/>
        </w:rPr>
        <w:t>:</w:t>
      </w:r>
    </w:p>
    <w:p>
      <w:pPr>
        <w:spacing w:after="0" w:line="274" w:lineRule="exact"/>
        <w:rPr>
          <w:sz w:val="20"/>
          <w:szCs w:val="20"/>
          <w:color w:val="auto"/>
        </w:rPr>
      </w:pPr>
    </w:p>
    <w:p>
      <w:pPr>
        <w:ind w:left="300" w:hanging="112"/>
        <w:spacing w:after="0"/>
        <w:tabs>
          <w:tab w:leader="none" w:pos="3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contract, or contracts, with a customer</w:t>
      </w:r>
    </w:p>
    <w:p>
      <w:pPr>
        <w:spacing w:after="0" w:line="49"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Identification of the performance obligations in the contract</w:t>
      </w:r>
    </w:p>
    <w:p>
      <w:pPr>
        <w:spacing w:after="0" w:line="49"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Determination of the transaction price</w:t>
      </w:r>
    </w:p>
    <w:p>
      <w:pPr>
        <w:sectPr>
          <w:pgSz w:w="11900" w:h="16838" w:orient="portrait"/>
          <w:cols w:equalWidth="0" w:num="1">
            <w:col w:w="11240"/>
          </w:cols>
          <w:pgMar w:left="320" w:top="1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type w:val="continuous"/>
        </w:sectPr>
      </w:pPr>
    </w:p>
    <w:bookmarkStart w:id="90" w:name="page91"/>
    <w:bookmarkEnd w:id="90"/>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49" w:lineRule="exact"/>
        <w:rPr>
          <w:rFonts w:ascii="Times New Roman" w:cs="Times New Roman" w:eastAsia="Times New Roman" w:hAnsi="Times New Roman"/>
          <w:sz w:val="18"/>
          <w:szCs w:val="18"/>
          <w:color w:val="231F20"/>
        </w:rPr>
      </w:pPr>
    </w:p>
    <w:p>
      <w:pPr>
        <w:ind w:left="300" w:hanging="112"/>
        <w:spacing w:after="0"/>
        <w:tabs>
          <w:tab w:leader="none" w:pos="30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Recognition of revenue when, or as, the Company satisfies a performance obligation</w:t>
      </w:r>
    </w:p>
    <w:p>
      <w:pPr>
        <w:spacing w:after="0" w:line="252"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as an accounting policy to record all shipping and handling costs as fulfillment costs. The Company accrues the cost of shipping and handling and recognizes revenue and costs at the point in time that control of the goods transfers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Direct-to-Consumer</w:t>
      </w:r>
    </w:p>
    <w:p>
      <w:pPr>
        <w:spacing w:after="0" w:line="25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For direct sales to the consumer through the Company’s website,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Consumers may purchase gift cards, which are recorded as deferred revenue at the time of purchase. The Company recognizes revenue when these gift cards are redeemed for products and the revenue recognition criteria as described above have been met. For the year ended December 31, 2022 and 2021, revenue recognized from the use of gift cards was $0.8 million and $0.9 million, respectively. For the year ended December 31, 2020 revenue recognized from the use of gift cards was not material. As of December 31, 2022 and 2021, deferred revenue related to gift card purchases was $0.8 million and $0.7 million,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Retail and Third-Party Ecommerce</w:t>
      </w:r>
    </w:p>
    <w:p>
      <w:pPr>
        <w:spacing w:after="0" w:line="2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Sales Returns and Allowances</w:t>
      </w:r>
    </w:p>
    <w:p>
      <w:pPr>
        <w:spacing w:after="0" w:line="2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records estimated sales returns in the same period that the related revenue is recorded. The Company uses the expected value method to estimate returns, taking into consideration assumptions of demand based on historical data and historical returns rates. When estimating returns, the Company also considers future business initiatives and relevant anticipated future events. Estimated sales returns and ultimate losses may vary from actual results, which could be material to the consolidated financial statements. The estimated sales returns allowance is recorded as a reduction of revenue.</w:t>
      </w:r>
    </w:p>
    <w:p>
      <w:pPr>
        <w:spacing w:after="0" w:line="210"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For direct-to-consumer, retail and third-party ecommerce sales, the Company offers credits in the form of discounts, which are recorded as reductions in revenue and are allocated to products on a relative basis based on their respective standalone selling price.</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retail and third-party ecommerce sales, the Company routinely commits to one-time or ongoing sales incentive programs with its customers that may require the Company to estimate and accrue the expected costs of such programs, including trade promotion activities and contractual allowances. The Company records these programs as a reduction to revenue unless it receives a distinct benefit in exchange for credits claimed by the customer and can reasonably estimate the fair value of the benefit received, in which case the Company records it as a marketing expense. The Company recognizes a liability or a reduction to accounts receivable, and reduces revenue based on the estimated amount of credits that will be claimed by customers. An allowance is recorded as a reduction to accounts receivable if the customer can deduct the program amount from outstanding invoices.</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Estimates for these sales incentive programs are developed using the most likely amount and are included in the transaction price to the extent that a significant reversal of revenue would not result once the uncertainty is resolved. In developing its estimate, the Company uses historical analysis and contractual rates in determining the accruals for these activities. The Company also considers the susceptibility of the incentive to outside influences, the length of time until the uncertainty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91" w:name="page92"/>
    <w:bookmarkEnd w:id="91"/>
    <w:p>
      <w:pPr>
        <w:ind w:right="180"/>
        <w:spacing w:after="0" w:line="282" w:lineRule="auto"/>
        <w:rPr>
          <w:sz w:val="20"/>
          <w:szCs w:val="20"/>
          <w:color w:val="auto"/>
        </w:rPr>
      </w:pPr>
      <w:r>
        <w:rPr>
          <w:rFonts w:ascii="Times New Roman" w:cs="Times New Roman" w:eastAsia="Times New Roman" w:hAnsi="Times New Roman"/>
          <w:sz w:val="18"/>
          <w:szCs w:val="18"/>
          <w:color w:val="auto"/>
        </w:rPr>
        <w:t>resolved and the Company’s experience with similar contracts. Judgment is required to determine the timing and amount of recognition of sales incentive program accruals which the Company estimates based on past practice with similar arrangements.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sales incentive programs for retail and third-party ecommerce customers: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60" w:type="dxa"/>
            <w:vAlign w:val="bottom"/>
            <w:gridSpan w:val="7"/>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revenue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35,465</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marketing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0" w:type="dxa"/>
            <w:vAlign w:val="bottom"/>
          </w:tcPr>
          <w:p>
            <w:pPr>
              <w:spacing w:after="0"/>
              <w:rPr>
                <w:sz w:val="1"/>
                <w:szCs w:val="1"/>
                <w:color w:val="auto"/>
              </w:rPr>
            </w:pPr>
          </w:p>
        </w:tc>
      </w:tr>
      <w:tr>
        <w:trPr>
          <w:trHeight w:val="270"/>
        </w:trPr>
        <w:tc>
          <w:tcPr>
            <w:tcW w:w="7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Utilization of accrual for trade promotions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(46,592)</w:t>
            </w:r>
          </w:p>
        </w:tc>
        <w:tc>
          <w:tcPr>
            <w:tcW w:w="0" w:type="dxa"/>
            <w:vAlign w:val="bottom"/>
          </w:tcPr>
          <w:p>
            <w:pPr>
              <w:spacing w:after="0"/>
              <w:rPr>
                <w:sz w:val="1"/>
                <w:szCs w:val="1"/>
                <w:color w:val="auto"/>
              </w:rPr>
            </w:pPr>
          </w:p>
        </w:tc>
      </w:tr>
      <w:tr>
        <w:trPr>
          <w:trHeight w:val="27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to prepaid expenses and other current assets/accrued expenses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color w:val="231F20"/>
        </w:rPr>
        <w:t>December 31, 2022 and 2021</w:t>
      </w:r>
      <w:r>
        <w:rPr>
          <w:rFonts w:ascii="Times New Roman" w:cs="Times New Roman" w:eastAsia="Times New Roman" w:hAnsi="Times New Roman"/>
          <w:sz w:val="18"/>
          <w:szCs w:val="18"/>
          <w:color w:val="auto"/>
        </w:rPr>
        <w:t>, $5.8 million and $6.1 million, respectively, of the ending allowance balances were recorded as a reduction to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material assets related to incremental costs to obtain or fulfill customer contracts.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5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allocated overhead and direct and indirect labor for warehouse personnel.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Marketing expenses includes costs related to the Company’s branding initiatives, retail customer marketing activities, point of purchase displays, targeted online advertising through sponsored search, display advertising, email marketing campaigns, market research, content production and other public relations and promotional initiatives.</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Advertising costs are expensed as incurred. Media production costs are expensed the first time the advertisement is aired. Deferred advertising costs consist mainly of point of purchase displays that are specifically branded for the Company’s products and provided to retailers in order to facilitate the marketing of the Company’s products within retail stores. The point of purchase display costs are capitalized as deferred advertising costs and charged to marketing expense over the expected period of benefit, which generally ranges from one to three years. As of </w:t>
      </w:r>
      <w:r>
        <w:rPr>
          <w:rFonts w:ascii="Times New Roman" w:cs="Times New Roman" w:eastAsia="Times New Roman" w:hAnsi="Times New Roman"/>
          <w:sz w:val="18"/>
          <w:szCs w:val="18"/>
          <w:color w:val="231F20"/>
        </w:rPr>
        <w:t>December 31, 2022 and 2021</w:t>
      </w:r>
      <w:r>
        <w:rPr>
          <w:rFonts w:ascii="Times New Roman" w:cs="Times New Roman" w:eastAsia="Times New Roman" w:hAnsi="Times New Roman"/>
          <w:sz w:val="18"/>
          <w:szCs w:val="18"/>
          <w:color w:val="auto"/>
        </w:rPr>
        <w:t xml:space="preserve">, the current portion of deferred advertising costs was $1.6 million and $1.0 million, respectively, which is included in prepaid expenses and other current assets. As of </w:t>
      </w:r>
      <w:r>
        <w:rPr>
          <w:rFonts w:ascii="Times New Roman" w:cs="Times New Roman" w:eastAsia="Times New Roman" w:hAnsi="Times New Roman"/>
          <w:sz w:val="18"/>
          <w:szCs w:val="18"/>
          <w:color w:val="231F20"/>
        </w:rPr>
        <w:t>December 31, 2022 and 2021</w:t>
      </w:r>
      <w:r>
        <w:rPr>
          <w:rFonts w:ascii="Times New Roman" w:cs="Times New Roman" w:eastAsia="Times New Roman" w:hAnsi="Times New Roman"/>
          <w:sz w:val="18"/>
          <w:szCs w:val="18"/>
          <w:color w:val="000000"/>
        </w:rPr>
        <w:t>, the noncurrent portion of deferred advertising costs was immaterial and $0.1 million, respectively, which is included in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assets. Advertising expense was $44.8 million, $49.2 million and $41.1 million for the years ended </w:t>
      </w:r>
      <w:r>
        <w:rPr>
          <w:rFonts w:ascii="Times New Roman" w:cs="Times New Roman" w:eastAsia="Times New Roman" w:hAnsi="Times New Roman"/>
          <w:sz w:val="18"/>
          <w:szCs w:val="18"/>
          <w:color w:val="231F20"/>
        </w:rPr>
        <w:t>December 31, 2022, 2021 and 2020,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relate to costs incurred for the development of new products, improvement in the quality of existing products and the development and implementation of new technologies to enhance the quality and value of products. Research and development expenses consist primarily of personnel-related expenses, including salaries, bonuses, benefits and stock-based compensation expense. Research and development expenses also include allocated depreciation and amortization and overhead costs. The Company expenses research and development costs in the period they are incurred.</w:t>
      </w:r>
    </w:p>
    <w:p>
      <w:pPr>
        <w:sectPr>
          <w:pgSz w:w="11900" w:h="16838" w:orient="portrait"/>
          <w:cols w:equalWidth="0" w:num="1">
            <w:col w:w="11240"/>
          </w:cols>
          <w:pgMar w:left="320" w:top="1174" w:right="339" w:bottom="10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036"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5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842), </w:t>
      </w:r>
      <w:r>
        <w:rPr>
          <w:rFonts w:ascii="Times New Roman" w:cs="Times New Roman" w:eastAsia="Times New Roman" w:hAnsi="Times New Roman"/>
          <w:sz w:val="18"/>
          <w:szCs w:val="18"/>
          <w:color w:val="auto"/>
        </w:rPr>
        <w:t>as subsequently amended, collectively codified under Topic 842. Topic 842 requires lessees to recognize on the balance sheet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prior guidance which requires only capital leases to be recognized on the balance sheet, the new ASU requires both types of leases to be recognized on the balance sheet. ASU 2016-02 was effective for public business entities for fiscal years beginning after December 15, 2018. In June 2020, FASB issued ASU No. 2020-05, </w:t>
      </w:r>
      <w:r>
        <w:rPr>
          <w:rFonts w:ascii="Times New Roman" w:cs="Times New Roman" w:eastAsia="Times New Roman" w:hAnsi="Times New Roman"/>
          <w:sz w:val="18"/>
          <w:szCs w:val="18"/>
          <w:i w:val="1"/>
          <w:iCs w:val="1"/>
          <w:color w:val="auto"/>
        </w:rPr>
        <w:t>Revenue from Contracts with Customers (Topic 606) and Leases (Topic 842) – Effective Dates for Certain Entities</w:t>
      </w:r>
      <w:r>
        <w:rPr>
          <w:rFonts w:ascii="Times New Roman" w:cs="Times New Roman" w:eastAsia="Times New Roman" w:hAnsi="Times New Roman"/>
          <w:sz w:val="18"/>
          <w:szCs w:val="18"/>
          <w:color w:val="auto"/>
        </w:rPr>
        <w:t>, which extended the effective date of this guidance for certain non-public entities for fiscal years beginning after December 15, 2021, and interim periods within fiscal years beginning after December 15, 2022, with early adoption permitted.</w:t>
      </w:r>
    </w:p>
    <w:p>
      <w:pPr>
        <w:spacing w:after="0" w:line="21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adopted this guidance on January 1, 2022 on a modified retrospective basis under ASU 2018-11. As such, prior periods were not respectively adjusted. The Company also elected the package of practical expedients to leases that commenced before the effective date whereby the Company elected to not reassess the following:</w:t>
      </w:r>
    </w:p>
    <w:p>
      <w:pPr>
        <w:spacing w:after="0" w:line="203" w:lineRule="exact"/>
        <w:rPr>
          <w:sz w:val="20"/>
          <w:szCs w:val="20"/>
          <w:color w:val="auto"/>
        </w:rPr>
      </w:pPr>
    </w:p>
    <w:p>
      <w:pPr>
        <w:ind w:left="880" w:hanging="224"/>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expired or existing contracts contain leases;</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or existing leases;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direct costs for any existing leases.</w:t>
      </w:r>
    </w:p>
    <w:p>
      <w:pPr>
        <w:spacing w:after="0" w:line="23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to not recognize lease assets and lease liabilities for leases in all asset classes with lease terms less than twelve months. The Company recognizes lease expense for such leases generally on a straight-line basis over the lease term. The Company also elected to combine lease and non-lease components on its leases into a single lease component.</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Upon adoption of this guidance on January 1, 2022, the Company recognized $36.1 million in right of use assets ("ROU"), and corresponding lease liabilities of $37.5 million, net of the current portion of lease liability of $7.0 million, on its consolidated balance sheet. In addition, the Company recognized a decrease to assets and liabilities of $37.6 million and $38.4 million, respectively, and a decrease to the beginning accumulated deficit of $0.8 million, as a result of the derecognition of its build-to-suit arrangement that was reassessed to be an operating lease under the new guidance. The adoption of this guidance did not have a material impact on the Company's consolidated statements of comprehensive loss or the consolidated statements of cash flows. Refer to Note 16, "Leases" included in these consolidated financial statements for more information on leases.</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("ASC 740"). This standard simplifies the accounting for income taxes by removing certain exceptions to the general principles in ASC 740 as well as by improving consistent application of the topic by clarifying and amending existing guidance. For public business entities, the ASU is effective for fiscal years, and interim periods within those fiscal years, beginning after December 15, 2020. For all other entities, the ASU is effective for fiscal years beginning after December 15, 2021, and interim periods within fiscal years beginning after December 15, 2022.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adoption of ASC 740 did not have a material impact on the Company’s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 Not Yet Adopted</w:t>
      </w:r>
    </w:p>
    <w:p>
      <w:pPr>
        <w:spacing w:after="0" w:line="25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to amend the accounting for credit losses for certain financial instruments. This guidance replaces the incurred loss impairment methodology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methodology that reflects expected credit losses. In November 2019, FASB issued ASU No. 2019-10 which delayed the effective dates of the guidance. This guidance is effective for public business</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93" w:name="page94"/>
    <w:bookmarkEnd w:id="93"/>
    <w:p>
      <w:pPr>
        <w:spacing w:after="0" w:line="261" w:lineRule="auto"/>
        <w:rPr>
          <w:sz w:val="20"/>
          <w:szCs w:val="20"/>
          <w:color w:val="auto"/>
        </w:rPr>
      </w:pPr>
      <w:r>
        <w:rPr>
          <w:rFonts w:ascii="Times New Roman" w:cs="Times New Roman" w:eastAsia="Times New Roman" w:hAnsi="Times New Roman"/>
          <w:sz w:val="18"/>
          <w:szCs w:val="18"/>
          <w:color w:val="auto"/>
        </w:rPr>
        <w:t>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does not expect the adoption of ASC 326 to have a material impact on the Company’s consolidated financial statements.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333333"/>
              </w:rPr>
              <w:t>3.</w:t>
            </w:r>
          </w:p>
        </w:tc>
        <w:tc>
          <w:tcPr>
            <w:tcW w:w="4560" w:type="dxa"/>
            <w:vAlign w:val="bottom"/>
          </w:tcPr>
          <w:p>
            <w:pPr>
              <w:jc w:val="center"/>
              <w:ind w:right="3690"/>
              <w:spacing w:after="0"/>
              <w:rPr>
                <w:sz w:val="20"/>
                <w:szCs w:val="20"/>
                <w:color w:val="auto"/>
              </w:rPr>
            </w:pPr>
            <w:r>
              <w:rPr>
                <w:rFonts w:ascii="Times New Roman" w:cs="Times New Roman" w:eastAsia="Times New Roman" w:hAnsi="Times New Roman"/>
                <w:sz w:val="18"/>
                <w:szCs w:val="18"/>
                <w:b w:val="1"/>
                <w:bCs w:val="1"/>
                <w:color w:val="333333"/>
                <w:w w:val="99"/>
              </w:rPr>
              <w:t>Revenue</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160" w:type="dxa"/>
            <w:vAlign w:val="bottom"/>
            <w:gridSpan w:val="2"/>
          </w:tcPr>
          <w:p>
            <w:pPr>
              <w:jc w:val="center"/>
              <w:ind w:right="309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by sales channel:</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32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w:t>
            </w:r>
          </w:p>
        </w:tc>
        <w:tc>
          <w:tcPr>
            <w:tcW w:w="4560" w:type="dxa"/>
            <w:vAlign w:val="bottom"/>
          </w:tcPr>
          <w:p>
            <w:pPr>
              <w:spacing w:after="0"/>
              <w:rPr>
                <w:sz w:val="23"/>
                <w:szCs w:val="23"/>
                <w:color w:val="auto"/>
              </w:rPr>
            </w:pPr>
          </w:p>
        </w:tc>
        <w:tc>
          <w:tcPr>
            <w:tcW w:w="13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141,403</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157,546</w:t>
            </w:r>
          </w:p>
        </w:tc>
        <w:tc>
          <w:tcPr>
            <w:tcW w:w="40" w:type="dxa"/>
            <w:vAlign w:val="bottom"/>
          </w:tcPr>
          <w:p>
            <w:pPr>
              <w:spacing w:after="0"/>
              <w:rPr>
                <w:sz w:val="23"/>
                <w:szCs w:val="23"/>
                <w:color w:val="auto"/>
              </w:rPr>
            </w:pPr>
          </w:p>
        </w:tc>
        <w:tc>
          <w:tcPr>
            <w:tcW w:w="5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4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172,248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161,093</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2"/>
                <w:szCs w:val="22"/>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4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300,522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by product category:</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2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Diapers and Wipes</w:t>
            </w:r>
          </w:p>
        </w:tc>
        <w:tc>
          <w:tcPr>
            <w:tcW w:w="13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200,429</w:t>
            </w:r>
          </w:p>
        </w:tc>
        <w:tc>
          <w:tcPr>
            <w:tcW w:w="100" w:type="dxa"/>
            <w:vAlign w:val="bottom"/>
          </w:tcPr>
          <w:p>
            <w:pPr>
              <w:spacing w:after="0"/>
              <w:rPr>
                <w:sz w:val="23"/>
                <w:szCs w:val="23"/>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200,923</w:t>
            </w:r>
          </w:p>
        </w:tc>
        <w:tc>
          <w:tcPr>
            <w:tcW w:w="40" w:type="dxa"/>
            <w:vAlign w:val="bottom"/>
          </w:tcPr>
          <w:p>
            <w:pPr>
              <w:spacing w:after="0"/>
              <w:rPr>
                <w:sz w:val="23"/>
                <w:szCs w:val="23"/>
                <w:color w:val="auto"/>
              </w:rPr>
            </w:pPr>
          </w:p>
        </w:tc>
        <w:tc>
          <w:tcPr>
            <w:tcW w:w="5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Skin and Personal Care</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89,316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Household and Wellness</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313,651</w:t>
            </w:r>
          </w:p>
        </w:tc>
        <w:tc>
          <w:tcPr>
            <w:tcW w:w="100" w:type="dxa"/>
            <w:vAlign w:val="bottom"/>
          </w:tcPr>
          <w:p>
            <w:pPr>
              <w:spacing w:after="0"/>
              <w:rPr>
                <w:sz w:val="22"/>
                <w:szCs w:val="22"/>
                <w:color w:val="auto"/>
              </w:rPr>
            </w:pPr>
          </w:p>
        </w:tc>
        <w:tc>
          <w:tcPr>
            <w:tcW w:w="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318,639</w:t>
            </w:r>
          </w:p>
        </w:tc>
        <w:tc>
          <w:tcPr>
            <w:tcW w:w="40" w:type="dxa"/>
            <w:vAlign w:val="bottom"/>
          </w:tcPr>
          <w:p>
            <w:pPr>
              <w:spacing w:after="0"/>
              <w:rPr>
                <w:sz w:val="22"/>
                <w:szCs w:val="22"/>
                <w:color w:val="auto"/>
              </w:rPr>
            </w:pPr>
          </w:p>
        </w:tc>
        <w:tc>
          <w:tcPr>
            <w:tcW w:w="5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Non-Monetary Transactions</w:t>
      </w:r>
    </w:p>
    <w:p>
      <w:pPr>
        <w:spacing w:after="0" w:line="25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entered into trade agreements with a vendor to exchange excess inventory for future marketing and transportation credits. The Company recognized revenue reflecting the fair value of the marketing and transportation credits, with the corresponding asset included in prepaid expenses and other current assets and other assets in the accompanying consolidated balance sheets. The Company may use the marketing and transportation credits over four years from the date of the respective agreement, with an option to extend for another two years if agreed upon by both parties. For the years ended December 31, 2022 and 2021, the Company recognized $3.2 million and $4.2 million, respectively, of revenue and $1.7 million and $2.2 million, respectively, of associated cost of revenue based on timing of delivery of goods.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During the years ended December 31, 2022 and 2021, the Company recorded no impairment losses related to these credits and used an aggregate of $1.4 million and $0.4 million, respectively, of credits.</w:t>
      </w:r>
    </w:p>
    <w:p>
      <w:pPr>
        <w:sectPr>
          <w:pgSz w:w="11900" w:h="16838" w:orient="portrait"/>
          <w:cols w:equalWidth="0" w:num="1">
            <w:col w:w="11220"/>
          </w:cols>
          <w:pgMar w:left="320" w:top="1174" w:right="359" w:bottom="1440" w:gutter="0" w:footer="0" w:header="0"/>
        </w:sectPr>
      </w:pPr>
    </w:p>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231F20"/>
        </w:rPr>
        <w:t>4.</w:t>
        <w:tab/>
        <w:t>Intangible Assets, Net</w:t>
      </w:r>
    </w:p>
    <w:p>
      <w:pPr>
        <w:spacing w:after="0" w:line="229"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231F20"/>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Tradenames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Domain names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27946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Intangible</w:t>
            </w:r>
          </w:p>
        </w:tc>
      </w:tr>
      <w:tr>
        <w:trPr>
          <w:trHeight w:val="238"/>
        </w:trPr>
        <w:tc>
          <w:tcPr>
            <w:tcW w:w="2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 Net</w:t>
            </w:r>
          </w:p>
        </w:tc>
      </w:tr>
      <w:tr>
        <w:trPr>
          <w:trHeight w:val="27"/>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93"/>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70"/>
        </w:trPr>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720"/>
            <w:col w:w="4400"/>
          </w:cols>
          <w:pgMar w:left="320" w:top="117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94" w:name="page95"/>
    <w:bookmarkEnd w:id="94"/>
    <w:tbl>
      <w:tblPr>
        <w:tblLayout w:type="fixed"/>
        <w:tblInd w:w="4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 Net</w:t>
            </w:r>
          </w:p>
        </w:tc>
        <w:tc>
          <w:tcPr>
            <w:tcW w:w="0" w:type="dxa"/>
            <w:vAlign w:val="bottom"/>
          </w:tcPr>
          <w:p>
            <w:pPr>
              <w:spacing w:after="0"/>
              <w:rPr>
                <w:sz w:val="1"/>
                <w:szCs w:val="1"/>
                <w:color w:val="auto"/>
              </w:rPr>
            </w:pPr>
          </w:p>
        </w:tc>
      </w:tr>
      <w:tr>
        <w:trPr>
          <w:trHeight w:val="27"/>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Domain names</w:t>
            </w: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231F20"/>
        </w:rPr>
        <w:t>As of December 31, 2022 and 2021, the weighted average remaining useful lives for tradenames and domain names was 6.2 years and 4.8 years, respectively, and 7.1 years and 5.8 years, respectively.</w:t>
      </w:r>
    </w:p>
    <w:p>
      <w:pPr>
        <w:spacing w:after="0" w:line="162"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231F20"/>
        </w:rPr>
        <w:t>Amortization expense was $0.1 million for each of the years ended December 31, 2022, 2021 and 2020, respectively. Estimated future amortization expense for each of the following five years ending December 31 and thereafter is as follows:</w:t>
      </w:r>
    </w:p>
    <w:p>
      <w:pPr>
        <w:sectPr>
          <w:pgSz w:w="11900" w:h="16838" w:orient="portrait"/>
          <w:cols w:equalWidth="0" w:num="1">
            <w:col w:w="11220"/>
          </w:cols>
          <w:pgMar w:left="320" w:top="1224" w:right="359" w:bottom="942" w:gutter="0" w:footer="0" w:header="0"/>
        </w:sect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231F20"/>
        </w:rPr>
        <w:t>(in thousands)</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2023</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2024</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2025</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2026</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2027</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Thereafter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60" w:hanging="316"/>
        <w:spacing w:after="0"/>
        <w:tabs>
          <w:tab w:leader="none" w:pos="360" w:val="left"/>
        </w:tabs>
        <w:numPr>
          <w:ilvl w:val="0"/>
          <w:numId w:val="3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31F20"/>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Machinery and equipment</w:t>
      </w: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Computer and office equipment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Capitalized software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Furniture and fixtures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Building</w:t>
      </w:r>
      <w:r>
        <w:rPr>
          <w:rFonts w:ascii="Times New Roman" w:cs="Times New Roman" w:eastAsia="Times New Roman" w:hAnsi="Times New Roman"/>
          <w:sz w:val="23"/>
          <w:szCs w:val="23"/>
          <w:color w:val="231F20"/>
          <w:vertAlign w:val="superscript"/>
        </w:rPr>
        <w:t>(1)</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231F20"/>
        </w:rPr>
        <w:t>Accumulated depreciation and amortization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__________</w:t>
      </w:r>
    </w:p>
    <w:p>
      <w:pPr>
        <w:spacing w:after="0" w:line="150" w:lineRule="exact"/>
        <w:rPr>
          <w:sz w:val="20"/>
          <w:szCs w:val="20"/>
          <w:color w:val="auto"/>
        </w:rPr>
      </w:pPr>
    </w:p>
    <w:p>
      <w:pPr>
        <w:ind w:left="280" w:hanging="182"/>
        <w:spacing w:after="0"/>
        <w:tabs>
          <w:tab w:leader="none" w:pos="2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part of the adoption of ASC 842 the </w:t>
      </w:r>
      <w:r>
        <w:rPr>
          <w:rFonts w:ascii="Times New Roman" w:cs="Times New Roman" w:eastAsia="Times New Roman" w:hAnsi="Times New Roman"/>
          <w:sz w:val="11"/>
          <w:szCs w:val="11"/>
          <w:color w:val="auto"/>
        </w:rPr>
        <w:t>build-to-suit arrangement was derecognized.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880" w:hanging="832"/>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63"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6946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57" w:lineRule="exact"/>
        <w:rPr>
          <w:sz w:val="20"/>
          <w:szCs w:val="20"/>
          <w:color w:val="auto"/>
        </w:rPr>
      </w:pPr>
    </w:p>
    <w:p>
      <w:pPr>
        <w:ind w:left="780" w:hanging="732"/>
        <w:spacing w:after="0"/>
        <w:tabs>
          <w:tab w:leader="none" w:pos="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694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60325</wp:posOffset>
            </wp:positionV>
            <wp:extent cx="694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4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231F20"/>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wp:posOffset>
            </wp:positionV>
            <wp:extent cx="16541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36830</wp:posOffset>
            </wp:positionV>
            <wp:extent cx="16541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17" w:lineRule="exact"/>
        <w:rPr>
          <w:sz w:val="20"/>
          <w:szCs w:val="20"/>
          <w:color w:val="auto"/>
        </w:rPr>
      </w:pPr>
    </w:p>
    <w:p>
      <w:pPr>
        <w:spacing w:after="0"/>
        <w:tabs>
          <w:tab w:leader="none" w:pos="66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12,198</w:t>
        <w:tab/>
        <w:t>$</w:t>
      </w:r>
      <w:r>
        <w:rPr>
          <w:sz w:val="20"/>
          <w:szCs w:val="20"/>
          <w:color w:val="auto"/>
        </w:rPr>
        <w:tab/>
      </w:r>
      <w:r>
        <w:rPr>
          <w:rFonts w:ascii="Times New Roman" w:cs="Times New Roman" w:eastAsia="Times New Roman" w:hAnsi="Times New Roman"/>
          <w:sz w:val="17"/>
          <w:szCs w:val="17"/>
          <w:color w:val="auto"/>
        </w:rPr>
        <w:t>12,064</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1,794</w:t>
      </w:r>
      <w:r>
        <w:rPr>
          <w:sz w:val="20"/>
          <w:szCs w:val="20"/>
          <w:color w:val="auto"/>
        </w:rPr>
        <w:tab/>
      </w:r>
      <w:r>
        <w:rPr>
          <w:rFonts w:ascii="Times New Roman" w:cs="Times New Roman" w:eastAsia="Times New Roman" w:hAnsi="Times New Roman"/>
          <w:sz w:val="18"/>
          <w:szCs w:val="18"/>
          <w:color w:val="auto"/>
        </w:rPr>
        <w:t>1,461</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5,989</w:t>
      </w:r>
      <w:r>
        <w:rPr>
          <w:sz w:val="20"/>
          <w:szCs w:val="20"/>
          <w:color w:val="auto"/>
        </w:rPr>
        <w:tab/>
      </w:r>
      <w:r>
        <w:rPr>
          <w:rFonts w:ascii="Times New Roman" w:cs="Times New Roman" w:eastAsia="Times New Roman" w:hAnsi="Times New Roman"/>
          <w:sz w:val="18"/>
          <w:szCs w:val="18"/>
          <w:color w:val="auto"/>
        </w:rPr>
        <w:t>4,906</w:t>
      </w:r>
    </w:p>
    <w:p>
      <w:pPr>
        <w:spacing w:after="0" w:line="63" w:lineRule="exact"/>
        <w:rPr>
          <w:sz w:val="20"/>
          <w:szCs w:val="20"/>
          <w:color w:val="auto"/>
        </w:rPr>
      </w:pPr>
    </w:p>
    <w:p>
      <w:pPr>
        <w:ind w:left="760"/>
        <w:spacing w:after="0"/>
        <w:tabs>
          <w:tab w:leader="none" w:pos="2080" w:val="left"/>
        </w:tabs>
        <w:rPr>
          <w:sz w:val="20"/>
          <w:szCs w:val="20"/>
          <w:color w:val="auto"/>
        </w:rPr>
      </w:pPr>
      <w:r>
        <w:rPr>
          <w:rFonts w:ascii="Times New Roman" w:cs="Times New Roman" w:eastAsia="Times New Roman" w:hAnsi="Times New Roman"/>
          <w:sz w:val="18"/>
          <w:szCs w:val="18"/>
          <w:color w:val="auto"/>
        </w:rPr>
        <w:t>4,334</w:t>
      </w:r>
      <w:r>
        <w:rPr>
          <w:sz w:val="20"/>
          <w:szCs w:val="20"/>
          <w:color w:val="auto"/>
        </w:rPr>
        <w:tab/>
      </w:r>
      <w:r>
        <w:rPr>
          <w:rFonts w:ascii="Times New Roman" w:cs="Times New Roman" w:eastAsia="Times New Roman" w:hAnsi="Times New Roman"/>
          <w:sz w:val="18"/>
          <w:szCs w:val="18"/>
          <w:color w:val="auto"/>
        </w:rPr>
        <w:t>4,304</w:t>
      </w:r>
    </w:p>
    <w:p>
      <w:pPr>
        <w:spacing w:after="0" w:line="63" w:lineRule="exact"/>
        <w:rPr>
          <w:sz w:val="20"/>
          <w:szCs w:val="20"/>
          <w:color w:val="auto"/>
        </w:rPr>
      </w:pPr>
    </w:p>
    <w:p>
      <w:pPr>
        <w:ind w:left="680"/>
        <w:spacing w:after="0"/>
        <w:tabs>
          <w:tab w:leader="none" w:pos="2000" w:val="left"/>
        </w:tabs>
        <w:rPr>
          <w:sz w:val="20"/>
          <w:szCs w:val="20"/>
          <w:color w:val="auto"/>
        </w:rPr>
      </w:pPr>
      <w:r>
        <w:rPr>
          <w:rFonts w:ascii="Times New Roman" w:cs="Times New Roman" w:eastAsia="Times New Roman" w:hAnsi="Times New Roman"/>
          <w:sz w:val="18"/>
          <w:szCs w:val="18"/>
          <w:color w:val="auto"/>
        </w:rPr>
        <w:t>15,839</w:t>
      </w:r>
      <w:r>
        <w:rPr>
          <w:sz w:val="20"/>
          <w:szCs w:val="20"/>
          <w:color w:val="auto"/>
        </w:rPr>
        <w:tab/>
      </w:r>
      <w:r>
        <w:rPr>
          <w:rFonts w:ascii="Times New Roman" w:cs="Times New Roman" w:eastAsia="Times New Roman" w:hAnsi="Times New Roman"/>
          <w:sz w:val="18"/>
          <w:szCs w:val="18"/>
          <w:color w:val="auto"/>
        </w:rPr>
        <w:t>15,839</w:t>
      </w:r>
    </w:p>
    <w:p>
      <w:pPr>
        <w:spacing w:after="0" w:line="6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42,146</w:t>
      </w:r>
    </w:p>
    <w:p>
      <w:pPr>
        <w:spacing w:after="0" w:line="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40,154</w:t>
      </w:r>
      <w:r>
        <w:rPr>
          <w:rFonts w:ascii="Times New Roman" w:cs="Times New Roman" w:eastAsia="Times New Roman" w:hAnsi="Times New Roman"/>
          <w:sz w:val="17"/>
          <w:szCs w:val="17"/>
          <w:color w:val="auto"/>
        </w:rPr>
        <w:t>80,720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-144780</wp:posOffset>
            </wp:positionV>
            <wp:extent cx="16541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43" w:lineRule="exact"/>
        <w:rPr>
          <w:sz w:val="20"/>
          <w:szCs w:val="20"/>
          <w:color w:val="auto"/>
        </w:rPr>
      </w:pPr>
    </w:p>
    <w:p>
      <w:pPr>
        <w:jc w:val="both"/>
        <w:ind w:left="600"/>
        <w:spacing w:after="0"/>
        <w:tabs>
          <w:tab w:leader="none" w:pos="1920" w:val="left"/>
        </w:tabs>
        <w:rPr>
          <w:sz w:val="20"/>
          <w:szCs w:val="20"/>
          <w:color w:val="auto"/>
        </w:rPr>
      </w:pPr>
      <w:r>
        <w:rPr>
          <w:rFonts w:ascii="Times New Roman" w:cs="Times New Roman" w:eastAsia="Times New Roman" w:hAnsi="Times New Roman"/>
          <w:sz w:val="18"/>
          <w:szCs w:val="18"/>
          <w:color w:val="auto"/>
        </w:rPr>
        <w:t>(25,827)</w:t>
      </w:r>
      <w:r>
        <w:rPr>
          <w:sz w:val="20"/>
          <w:szCs w:val="20"/>
          <w:color w:val="auto"/>
        </w:rPr>
        <w:tab/>
      </w:r>
      <w:r>
        <w:rPr>
          <w:rFonts w:ascii="Times New Roman" w:cs="Times New Roman" w:eastAsia="Times New Roman" w:hAnsi="Times New Roman"/>
          <w:sz w:val="18"/>
          <w:szCs w:val="18"/>
          <w:color w:val="auto"/>
        </w:rPr>
        <w:t>(27,768)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6541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57" w:lineRule="exact"/>
        <w:rPr>
          <w:sz w:val="20"/>
          <w:szCs w:val="20"/>
          <w:color w:val="auto"/>
        </w:rPr>
      </w:pPr>
    </w:p>
    <w:p>
      <w:pPr>
        <w:spacing w:after="0"/>
        <w:tabs>
          <w:tab w:leader="none" w:pos="660" w:val="left"/>
          <w:tab w:leader="none" w:pos="1340" w:val="left"/>
          <w:tab w:leader="none" w:pos="2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14,327</w:t>
        <w:tab/>
        <w:t>$</w:t>
      </w:r>
      <w:r>
        <w:rPr>
          <w:sz w:val="20"/>
          <w:szCs w:val="20"/>
          <w:color w:val="auto"/>
        </w:rPr>
        <w:tab/>
      </w:r>
      <w:r>
        <w:rPr>
          <w:rFonts w:ascii="Times New Roman" w:cs="Times New Roman" w:eastAsia="Times New Roman" w:hAnsi="Times New Roman"/>
          <w:sz w:val="17"/>
          <w:szCs w:val="17"/>
          <w:color w:val="auto"/>
        </w:rPr>
        <w:t>52,952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1654175"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54175" cy="34290"/>
                    </a:xfrm>
                    <a:prstGeom prst="rect">
                      <a:avLst/>
                    </a:prstGeom>
                    <a:noFill/>
                  </pic:spPr>
                </pic:pic>
              </a:graphicData>
            </a:graphic>
          </wp:anchor>
        </w:drawing>
      </w:r>
    </w:p>
    <w:p>
      <w:pPr>
        <w:spacing w:after="0" w:line="909" w:lineRule="exact"/>
        <w:rPr>
          <w:sz w:val="20"/>
          <w:szCs w:val="20"/>
          <w:color w:val="auto"/>
        </w:rPr>
      </w:pPr>
    </w:p>
    <w:p>
      <w:pPr>
        <w:sectPr>
          <w:pgSz w:w="11900" w:h="16838" w:orient="portrait"/>
          <w:cols w:equalWidth="0" w:num="2">
            <w:col w:w="7920" w:space="720"/>
            <w:col w:w="2580"/>
          </w:cols>
          <w:pgMar w:left="320" w:top="1224" w:right="359" w:bottom="942" w:gutter="0" w:footer="0" w:header="0"/>
          <w:type w:val="continuous"/>
        </w:sectPr>
      </w:pP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For each of the years ended December 31, 2022, 2021 and 2020, depreciation of equipment under capital lease obligations was $0.3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 xml:space="preserve">$0.4 million and $0.3 million, respectively. </w:t>
      </w:r>
      <w:r>
        <w:rPr>
          <w:rFonts w:ascii="Times New Roman" w:cs="Times New Roman" w:eastAsia="Times New Roman" w:hAnsi="Times New Roman"/>
          <w:sz w:val="17"/>
          <w:szCs w:val="17"/>
          <w:color w:val="000000"/>
        </w:rPr>
        <w:t>See Note 2 "Summary of Significant Accounting Policies" and Note 16 "Leases"</w:t>
      </w:r>
      <w:r>
        <w:rPr>
          <w:rFonts w:ascii="Times New Roman" w:cs="Times New Roman" w:eastAsia="Times New Roman" w:hAnsi="Times New Roman"/>
          <w:sz w:val="17"/>
          <w:szCs w:val="17"/>
          <w:color w:val="231F20"/>
        </w:rPr>
        <w:t xml:space="preserve"> for more information on </w:t>
      </w:r>
      <w:r>
        <w:rPr>
          <w:rFonts w:ascii="Times New Roman" w:cs="Times New Roman" w:eastAsia="Times New Roman" w:hAnsi="Times New Roman"/>
          <w:sz w:val="17"/>
          <w:szCs w:val="17"/>
          <w:color w:val="000000"/>
        </w:rPr>
        <w:t>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of ASC 842.</w:t>
      </w:r>
    </w:p>
    <w:p>
      <w:pPr>
        <w:spacing w:after="0" w:line="234"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231F20"/>
        </w:rPr>
        <w:t>Total depreciation and amortization expense for property and equipment, inclusive of depreciation expense for equipment under capital lease obligations consisted of the following:</w:t>
      </w:r>
    </w:p>
    <w:p>
      <w:pPr>
        <w:sectPr>
          <w:pgSz w:w="11900" w:h="16838" w:orient="portrait"/>
          <w:cols w:equalWidth="0" w:num="1">
            <w:col w:w="11220"/>
          </w:cols>
          <w:pgMar w:left="320" w:top="1224" w:right="359" w:bottom="9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942" w:gutter="0" w:footer="0" w:header="0"/>
          <w:type w:val="continuous"/>
        </w:sectPr>
      </w:pPr>
    </w:p>
    <w:bookmarkStart w:id="95" w:name="page96"/>
    <w:bookmarkEnd w:id="95"/>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4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43"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18"/>
          <w:szCs w:val="18"/>
          <w:color w:val="auto"/>
        </w:rPr>
        <w:t xml:space="preserve">As of December 31, 2022 and </w:t>
      </w:r>
      <w:r>
        <w:rPr>
          <w:rFonts w:ascii="Times New Roman" w:cs="Times New Roman" w:eastAsia="Times New Roman" w:hAnsi="Times New Roman"/>
          <w:sz w:val="18"/>
          <w:szCs w:val="18"/>
          <w:color w:val="231F20"/>
        </w:rPr>
        <w:t>2021</w:t>
      </w:r>
      <w:r>
        <w:rPr>
          <w:rFonts w:ascii="Times New Roman" w:cs="Times New Roman" w:eastAsia="Times New Roman" w:hAnsi="Times New Roman"/>
          <w:sz w:val="18"/>
          <w:szCs w:val="18"/>
          <w:color w:val="auto"/>
        </w:rPr>
        <w:t xml:space="preserve">, all investments in debt securities are classified as available-for-sale investments. All investments are reported within current assets because the securities represent investments of cash available for current operations. As of December 31, 2022 and </w:t>
      </w:r>
      <w:r>
        <w:rPr>
          <w:rFonts w:ascii="Times New Roman" w:cs="Times New Roman" w:eastAsia="Times New Roman" w:hAnsi="Times New Roman"/>
          <w:sz w:val="18"/>
          <w:szCs w:val="18"/>
          <w:color w:val="231F20"/>
        </w:rPr>
        <w:t>2021</w:t>
      </w:r>
      <w:r>
        <w:rPr>
          <w:rFonts w:ascii="Times New Roman" w:cs="Times New Roman" w:eastAsia="Times New Roman" w:hAnsi="Times New Roman"/>
          <w:sz w:val="18"/>
          <w:szCs w:val="18"/>
          <w:color w:val="auto"/>
        </w:rPr>
        <w:t xml:space="preserve">, the Company held $5.7 million and $36.4 million, respectively, of investments with contractual maturities of less than one year. As of December 31, 2022, the Company did not have any investments with contractual maturities between one and two years. As of </w:t>
      </w:r>
      <w:r>
        <w:rPr>
          <w:rFonts w:ascii="Times New Roman" w:cs="Times New Roman" w:eastAsia="Times New Roman" w:hAnsi="Times New Roman"/>
          <w:sz w:val="18"/>
          <w:szCs w:val="18"/>
          <w:color w:val="231F20"/>
        </w:rPr>
        <w:t>December 31, 2021</w:t>
      </w:r>
      <w:r>
        <w:rPr>
          <w:rFonts w:ascii="Times New Roman" w:cs="Times New Roman" w:eastAsia="Times New Roman" w:hAnsi="Times New Roman"/>
          <w:sz w:val="18"/>
          <w:szCs w:val="18"/>
          <w:color w:val="auto"/>
        </w:rPr>
        <w:t>, the Company held $6.0 million of investments with contractual maturities between one and two years. Available-for-sale investments are recorded at fair value, and unrealized holding gains and losses are recorded as a component of other comprehensive income (loss).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available-for-sale investments: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480" w:type="dxa"/>
            <w:vAlign w:val="bottom"/>
          </w:tcPr>
          <w:p>
            <w:pPr>
              <w:spacing w:after="0"/>
              <w:rPr>
                <w:sz w:val="18"/>
                <w:szCs w:val="18"/>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Cost or Amortized</w:t>
            </w: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6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Cost or Amortized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40" w:type="dxa"/>
            <w:vAlign w:val="bottom"/>
          </w:tcPr>
          <w:p>
            <w:pPr>
              <w:spacing w:after="0"/>
              <w:rPr>
                <w:sz w:val="18"/>
                <w:szCs w:val="18"/>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Estimated</w:t>
            </w: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Realized gains and losses on investments in debt securities for the years ended </w:t>
      </w:r>
      <w:r>
        <w:rPr>
          <w:rFonts w:ascii="Times New Roman" w:cs="Times New Roman" w:eastAsia="Times New Roman" w:hAnsi="Times New Roman"/>
          <w:sz w:val="18"/>
          <w:szCs w:val="18"/>
          <w:color w:val="231F20"/>
        </w:rPr>
        <w:t>December 31, 2022, 2021 and 2020 were immaterial</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measured and recorded at fair value on a recurring basis consist of the following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6" w:name="page97"/>
    <w:bookmarkEnd w:id="96"/>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3"/>
                <w:szCs w:val="23"/>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3,193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0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1,875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5,650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7"/>
        </w:trPr>
        <w:tc>
          <w:tcPr>
            <w:tcW w:w="4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Pr>
          <w:p>
            <w:pPr>
              <w:spacing w:after="0"/>
              <w:rPr>
                <w:sz w:val="22"/>
                <w:szCs w:val="22"/>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5,650</w:t>
            </w:r>
          </w:p>
        </w:tc>
        <w:tc>
          <w:tcPr>
            <w:tcW w:w="10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w:t>
            </w:r>
          </w:p>
        </w:tc>
      </w:tr>
      <w:tr>
        <w:trPr>
          <w:trHeight w:val="21"/>
        </w:trPr>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17,095</w:t>
            </w:r>
          </w:p>
        </w:tc>
      </w:tr>
      <w:tr>
        <w:trPr>
          <w:trHeight w:val="270"/>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32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42,388</w:t>
            </w:r>
          </w:p>
        </w:tc>
        <w:tc>
          <w:tcPr>
            <w:tcW w:w="10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71,799</w:t>
            </w:r>
          </w:p>
        </w:tc>
      </w:tr>
      <w:tr>
        <w:trPr>
          <w:trHeight w:val="21"/>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for the Company’s cash equivalents, accounts receivable, accounts payable, and accrued expenses approximate fair value due to their short maturities.</w:t>
      </w:r>
    </w:p>
    <w:p>
      <w:pPr>
        <w:spacing w:after="0" w:line="200" w:lineRule="exact"/>
        <w:rPr>
          <w:sz w:val="20"/>
          <w:szCs w:val="20"/>
          <w:color w:val="auto"/>
        </w:rPr>
      </w:pPr>
    </w:p>
    <w:p>
      <w:pPr>
        <w:spacing w:after="0" w:line="201"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w:t>
      </w:r>
    </w:p>
    <w:p>
      <w:pPr>
        <w:spacing w:after="0" w:line="25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Credit Facility</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2021, the Company entered into a first lien credit agreement (“2021 Credit Facility”), with JPMorgan Chase Bank, N.A., as administrative agent and lender, and the other lenders party thereto, which provided for a $35.0 million revolving credit facility that matures on April 30, 2026. The 2021 Credit Facility included a subfacility that provided for the issuance of letters of credit in an amount of up to $10.0 million at any time outstanding, which reduced the amount available under the 2021 Credit Facility. As of December 31, 2022 and 2021, there were outstanding standby letters of credit of $4.8 million and $6.3 million, respectively, related to lease obligations with $30.2 million and $28.7 million, respectively, available to be drawn upon. The 2021 Credit Facility was subject to customary fees for loan facilities of this type, including a commitment fee based on the average daily undrawn portion of the revolving credit facility. The Company recognized the commitment fee as incurred in interest and other expense, net in the consolidated statements of comprehensive loss. For the year ended December 31, 2022 and 2021, the commitment fee incurred was immaterial. The interest rate applicable to the 2021 Credit Facility was, at the Company’s option, either (a) the LIBOR (or a replacement rate established in accordance with the terms of the 2021 Credit Facility) (subject to a 0.00% LIBOR floor), plus a margin of 1.50% or (b) the CB floating rate minus a margin of 0.50%. The CB floating rate is the higher of (a) the Wall Street Journal prime rate and (b)(i) 2.50% plus (ii) the adjusted LIBOR rate for a one-month interest period. As of December 31, 2022 and 2021, there was no outstanding balance under the 2021 Credit Facility. Refer to Note 17, "Subsequent Events" included in these consolidated financial statements for more information on the termination of the 2021 Credit Facility, which was replaced with a new revolving credit facility.</w:t>
      </w:r>
    </w:p>
    <w:p>
      <w:pPr>
        <w:spacing w:after="0" w:line="224"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2021 Credit Facility contained covenants that restrict, among other things, the Company's ability to sell assets, make investments and acquisitions, make capital expenditures, grant liens, pay dividends and make certain other restricted payments. The Company was also subject to certain affirmative and negative covenants including the requirement that it maintains a total net</w:t>
      </w:r>
    </w:p>
    <w:p>
      <w:pPr>
        <w:sectPr>
          <w:pgSz w:w="11900" w:h="16838" w:orient="portrait"/>
          <w:cols w:equalWidth="0" w:num="1">
            <w:col w:w="11240"/>
          </w:cols>
          <w:pgMar w:left="320" w:top="1224" w:right="339" w:bottom="5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591" w:gutter="0" w:footer="0" w:header="0"/>
          <w:type w:val="continuous"/>
        </w:sectPr>
      </w:pPr>
    </w:p>
    <w:bookmarkStart w:id="97" w:name="page98"/>
    <w:bookmarkEnd w:id="97"/>
    <w:p>
      <w:pPr>
        <w:ind w:right="40"/>
        <w:spacing w:after="0" w:line="266" w:lineRule="auto"/>
        <w:rPr>
          <w:sz w:val="20"/>
          <w:szCs w:val="20"/>
          <w:color w:val="auto"/>
        </w:rPr>
      </w:pPr>
      <w:r>
        <w:rPr>
          <w:rFonts w:ascii="Times New Roman" w:cs="Times New Roman" w:eastAsia="Times New Roman" w:hAnsi="Times New Roman"/>
          <w:sz w:val="18"/>
          <w:szCs w:val="18"/>
          <w:color w:val="auto"/>
        </w:rPr>
        <w:t>leverage ratio of not more than 3.50:1.00 during the periods set forth in the 2021 Credit Facility. Failure to do so, unless waived by the lenders under the 2021 Credit Facility pursuant to its terms, as amended, would have resulted in an event of default under the 2021 Credit Facility. As of December 31, 2022, the Company was in compliance with the covenants under the 2021 Credit Facility.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payroll related expenses</w:t>
            </w:r>
            <w:r>
              <w:rPr>
                <w:rFonts w:ascii="Times New Roman" w:cs="Times New Roman" w:eastAsia="Times New Roman" w:hAnsi="Times New Roman"/>
                <w:sz w:val="23"/>
                <w:szCs w:val="23"/>
                <w:color w:val="auto"/>
                <w:vertAlign w:val="superscript"/>
              </w:rPr>
              <w:t>(1)</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80" w:type="dxa"/>
            <w:vAlign w:val="bottom"/>
          </w:tcPr>
          <w:p>
            <w:pPr>
              <w:spacing w:after="0"/>
              <w:rPr>
                <w:sz w:val="24"/>
                <w:szCs w:val="24"/>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returns</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30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rent</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80" w:type="dxa"/>
            <w:vAlign w:val="bottom"/>
          </w:tcPr>
          <w:p>
            <w:pPr>
              <w:spacing w:after="0"/>
              <w:rPr>
                <w:sz w:val="22"/>
                <w:szCs w:val="22"/>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w:t>
            </w: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3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73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(1) Includes $4.3 million of CEO transition related expense.</w:t>
            </w:r>
          </w:p>
        </w:tc>
        <w:tc>
          <w:tcPr>
            <w:tcW w:w="4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93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(2) Represents short-term operating lease liabilities upon adoption of ASC 842. Refer to Note 16, "Leases" included in these consolidated financial statements for more information on leases.</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Redeemable Convertible Preferred Stock and Stockholders’ Deficit</w:t>
      </w:r>
    </w:p>
    <w:p>
      <w:pPr>
        <w:spacing w:after="0" w:line="200" w:lineRule="exact"/>
        <w:rPr>
          <w:sz w:val="20"/>
          <w:szCs w:val="20"/>
          <w:color w:val="auto"/>
        </w:rPr>
      </w:pPr>
    </w:p>
    <w:p>
      <w:pPr>
        <w:spacing w:after="0" w:line="27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on extinguishment of the redeemable convertible preferred stock for earnings per share purposes of $29.0 million from the conversion of redeemable convertible preferred stock to common stock. Following the completion of the IPO, the Company has one class of authorized and outstanding common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following table summarizes the Company's redeemable convertible preferred stock information as of December 31, 2020:</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and</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Liquidation</w:t>
            </w:r>
          </w:p>
        </w:tc>
      </w:tr>
      <w:tr>
        <w:trPr>
          <w:trHeight w:val="238"/>
        </w:trPr>
        <w:tc>
          <w:tcPr>
            <w:tcW w:w="53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Preference</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11,347,518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11,347,518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11,554,016</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4,551,572</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4,551,572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C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5,174,204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D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4,545,944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4,454,624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101,911</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E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6,918,204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6,918,204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67,815</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Series F Redeemable Convertible Preferred Stock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5,100,790</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5,100,790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49,192,248</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396,726</w:t>
            </w:r>
          </w:p>
        </w:tc>
      </w:tr>
      <w:tr>
        <w:trPr>
          <w:trHeight w:val="27"/>
        </w:trPr>
        <w:tc>
          <w:tcPr>
            <w:tcW w:w="5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Shares Available for Issuance</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Immediately prior to the completion of the IPO, the Company filed an Amended and Restated Certificate of Incorporation, which authorized a total of 1,000,000,000 shares of common stock and 20,000,000 shares of preferred stock.</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231F20"/>
        </w:rPr>
        <w:t>As of December 31, 2021, there were no shares of Series A, Series A-1, Series B, Series C, Series D, Series E, or Series F redeemable convertible preferred stock available for issuance. As of December 31, 2020, the number of common shares available for issuance under the Company’s amended certificate of incorporation were as follows:</w:t>
      </w:r>
    </w:p>
    <w:p>
      <w:pPr>
        <w:sectPr>
          <w:pgSz w:w="11900" w:h="16838" w:orient="portrait"/>
          <w:cols w:equalWidth="0" w:num="1">
            <w:col w:w="11240"/>
          </w:cols>
          <w:pgMar w:left="320" w:top="1174" w:right="339" w:bottom="7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766" w:gutter="0" w:footer="0" w:header="0"/>
          <w:type w:val="continuous"/>
        </w:sectPr>
      </w:pPr>
    </w:p>
    <w:bookmarkStart w:id="98" w:name="page99"/>
    <w:bookmarkEnd w:id="98"/>
    <w:tbl>
      <w:tblPr>
        <w:tblLayout w:type="fixed"/>
        <w:tblInd w:w="60" w:type="dxa"/>
        <w:tblCellMar>
          <w:top w:w="0" w:type="dxa"/>
          <w:left w:w="0" w:type="dxa"/>
          <w:bottom w:w="0" w:type="dxa"/>
          <w:right w:w="0" w:type="dxa"/>
        </w:tblCellMar>
      </w:tblPr>
      <w:tr>
        <w:trPr>
          <w:trHeight w:val="284"/>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Authorized number of common shares</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110,000,000</w:t>
            </w:r>
          </w:p>
        </w:tc>
        <w:tc>
          <w:tcPr>
            <w:tcW w:w="0" w:type="dxa"/>
            <w:vAlign w:val="bottom"/>
          </w:tcPr>
          <w:p>
            <w:pPr>
              <w:spacing w:after="0"/>
              <w:rPr>
                <w:sz w:val="1"/>
                <w:szCs w:val="1"/>
                <w:color w:val="auto"/>
              </w:rPr>
            </w:pPr>
          </w:p>
        </w:tc>
      </w:tr>
      <w:tr>
        <w:trPr>
          <w:trHeight w:val="24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(34,089,186)</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outstanding under the 2011 Plan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(18,038,042)</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available for grant under the 2011 Plan</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(2,595,078)</w:t>
            </w:r>
          </w:p>
        </w:tc>
        <w:tc>
          <w:tcPr>
            <w:tcW w:w="0" w:type="dxa"/>
            <w:vAlign w:val="bottom"/>
          </w:tcPr>
          <w:p>
            <w:pPr>
              <w:spacing w:after="0"/>
              <w:rPr>
                <w:sz w:val="1"/>
                <w:szCs w:val="1"/>
                <w:color w:val="auto"/>
              </w:rPr>
            </w:pPr>
          </w:p>
        </w:tc>
      </w:tr>
      <w:tr>
        <w:trPr>
          <w:trHeight w:val="27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the conversion of preferred stock</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(49,100,928)</w:t>
            </w:r>
          </w:p>
        </w:tc>
        <w:tc>
          <w:tcPr>
            <w:tcW w:w="0" w:type="dxa"/>
            <w:vAlign w:val="bottom"/>
          </w:tcPr>
          <w:p>
            <w:pPr>
              <w:spacing w:after="0"/>
              <w:rPr>
                <w:sz w:val="1"/>
                <w:szCs w:val="1"/>
                <w:color w:val="auto"/>
              </w:rPr>
            </w:pPr>
          </w:p>
        </w:tc>
      </w:tr>
      <w:tr>
        <w:trPr>
          <w:trHeight w:val="27"/>
        </w:trPr>
        <w:tc>
          <w:tcPr>
            <w:tcW w:w="84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231F20"/>
              </w:rPr>
              <w:t>Available for issuance</w:t>
            </w: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vMerge w:val="continue"/>
          </w:tcPr>
          <w:p>
            <w:pPr>
              <w:spacing w:after="0"/>
              <w:rPr>
                <w:sz w:val="20"/>
                <w:szCs w:val="20"/>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231F20"/>
              </w:rPr>
              <w:t>6,176,766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8380" w:firstLine="8"/>
        <w:spacing w:after="0" w:line="534" w:lineRule="auto"/>
        <w:tabs>
          <w:tab w:leader="none" w:pos="30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w:t>
      </w: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 xml:space="preserve">loss can be reasonably estimated, the Company records a liability for the loss and </w:t>
      </w:r>
      <w:r>
        <w:rPr>
          <w:rFonts w:ascii="Times New Roman" w:cs="Times New Roman" w:eastAsia="Times New Roman" w:hAnsi="Times New Roman"/>
          <w:sz w:val="18"/>
          <w:szCs w:val="18"/>
          <w:color w:val="231F20"/>
        </w:rPr>
        <w:t>discloses the possible loss in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costs are expensed as incurred.</w:t>
      </w:r>
    </w:p>
    <w:p>
      <w:pPr>
        <w:spacing w:after="0" w:line="1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17, 2019, the Nevada Department of Taxation (the “Department”) issued a Deficiency Notice against the Company to initiate administrative legal proceedings before the Department for the alleged non-compliance with employee 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was $0.7 million including penalties and interest, for which the Company has paid $0.6 million as of December 31, 2021. During the year ended December 31, 2021, the Company recorded interest expense of $0.1 million in interest and other expense, net on the consolidated statements of comprehensive loss. The Company filed its Notice of Appeal on July 1, 2021 and its opening brief on January 28, 2022. The Department filed its answering brief on March 4, 2022 and the Company filed its reply brief on March 23, 2022. The Nevada Tax Commission heard the appeal on May 2, 2022. The Nevada Tax Commission upheld the Company's appeal and overturned the Department's Deficiency Notice. The Company submitted a refund request for the taxes and interest paid, following the Department's June 9, 2021 decision, that were subject to abatement under the December 2016 Abatement Agreement. The Company recognized $0.7 million in other income in interest and other expense, net on the consolidated statements of comprehensive loss during the year ended December 31, 2022 related to the anticipated refund of taxes and interest paid.</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99" w:name="page100"/>
    <w:bookmarkEnd w:id="99"/>
    <w:p>
      <w:pPr>
        <w:ind w:right="60"/>
        <w:spacing w:after="0" w:line="258" w:lineRule="auto"/>
        <w:rPr>
          <w:sz w:val="20"/>
          <w:szCs w:val="20"/>
          <w:color w:val="auto"/>
        </w:rPr>
      </w:pPr>
      <w:r>
        <w:rPr>
          <w:rFonts w:ascii="Times New Roman" w:cs="Times New Roman" w:eastAsia="Times New Roman" w:hAnsi="Times New Roman"/>
          <w:sz w:val="18"/>
          <w:szCs w:val="18"/>
          <w:color w:val="auto"/>
        </w:rPr>
        <w:t>with similar allegations. Each of these federal and state court derivative cases have been stayed pending the outcome of a motion for summary judgment in the securities class action. Defendants’ motion to dismiss the putative consolidated class action complaint was filed on March 14, 2022. On July 18, 2022, the Company's motion to dismiss was granted in part and denied in part. The Company believes the securities complaints are without merit and intends to vigorously defend itself against these allegations. These matters are in the preliminary stages of litigation with uncertain outcomes at this time. Therefore, the Company cannot estimate the probability of the loss or make an estimate of the loss or range of loss in these matters.</w:t>
      </w:r>
    </w:p>
    <w:p>
      <w:pPr>
        <w:spacing w:after="0" w:line="210"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 believes this complaint is without merit and intends to vigorously defend itself in this matter. The matter is in the preliminary stages of litigation and its outcome is uncertain at this time. Therefore, the Company cannot estimate the probability of loss or make an estimate of the range of loss in this matter.</w:t>
      </w:r>
    </w:p>
    <w:p>
      <w:pPr>
        <w:spacing w:after="0" w:line="21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was not subject to any other currently pending legal matters or claims that based on its current evaluation are expected to have a material adverse effect on its financial position, results of operations, or cash flows should such matters be resolved unfavorably.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3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December 31, 2022 and 2021,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Purchase Commitments</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231F20"/>
        </w:rPr>
        <w:t>The Company has unconditional purchase commitments for software service subscriptions, advertising services and certain other services. Future minimum payments under these unconditional purchase commitments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9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4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9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payments</w:t>
            </w: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0"/>
        </w:trPr>
        <w:tc>
          <w:tcPr>
            <w:tcW w:w="9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0" w:name="page101"/>
    <w:bookmarkEnd w:id="100"/>
    <w:p>
      <w:pPr>
        <w:ind w:left="20" w:right="8440" w:hanging="12"/>
        <w:spacing w:after="0" w:line="565" w:lineRule="auto"/>
        <w:tabs>
          <w:tab w:leader="none" w:pos="657"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2011 Stock Incentive Plan</w:t>
      </w:r>
    </w:p>
    <w:p>
      <w:pPr>
        <w:spacing w:after="0" w:line="2" w:lineRule="exact"/>
        <w:rPr>
          <w:sz w:val="20"/>
          <w:szCs w:val="20"/>
          <w:color w:val="auto"/>
        </w:rPr>
      </w:pPr>
    </w:p>
    <w:p>
      <w:pPr>
        <w:ind w:left="20" w:right="120" w:firstLine="648"/>
        <w:spacing w:after="0" w:line="255" w:lineRule="auto"/>
        <w:rPr>
          <w:sz w:val="20"/>
          <w:szCs w:val="20"/>
          <w:color w:val="auto"/>
        </w:rPr>
      </w:pPr>
      <w:r>
        <w:rPr>
          <w:rFonts w:ascii="Times New Roman" w:cs="Times New Roman" w:eastAsia="Times New Roman" w:hAnsi="Times New Roman"/>
          <w:sz w:val="18"/>
          <w:szCs w:val="18"/>
          <w:color w:val="auto"/>
        </w:rPr>
        <w:t>The Company’s 2011 Stock Incentive Plan (the “2011 Plan”), which is stockholder-approved, permits the grant of incentive and non-qualified stock options, stock awards, stock units or stock appreciation rights of common stock. Generally, stock options vest 25% on the first anniversary of the vesting commencement date and then monthly thereafter for 36 months, or pursuant to another vesting schedule as approved by the Board and set forth in the option agreement. Certain options and share awards provide for accelerated vesting upon certain events as described in the terms of the option and award agreements. Stock options have a maximum term of ten years. Prior to the IPO, all of the stock options and restricted stock units the Company granted were made pursuant to the 2011 Plan. Following the IPO, the Company grants equity incentive awards under the terms of the 2021 Plan (defined below).</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2021</w:t>
            </w: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440" w:type="dxa"/>
            <w:vAlign w:val="bottom"/>
            <w:vMerge w:val="continue"/>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46,589</w:t>
            </w: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(1,508,976)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right="480" w:firstLine="648"/>
        <w:spacing w:after="0" w:line="261" w:lineRule="auto"/>
        <w:rPr>
          <w:sz w:val="20"/>
          <w:szCs w:val="20"/>
          <w:color w:val="auto"/>
        </w:rPr>
      </w:pPr>
      <w:r>
        <w:rPr>
          <w:rFonts w:ascii="Times New Roman" w:cs="Times New Roman" w:eastAsia="Times New Roman" w:hAnsi="Times New Roman"/>
          <w:sz w:val="18"/>
          <w:szCs w:val="18"/>
          <w:color w:val="auto"/>
        </w:rPr>
        <w:t>From 2018 to 2020, the Company granted stock options that vest based upon achieving a qualifying liquidity event, provided the employee remains employed on the date the vesting condition is satisfied. In conjunction with the IPO, 2,442,918 stock option awards with a weighted average exercise price of $5.54 vested based on the achievement of the IPO qualifying liquidity event, which resulted in the recognition of stock-based compensation expense of $3.1 million upon the effective date of the IPO registration statement.</w:t>
      </w:r>
    </w:p>
    <w:p>
      <w:pPr>
        <w:spacing w:after="0" w:line="202"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2022, 2021 and 2020 were $0.1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$6.0 million and $0.3 million, respectively. This intrinsic value represents the difference between the fair value of the Company’s common stock on the date of exercise and the exercise price of each option. The total fair value of options vested during the years ended December 31, 2022, 2021 and 2020 were $2.0 million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$7.9 million and $7.6 million, respectively.</w:t>
      </w:r>
    </w:p>
    <w:p>
      <w:pPr>
        <w:spacing w:after="0" w:line="20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there was $1.0 million and $3.9 million, respectively, of unrecognized stock-based compensation expense related to unvested stock options, which is expected to be recognized over a weighted-average period of 1.3 years and 1.8 years,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w:t>
      </w:r>
    </w:p>
    <w:p>
      <w:pPr>
        <w:spacing w:after="0" w:line="5"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directors prior to the date of the increase. On January 1, 2022, 3,660,485 additional shares were reserved for issuance pursuant to this provision</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maximum number of shares of the Company’s common stock that may be issued on the exercise of ISOs under its 2021 Plan is 75,100,000 shares.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ectPr>
          <w:pgSz w:w="11900" w:h="16838" w:orient="portrait"/>
          <w:cols w:equalWidth="0" w:num="1">
            <w:col w:w="11200"/>
          </w:cols>
          <w:pgMar w:left="320" w:top="1170" w:right="379" w:bottom="1440" w:gutter="0" w:footer="0" w:header="0"/>
        </w:sect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type w:val="continuous"/>
        </w:sectPr>
      </w:pPr>
    </w:p>
    <w:bookmarkStart w:id="101" w:name="page102"/>
    <w:bookmarkEnd w:id="101"/>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 Value</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4"/>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7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Non-Employee</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Directors, Officers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Non-Employee</w:t>
            </w:r>
          </w:p>
        </w:tc>
        <w:tc>
          <w:tcPr>
            <w:tcW w:w="1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Directors, Officers</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20" w:type="dxa"/>
            <w:vAlign w:val="bottom"/>
          </w:tcPr>
          <w:p>
            <w:pPr>
              <w:spacing w:after="0"/>
              <w:rPr>
                <w:sz w:val="20"/>
                <w:szCs w:val="20"/>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Employees</w:t>
            </w: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Unvested RSUs at December 31, 2021</w:t>
            </w: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vMerge w:val="continue"/>
          </w:tcPr>
          <w:p>
            <w:pPr>
              <w:spacing w:after="0"/>
              <w:rPr>
                <w:sz w:val="20"/>
                <w:szCs w:val="20"/>
                <w:color w:val="auto"/>
              </w:rPr>
            </w:pP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103,561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2,867,306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485,806</w:t>
            </w:r>
          </w:p>
        </w:tc>
        <w:tc>
          <w:tcPr>
            <w:tcW w:w="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3,113,741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30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(131,775)</w:t>
            </w:r>
          </w:p>
        </w:tc>
        <w:tc>
          <w:tcPr>
            <w:tcW w:w="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Unvested RSUs at December 31, 2022</w:t>
            </w:r>
          </w:p>
        </w:tc>
        <w:tc>
          <w:tcPr>
            <w:tcW w:w="16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452,951</w:t>
            </w:r>
          </w:p>
        </w:tc>
        <w:tc>
          <w:tcPr>
            <w:tcW w:w="80" w:type="dxa"/>
            <w:vAlign w:val="bottom"/>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8,050 shares of common stock, that were withheld to cover taxes on the release of vested RSUs and became available for future grants pursuant to the 2021 Plan during the year ended December 31, 2022.</w:t>
      </w:r>
    </w:p>
    <w:p>
      <w:pPr>
        <w:spacing w:after="0" w:line="29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there was $31.2 million and $34.2 million, respectively, of unrecognized stock-based compensation expense related to unvested RSUs, which is expected to be recognized over a weighted-average period of 2.5 years and 4.0 years,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56"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2022, 915,121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19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The first offering period under the 2021 ESPP commenced in May 2021 and the second offering in November 2021. For the year ended December 31, 2022 and 2021, employees who elected to participate in the ESPP purchased 95,742 and 39,490 shares of common stock, respectively, under the 2021 ESPP, resulting in cash proceeds to the Company of $0.3 million and $0.3 million, respectively. The weighted average price at purchase was $2.68 and $7.37 per share, respectively. As of December 31, 2022 and 2021, the Company had 1,955,107 and 1,135,510, respectively, remaining authorized shares available for purchase.</w:t>
      </w:r>
    </w:p>
    <w:p>
      <w:pPr>
        <w:spacing w:after="0" w:line="2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input assumptions used in the Black-Scholes option-pricing model to estimate the grant-date fair value of the 2021 ESPP:</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640" w:type="dxa"/>
            <w:vAlign w:val="bottom"/>
          </w:tcPr>
          <w:p>
            <w:pPr>
              <w:spacing w:after="0"/>
              <w:rPr>
                <w:sz w:val="20"/>
                <w:szCs w:val="20"/>
                <w:color w:val="auto"/>
              </w:rPr>
            </w:pPr>
          </w:p>
        </w:tc>
        <w:tc>
          <w:tcPr>
            <w:tcW w:w="14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tcPr>
          <w:p>
            <w:pPr>
              <w:spacing w:after="0"/>
              <w:rPr>
                <w:sz w:val="20"/>
                <w:szCs w:val="20"/>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73.27%</w:t>
            </w: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79.56%</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6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1.52%</w:t>
            </w: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4.65%</w:t>
            </w: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3"/>
                <w:szCs w:val="23"/>
                <w:color w:val="auto"/>
              </w:rPr>
            </w:pPr>
          </w:p>
        </w:tc>
      </w:tr>
      <w:tr>
        <w:trPr>
          <w:trHeight w:val="27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$1.09</w:t>
            </w:r>
          </w:p>
        </w:tc>
        <w:tc>
          <w:tcPr>
            <w:tcW w:w="1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tbl>
      <w:tblPr>
        <w:tblLayout w:type="fixed"/>
        <w:tblInd w:w="91"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8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related to RSU awards, 2021 ESPP purchases and stock options, as applicable, are as follows: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12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8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8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731" w:hanging="731"/>
        <w:spacing w:after="0"/>
        <w:tabs>
          <w:tab w:leader="none" w:pos="73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 Attributable to Common Stockholders</w:t>
      </w:r>
    </w:p>
    <w:p>
      <w:pPr>
        <w:spacing w:after="0" w:line="256" w:lineRule="exact"/>
        <w:rPr>
          <w:sz w:val="20"/>
          <w:szCs w:val="20"/>
          <w:color w:val="auto"/>
        </w:rPr>
      </w:pPr>
    </w:p>
    <w:p>
      <w:pPr>
        <w:ind w:left="91"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0" w:lineRule="exact"/>
        <w:rPr>
          <w:sz w:val="20"/>
          <w:szCs w:val="20"/>
          <w:color w:val="auto"/>
        </w:rPr>
      </w:pPr>
    </w:p>
    <w:p>
      <w:pPr>
        <w:ind w:left="91" w:right="20" w:firstLine="648"/>
        <w:spacing w:after="0" w:line="258" w:lineRule="auto"/>
        <w:rPr>
          <w:sz w:val="20"/>
          <w:szCs w:val="20"/>
          <w:color w:val="auto"/>
        </w:rPr>
      </w:pPr>
      <w:r>
        <w:rPr>
          <w:rFonts w:ascii="Times New Roman" w:cs="Times New Roman" w:eastAsia="Times New Roman" w:hAnsi="Times New Roman"/>
          <w:sz w:val="18"/>
          <w:szCs w:val="18"/>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210" w:lineRule="exact"/>
        <w:rPr>
          <w:sz w:val="20"/>
          <w:szCs w:val="20"/>
          <w:color w:val="auto"/>
        </w:rPr>
      </w:pPr>
    </w:p>
    <w:p>
      <w:pPr>
        <w:ind w:left="751"/>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w:t>
      </w:r>
    </w:p>
    <w:p>
      <w:pPr>
        <w:spacing w:after="0" w:line="59" w:lineRule="exact"/>
        <w:rPr>
          <w:sz w:val="20"/>
          <w:szCs w:val="20"/>
          <w:color w:val="auto"/>
        </w:rPr>
      </w:pPr>
    </w:p>
    <w:tbl>
      <w:tblPr>
        <w:tblLayout w:type="fixed"/>
        <w:tblInd w:w="111"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values)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(38,679)</w:t>
            </w:r>
          </w:p>
        </w:tc>
        <w:tc>
          <w:tcPr>
            <w:tcW w:w="100" w:type="dxa"/>
            <w:vAlign w:val="bottom"/>
          </w:tcPr>
          <w:p>
            <w:pPr>
              <w:spacing w:after="0"/>
              <w:rPr>
                <w:sz w:val="23"/>
                <w:szCs w:val="23"/>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302"/>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gain on conversion of preferred stock</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dividends paid to preferred stockholders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34,075,572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71,126,218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34,075,572</w:t>
            </w:r>
          </w:p>
        </w:tc>
        <w:tc>
          <w:tcPr>
            <w:tcW w:w="0" w:type="dxa"/>
            <w:vAlign w:val="bottom"/>
          </w:tcPr>
          <w:p>
            <w:pPr>
              <w:spacing w:after="0"/>
              <w:rPr>
                <w:sz w:val="1"/>
                <w:szCs w:val="1"/>
                <w:color w:val="auto"/>
              </w:rPr>
            </w:pPr>
          </w:p>
        </w:tc>
      </w:tr>
      <w:tr>
        <w:trPr>
          <w:trHeight w:val="27"/>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1"/>
        <w:spacing w:after="0"/>
        <w:rPr>
          <w:sz w:val="20"/>
          <w:szCs w:val="20"/>
          <w:color w:val="auto"/>
        </w:rPr>
      </w:pPr>
      <w:r>
        <w:rPr>
          <w:rFonts w:ascii="Times New Roman" w:cs="Times New Roman" w:eastAsia="Times New Roman" w:hAnsi="Times New Roman"/>
          <w:sz w:val="20"/>
          <w:szCs w:val="20"/>
          <w:color w:val="auto"/>
        </w:rPr>
        <w:t>_____________</w:t>
      </w:r>
    </w:p>
    <w:p>
      <w:pPr>
        <w:spacing w:after="0" w:line="203" w:lineRule="exact"/>
        <w:rPr>
          <w:sz w:val="20"/>
          <w:szCs w:val="20"/>
          <w:color w:val="auto"/>
        </w:rPr>
      </w:pPr>
    </w:p>
    <w:p>
      <w:pPr>
        <w:ind w:left="271" w:right="180" w:hanging="172"/>
        <w:spacing w:after="0" w:line="247" w:lineRule="auto"/>
        <w:tabs>
          <w:tab w:leader="none" w:pos="27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conversion price of the Company’s Series C and Series D redeemable convertible preferred stock was adjusted as the offering price in the initial public offering was below a certain threshold resulting in the preferred stockholders receiving a fixed dollar amount on conversion settled into a variable number of shares, or a stock-settled redemption feature. Upon the settlement of this redemption feature, the Company recorded a gain on extinguishment of the redeemable convertible preferred stock of $29.0 million as an adjustment to net loss to arrive at net loss attributable to common stockholders to calculate earnings per share. The extinguishment gain was measured as the difference between the carrying amount of the redeemable convertible preferred stock and the fair value of common stock upon the IPO date that the preferred stock converted into.</w:t>
      </w:r>
    </w:p>
    <w:p>
      <w:pPr>
        <w:ind w:left="271" w:right="80" w:hanging="172"/>
        <w:spacing w:after="0" w:line="253" w:lineRule="auto"/>
        <w:tabs>
          <w:tab w:leader="none" w:pos="27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2021, the Company's board of directors declared a cash dividend of $35.0 million to the holders of record of our common stock as of May 3, 2021, that was contingent upon the closing of the Company's IPO. On June 29, 2021, the Company paid the dividend, of which $20.6 million was paid to the holders of the Company's redeemable convertible preferred stock.</w:t>
      </w:r>
    </w:p>
    <w:p>
      <w:pPr>
        <w:spacing w:after="0" w:line="278" w:lineRule="exact"/>
        <w:rPr>
          <w:sz w:val="20"/>
          <w:szCs w:val="20"/>
          <w:color w:val="auto"/>
        </w:rPr>
      </w:pPr>
    </w:p>
    <w:p>
      <w:pPr>
        <w:ind w:left="91"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because including them would have been antidilutive:</w:t>
      </w:r>
    </w:p>
    <w:p>
      <w:pPr>
        <w:sectPr>
          <w:pgSz w:w="11900" w:h="16838" w:orient="portrait"/>
          <w:cols w:equalWidth="0" w:num="1">
            <w:col w:w="11331"/>
          </w:cols>
          <w:pgMar w:left="229" w:top="1170" w:right="339" w:bottom="1440" w:gutter="0" w:footer="0" w:header="0"/>
        </w:sectPr>
      </w:pPr>
    </w:p>
    <w:p>
      <w:pPr>
        <w:spacing w:after="0" w:line="198" w:lineRule="exact"/>
        <w:rPr>
          <w:sz w:val="20"/>
          <w:szCs w:val="20"/>
          <w:color w:val="auto"/>
        </w:rPr>
      </w:pPr>
    </w:p>
    <w:p>
      <w:pPr>
        <w:jc w:val="center"/>
        <w:ind w:right="-110"/>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172720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1"/>
          </w:cols>
          <w:pgMar w:left="229" w:top="1170" w:right="339" w:bottom="1440" w:gutter="0" w:footer="0" w:header="0"/>
          <w:type w:val="continuous"/>
        </w:sectPr>
      </w:pPr>
    </w:p>
    <w:bookmarkStart w:id="103" w:name="page104"/>
    <w:bookmarkEnd w:id="103"/>
    <w:tbl>
      <w:tblPr>
        <w:tblLayout w:type="fixed"/>
        <w:tblInd w:w="2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4200" w:type="dxa"/>
            <w:vAlign w:val="bottom"/>
            <w:gridSpan w:val="5"/>
          </w:tcPr>
          <w:p>
            <w:pPr>
              <w:ind w:left="14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740" w:type="dxa"/>
            <w:vAlign w:val="bottom"/>
            <w:vMerge w:val="continue"/>
          </w:tcPr>
          <w:p>
            <w:pPr>
              <w:spacing w:after="0"/>
              <w:rPr>
                <w:sz w:val="23"/>
                <w:szCs w:val="23"/>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49,100,928</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14,888,007</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16,440,539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18,038,042</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4,618,354</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2,970,867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62,438</w:t>
            </w:r>
          </w:p>
        </w:tc>
        <w:tc>
          <w:tcPr>
            <w:tcW w:w="8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19,568,799</w:t>
            </w:r>
          </w:p>
        </w:tc>
        <w:tc>
          <w:tcPr>
            <w:tcW w:w="8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19,450,563</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67,138,970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w:t>
      </w:r>
    </w:p>
    <w:p>
      <w:pPr>
        <w:spacing w:after="0"/>
        <w:rPr>
          <w:sz w:val="20"/>
          <w:szCs w:val="20"/>
          <w:color w:val="auto"/>
        </w:rPr>
      </w:pPr>
      <w:r>
        <w:rPr>
          <w:rFonts w:ascii="Times New Roman" w:cs="Times New Roman" w:eastAsia="Times New Roman" w:hAnsi="Times New Roman"/>
          <w:sz w:val="12"/>
          <w:szCs w:val="12"/>
          <w:color w:val="auto"/>
        </w:rPr>
        <w:t>(1) Immediately prior to the completion of the IPO, 49,100,928 outstanding shares of redeemable convertible preferred stock with a carrying value of $376.4 million converted into 49,649,023 shares of common stock.</w:t>
      </w:r>
    </w:p>
    <w:p>
      <w:pPr>
        <w:spacing w:after="0" w:line="200" w:lineRule="exact"/>
        <w:rPr>
          <w:sz w:val="20"/>
          <w:szCs w:val="20"/>
          <w:color w:val="auto"/>
        </w:rPr>
      </w:pPr>
    </w:p>
    <w:p>
      <w:pPr>
        <w:spacing w:after="0" w:line="335"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components of income tax provision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3"/>
                <w:szCs w:val="23"/>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reconciliation of the income tax benefit computed at the U.S. federal statutory rate of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to the Company’s income tax provision is as</w:t>
      </w:r>
    </w:p>
    <w:p>
      <w:pPr>
        <w:spacing w:after="0"/>
        <w:rPr>
          <w:sz w:val="20"/>
          <w:szCs w:val="20"/>
          <w:color w:val="auto"/>
        </w:rPr>
      </w:pPr>
      <w:r>
        <w:rPr>
          <w:rFonts w:ascii="Times New Roman" w:cs="Times New Roman" w:eastAsia="Times New Roman" w:hAnsi="Times New Roman"/>
          <w:sz w:val="18"/>
          <w:szCs w:val="18"/>
          <w:color w:val="231F20"/>
        </w:rPr>
        <w:t>follows:</w:t>
      </w: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Income tax benefit at the federal statutory rate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8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State income taxes, net of federal benefit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Permanent differences for equity compensation</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Nondeductible items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Nondeductible compensation</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231F20"/>
              </w:rPr>
              <w:t>Change in valuation allowance</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tax effects of temporary differences that gave rise to significant portions of deferred tax assets and liabilities were as follows:</w:t>
      </w:r>
    </w:p>
    <w:p>
      <w:pPr>
        <w:sectPr>
          <w:pgSz w:w="11900" w:h="16838" w:orient="portrait"/>
          <w:cols w:equalWidth="0" w:num="1">
            <w:col w:w="11220"/>
          </w:cols>
          <w:pgMar w:left="320" w:top="1224"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type w:val="continuous"/>
        </w:sectPr>
      </w:pPr>
    </w:p>
    <w:bookmarkStart w:id="104" w:name="page105"/>
    <w:bookmarkEnd w:id="104"/>
    <w:tbl>
      <w:tblPr>
        <w:tblLayout w:type="fixed"/>
        <w:tblInd w:w="2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assets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Intangible assets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Property and equipment</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Accrued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revenue</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Allowances, reserves and other</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Stock-based compensation</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Section 174 capitalized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Net operating loss and other carryforwards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85,176</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92,792</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Valuation allowance</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Deferred tax liabilities</w:t>
            </w: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5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Deferred revenue</w:t>
            </w:r>
          </w:p>
        </w:tc>
        <w:tc>
          <w:tcPr>
            <w:tcW w:w="40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Property and equipment</w:t>
            </w:r>
          </w:p>
        </w:tc>
        <w:tc>
          <w:tcPr>
            <w:tcW w:w="40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Prepaid expenses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231F20"/>
              </w:rPr>
              <w:t>State taxes</w:t>
            </w: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231F20"/>
        </w:rPr>
        <w:t>Effective January 1, 2022, the Tax Cuts and Jobs Act ("TCJA") of 2017 eliminated the option to deduct research and development expenses in the current year and now requires taxpayers to capitalize and amortize research and development expenses to Internal Revenue Code of 1986, as amended, (“IRC”) Section 174. The capitalized expenses are amortized over a 5-year period for domestic expenses and a 15-year period for foreign expenses. As of December 31, 2022, the Company's deferred tax assets related to capitalized research and development expenses was $1.5 million.</w:t>
      </w:r>
    </w:p>
    <w:p>
      <w:pPr>
        <w:spacing w:after="0" w:line="220"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2022 and 2021</w:t>
      </w:r>
      <w:r>
        <w:rPr>
          <w:rFonts w:ascii="Times New Roman" w:cs="Times New Roman" w:eastAsia="Times New Roman" w:hAnsi="Times New Roman"/>
          <w:sz w:val="18"/>
          <w:szCs w:val="18"/>
          <w:color w:val="231F20"/>
        </w:rPr>
        <w:t>, the Company had federal and state net operating loss carryforwards of $301.0 million and $272.0 million, respectively, and federal and state net operating loss carryforwards of $271.0 million and $248.0 million, respectively. Federal and state net operating loss carryforwards begin to expire in 2032. As of December 31, 2022, the Company did not have any state tax credits. As of December 31, 2021, the Company had state tax credits of $0.1 million, which began to expire in 2021. Federal net operating losses generated after January 1, 2018 would not expire, but would only be available to offset up to 80% of the Company’s future taxable income.</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231F20"/>
        </w:rPr>
        <w:t xml:space="preserve">The IRC imposes substantial restrictions on the utilization of net operating losses and other tax attributes in the event of an “ownership change” of a corporation. Accordingly, a company’s ability to use pre-change net operating loss and research tax credits may be limited as prescribed under IRC Sections 382 and 383. Events which may cause limitation in the amount of the net operating losses and credits that the Company utilizes in any one year include, but are not limited to, a cumulative ownership change of more than 50% over a three-year period. The Company performed a study to determine whether net operating losses and credit carryover limitations exist under Section 382 as of December 31, 2020, and determined that a portion of the net operating losses that were generated during 2013 and prior are subject to Section 382 annual limitations. As of December 31, 2022 and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these limitations did not cause any of the limited net operating losses to be permanently lost.</w:t>
      </w:r>
    </w:p>
    <w:p>
      <w:pPr>
        <w:spacing w:after="0" w:line="216" w:lineRule="exact"/>
        <w:rPr>
          <w:sz w:val="20"/>
          <w:szCs w:val="20"/>
          <w:color w:val="auto"/>
        </w:rPr>
      </w:pPr>
    </w:p>
    <w:p>
      <w:pPr>
        <w:ind w:left="100" w:right="100" w:firstLine="648"/>
        <w:spacing w:after="0" w:line="261" w:lineRule="auto"/>
        <w:rPr>
          <w:sz w:val="20"/>
          <w:szCs w:val="20"/>
          <w:color w:val="auto"/>
        </w:rPr>
      </w:pPr>
      <w:r>
        <w:rPr>
          <w:rFonts w:ascii="Times New Roman" w:cs="Times New Roman" w:eastAsia="Times New Roman" w:hAnsi="Times New Roman"/>
          <w:sz w:val="18"/>
          <w:szCs w:val="18"/>
          <w:color w:val="231F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or includable in taxable income. Management assesses the available positive and negative evidence to estimate if sufficient future taxable income will be generated to use the existing deferred tax assets.</w:t>
      </w:r>
    </w:p>
    <w:p>
      <w:pPr>
        <w:spacing w:after="0" w:line="20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231F20"/>
        </w:rPr>
        <w:t xml:space="preserve">A significant piece of objective negative evidence evaluated was the cumulative loss incurred over the three-year period ended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Such objective evidence limits the ability to consider other subjective evidence such as its projections for future growth. On the basis of this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evaluation, at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a full valuation allowance has been recorded since it is more likely than not that the deferred tax assets will not be realized.</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The following table summarizes the changes in the valuation allowance:</w:t>
      </w:r>
    </w:p>
    <w:p>
      <w:pPr>
        <w:sectPr>
          <w:pgSz w:w="11900" w:h="16838" w:orient="portrait"/>
          <w:cols w:equalWidth="0" w:num="1">
            <w:col w:w="11200"/>
          </w:cols>
          <w:pgMar w:left="320" w:top="1224"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type w:val="continuous"/>
        </w:sectPr>
      </w:pPr>
    </w:p>
    <w:bookmarkStart w:id="105" w:name="page106"/>
    <w:bookmarkEnd w:id="105"/>
    <w:tbl>
      <w:tblPr>
        <w:tblLayout w:type="fixed"/>
        <w:tblInd w:w="2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6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231F20"/>
              </w:rPr>
              <w:t>(In thousands)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85,083</w:t>
            </w:r>
          </w:p>
        </w:tc>
        <w:tc>
          <w:tcPr>
            <w:tcW w:w="0" w:type="dxa"/>
            <w:vAlign w:val="bottom"/>
          </w:tcPr>
          <w:p>
            <w:pPr>
              <w:spacing w:after="0"/>
              <w:rPr>
                <w:sz w:val="1"/>
                <w:szCs w:val="1"/>
                <w:color w:val="auto"/>
              </w:rPr>
            </w:pPr>
          </w:p>
        </w:tc>
      </w:tr>
      <w:tr>
        <w:trPr>
          <w:trHeight w:val="27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(decrease) to valuation allowance</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 due to adoption of ASC 842</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increases (decreases)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94,103</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84,934</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The Company is subject to taxation in the U.S. federal and various state jurisdictions. </w:t>
      </w:r>
      <w:r>
        <w:rPr>
          <w:rFonts w:ascii="Times New Roman" w:cs="Times New Roman" w:eastAsia="Times New Roman" w:hAnsi="Times New Roman"/>
          <w:sz w:val="18"/>
          <w:szCs w:val="18"/>
          <w:color w:val="000000"/>
        </w:rPr>
        <w:t>During the years ended December 31, 2022 and 2021,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Company has not recorded any uncertain tax positions and has not recognized interest or penalties in the consolidated statements of comprehensive loss. </w:t>
      </w:r>
      <w:r>
        <w:rPr>
          <w:rFonts w:ascii="Times New Roman" w:cs="Times New Roman" w:eastAsia="Times New Roman" w:hAnsi="Times New Roman"/>
          <w:sz w:val="18"/>
          <w:szCs w:val="18"/>
          <w:color w:val="231F20"/>
        </w:rPr>
        <w:t>The Company is subject to examination from federal tax authorities for years 2019, 2020 and 2021. To the extent allowed by law,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 federal and state tax authorities may have the right to examine prior periods where net operating losses or tax credits were generated and carried forward and make adjustments up to the amount of the net operating loss or credit carryforward.</w:t>
      </w:r>
    </w:p>
    <w:p>
      <w:pPr>
        <w:spacing w:after="0" w:line="22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contains provisions that became effective on January 1, 2023, including a 15% corporate minimum tax and a 1% excise tax on stock buybacks. While the Company is still evaluating the impact of the Act, the Company does not currently expect any material changes on its consolidated financial position, results of operations and cash flows.</w:t>
      </w:r>
    </w:p>
    <w:p>
      <w:pPr>
        <w:spacing w:after="0" w:line="199"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$0.2 million, $0.6 million and $0.3 million of advertising costs for this related party during the years ended December 31, 2022, 2021 and 2020, respectively, which is reported as marketing expense in the Company’s consolidated statements of comprehensive loss.</w:t>
      </w:r>
    </w:p>
    <w:p>
      <w:pPr>
        <w:spacing w:after="0" w:line="20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May 2022, the Company engaged, Vault Co., a third-party consultant, to develop and deliver an ongoing brand tracker for the Company. Vault Co. is owned by a major shareholder of the Company. Based on services provided, the Company incurred $0.1 million of advertising costs for this related party during the year ended December 31, 2022, which is reported as marketing expense in the Company’s consolidated statements of comprehensive loss.</w:t>
      </w:r>
    </w:p>
    <w:p>
      <w:pPr>
        <w:spacing w:after="0" w:line="199"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six years. Renewal options that are deemed reasonably certain are included as part of the lease term for purposes of calculating the ROU assets and lease liability. The Company uses a discount rate to calculate the ROU asset and lease liability. When the implicit rate is known or provided in the lease documents, the Company is required to use this rate. In cases in which the implicit rate is not known, the Company uses an estimated incremental borrowing rate. Most of the Company’s leases do not contain an implicit interest rate; therefore, judgement is required in determining a rate that reflects what would be paid to borrow, on a collateralized basis and over a similar term, for the lease obligations. The Company takes into consideration the terms of its 2023 Credit Facility and any new debt agreements, lease terms, and current interest rates to determine the incremental borrowing rate at lease commencement date.</w:t>
      </w:r>
    </w:p>
    <w:p>
      <w:pPr>
        <w:spacing w:after="0" w:line="21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connection with two of the Company’s facilities leases, the Company is required to obtain irrevocable letters of credit in lieu of security deposits. The letters of credit totaled </w:t>
      </w:r>
      <w:r>
        <w:rPr>
          <w:rFonts w:ascii="Times New Roman" w:cs="Times New Roman" w:eastAsia="Times New Roman" w:hAnsi="Times New Roman"/>
          <w:sz w:val="18"/>
          <w:szCs w:val="18"/>
          <w:color w:val="000000"/>
        </w:rPr>
        <w:t>$4.8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$6.3 million</w:t>
      </w:r>
      <w:r>
        <w:rPr>
          <w:rFonts w:ascii="Times New Roman" w:cs="Times New Roman" w:eastAsia="Times New Roman" w:hAnsi="Times New Roman"/>
          <w:sz w:val="18"/>
          <w:szCs w:val="18"/>
          <w:color w:val="231F20"/>
        </w:rPr>
        <w:t xml:space="preserve"> as of December 31, 2022 and 2021, respectively, and expire within a set number of days after the expirations of the facilities leases. In connection with the Company’s office facility lease, following the fourth year of the lease, the letter of credit balance can be reduced annually by a stated amount in the lease agreement, so long as the Company complies with certain covenants. In connection with the Company’s warehouse lease, the letter of credit balance is reduced annually by a stated amount in the lease agreement, so long as the Company complies with certain covenants.</w:t>
      </w:r>
    </w:p>
    <w:p>
      <w:pPr>
        <w:spacing w:after="0" w:line="21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adoption of ASC 842, the following adjustments were made to the opening balances of the Company’s consolidated balance sheet (in thousands):</w:t>
      </w:r>
    </w:p>
    <w:p>
      <w:pPr>
        <w:sectPr>
          <w:pgSz w:w="11900" w:h="16838" w:orient="portrait"/>
          <w:cols w:equalWidth="0" w:num="1">
            <w:col w:w="11240"/>
          </w:cols>
          <w:pgMar w:left="320" w:top="1224"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06" w:name="page107"/>
    <w:bookmarkEnd w:id="106"/>
    <w:tbl>
      <w:tblPr>
        <w:tblLayout w:type="fixed"/>
        <w:tblInd w:w="2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Impact due to Adoption</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ASC 842</w:t>
            </w:r>
          </w:p>
        </w:tc>
        <w:tc>
          <w:tcPr>
            <w:tcW w:w="220" w:type="dxa"/>
            <w:vAlign w:val="bottom"/>
          </w:tcPr>
          <w:p>
            <w:pPr>
              <w:spacing w:after="0"/>
              <w:rPr>
                <w:sz w:val="20"/>
                <w:szCs w:val="20"/>
                <w:color w:val="auto"/>
              </w:rPr>
            </w:pP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0" w:type="dxa"/>
            <w:vAlign w:val="bottom"/>
          </w:tcPr>
          <w:p>
            <w:pPr>
              <w:spacing w:after="0"/>
              <w:rPr>
                <w:sz w:val="1"/>
                <w:szCs w:val="1"/>
                <w:color w:val="auto"/>
              </w:rPr>
            </w:pPr>
          </w:p>
        </w:tc>
      </w:tr>
      <w:tr>
        <w:trPr>
          <w:trHeight w:val="27"/>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0" w:type="dxa"/>
            <w:vAlign w:val="bottom"/>
          </w:tcPr>
          <w:p>
            <w:pPr>
              <w:spacing w:after="0"/>
              <w:rPr>
                <w:sz w:val="1"/>
                <w:szCs w:val="1"/>
                <w:color w:val="auto"/>
              </w:rPr>
            </w:pPr>
          </w:p>
        </w:tc>
      </w:tr>
      <w:tr>
        <w:trPr>
          <w:trHeight w:val="26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ROU</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financing obligation, net of current portion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3"/>
                <w:szCs w:val="23"/>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0" w:type="dxa"/>
            <w:vAlign w:val="bottom"/>
          </w:tcPr>
          <w:p>
            <w:pPr>
              <w:spacing w:after="0"/>
              <w:rPr>
                <w:sz w:val="1"/>
                <w:szCs w:val="1"/>
                <w:color w:val="auto"/>
              </w:rPr>
            </w:pP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equity (deficit)</w:t>
            </w:r>
            <w:r>
              <w:rPr>
                <w:rFonts w:ascii="Times New Roman" w:cs="Times New Roman" w:eastAsia="Times New Roman" w:hAnsi="Times New Roman"/>
                <w:sz w:val="23"/>
                <w:szCs w:val="23"/>
                <w:color w:val="auto"/>
                <w:vertAlign w:val="superscript"/>
              </w:rPr>
              <w:t>(4)</w:t>
            </w:r>
          </w:p>
        </w:tc>
        <w:tc>
          <w:tcPr>
            <w:tcW w:w="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(390,811)</w:t>
            </w: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63"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derecognition of non-Company owned property that was capitalized under previously existing built-to-suit accounting policies.</w:t>
      </w:r>
    </w:p>
    <w:p>
      <w:pPr>
        <w:ind w:left="300" w:hanging="292"/>
        <w:spacing w:after="0" w:line="187" w:lineRule="auto"/>
        <w:tabs>
          <w:tab w:leader="none" w:pos="3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recognition of operating lease ROU assets and corresponding current and non-current lease liabilities.</w:t>
      </w:r>
    </w:p>
    <w:p>
      <w:pPr>
        <w:ind w:left="260" w:hanging="252"/>
        <w:spacing w:after="0" w:line="211" w:lineRule="auto"/>
        <w:tabs>
          <w:tab w:leader="none" w:pos="2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reclassification of deferred rent to operating lease ROU assets upon adoption of ASC 842.</w:t>
      </w:r>
    </w:p>
    <w:p>
      <w:pPr>
        <w:ind w:left="260" w:hanging="252"/>
        <w:spacing w:after="0"/>
        <w:tabs>
          <w:tab w:leader="none" w:pos="26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decrease to the beginning fiscal 2022 accumulated deficit related to the adoption of ASC 842.</w:t>
      </w:r>
    </w:p>
    <w:p>
      <w:pPr>
        <w:spacing w:after="0" w:line="27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4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3"/>
                <w:szCs w:val="23"/>
                <w:color w:val="auto"/>
              </w:rPr>
            </w:pPr>
          </w:p>
        </w:tc>
        <w:tc>
          <w:tcPr>
            <w:tcW w:w="3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306"/>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r>
              <w:rPr>
                <w:rFonts w:ascii="Times New Roman" w:cs="Times New Roman" w:eastAsia="Times New Roman" w:hAnsi="Times New Roman"/>
                <w:sz w:val="23"/>
                <w:szCs w:val="23"/>
                <w:color w:val="auto"/>
                <w:vertAlign w:val="superscript"/>
              </w:rPr>
              <w:t>(1)</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(2)</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0" w:type="dxa"/>
            <w:vAlign w:val="bottom"/>
          </w:tcPr>
          <w:p>
            <w:pPr>
              <w:spacing w:after="0"/>
              <w:rPr>
                <w:sz w:val="1"/>
                <w:szCs w:val="1"/>
                <w:color w:val="auto"/>
              </w:rPr>
            </w:pPr>
          </w:p>
        </w:tc>
      </w:tr>
      <w:tr>
        <w:trPr>
          <w:trHeight w:val="23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expense, net</w:t>
            </w:r>
          </w:p>
        </w:tc>
        <w:tc>
          <w:tcPr>
            <w:tcW w:w="3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195" w:lineRule="exact"/>
        <w:rPr>
          <w:sz w:val="20"/>
          <w:szCs w:val="20"/>
          <w:color w:val="auto"/>
        </w:rPr>
      </w:pPr>
    </w:p>
    <w:p>
      <w:pPr>
        <w:ind w:left="660" w:right="120" w:hanging="652"/>
        <w:spacing w:after="0" w:line="198" w:lineRule="auto"/>
        <w:tabs>
          <w:tab w:leader="none" w:pos="29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on the Company's build-to-suit lease was previously included in interest and other income (expense), net on the consolidated statements of comprehensive loss and with the adoption of ASC 842 it is now included in cost of revenue, along with the operating lease expense, on the consolidated statements of comprehensive loss.</w:t>
      </w:r>
    </w:p>
    <w:p>
      <w:pPr>
        <w:ind w:left="300" w:hanging="292"/>
        <w:spacing w:after="0"/>
        <w:tabs>
          <w:tab w:leader="none" w:pos="30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straight-line lease expense of operating leases, inclusive of amortization of ROU assets and the interest component of operating lease liabilities.</w:t>
      </w:r>
    </w:p>
    <w:p>
      <w:pPr>
        <w:spacing w:after="0" w:line="272"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231F20"/>
        </w:rPr>
        <w:t xml:space="preserve">For the years ended December 31, 2021 and 2020, rent expense under ASC 840 was </w:t>
      </w:r>
      <w:r>
        <w:rPr>
          <w:rFonts w:ascii="Times New Roman" w:cs="Times New Roman" w:eastAsia="Times New Roman" w:hAnsi="Times New Roman"/>
          <w:sz w:val="18"/>
          <w:szCs w:val="18"/>
          <w:color w:val="000000"/>
        </w:rPr>
        <w:t>$5.0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$5.2 million, respectively.</w:t>
      </w:r>
      <w:r>
        <w:rPr>
          <w:rFonts w:ascii="Times New Roman" w:cs="Times New Roman" w:eastAsia="Times New Roman" w:hAnsi="Times New Roman"/>
          <w:sz w:val="18"/>
          <w:szCs w:val="18"/>
          <w:color w:val="231F20"/>
        </w:rPr>
        <w:t xml:space="preserve"> For the years ended December 31, 2021 and 2020, sublease rent income was </w:t>
      </w:r>
      <w:r>
        <w:rPr>
          <w:rFonts w:ascii="Times New Roman" w:cs="Times New Roman" w:eastAsia="Times New Roman" w:hAnsi="Times New Roman"/>
          <w:sz w:val="18"/>
          <w:szCs w:val="18"/>
          <w:color w:val="000000"/>
        </w:rPr>
        <w:t>$2.5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$2.7 million, respectively</w:t>
      </w:r>
      <w:r>
        <w:rPr>
          <w:rFonts w:ascii="Times New Roman" w:cs="Times New Roman" w:eastAsia="Times New Roman" w:hAnsi="Times New Roman"/>
          <w:sz w:val="18"/>
          <w:szCs w:val="18"/>
          <w:color w:val="231F20"/>
        </w:rPr>
        <w:t>.</w:t>
      </w:r>
    </w:p>
    <w:p>
      <w:pPr>
        <w:spacing w:after="0" w:line="18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Based on the nature of the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consolidated statements of comprehensive loss.</w:t>
      </w:r>
    </w:p>
    <w:p>
      <w:pPr>
        <w:spacing w:after="0" w:line="203"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amount of lease assets and lease liabilities included in the Company’s consolidated balance sheets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Line Item</w:t>
            </w:r>
          </w:p>
        </w:tc>
        <w:tc>
          <w:tcPr>
            <w:tcW w:w="28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7"/>
        </w:trPr>
        <w:tc>
          <w:tcPr>
            <w:tcW w:w="4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vMerge w:val="continue"/>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7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0" w:type="dxa"/>
            <w:vAlign w:val="bottom"/>
          </w:tcPr>
          <w:p>
            <w:pPr>
              <w:spacing w:after="0"/>
              <w:rPr>
                <w:sz w:val="1"/>
                <w:szCs w:val="1"/>
                <w:color w:val="auto"/>
              </w:rPr>
            </w:pPr>
          </w:p>
        </w:tc>
      </w:tr>
      <w:tr>
        <w:trPr>
          <w:trHeight w:val="27"/>
        </w:trPr>
        <w:tc>
          <w:tcPr>
            <w:tcW w:w="4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vMerge w:val="continue"/>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4" w:right="33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Supplemental information related to the Company’s leases for the year ended December 31, 2022 was as follows:</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leases</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Finance leases</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 (in thousands)</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cash flows used in finance leases</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p>
      <w:pPr>
        <w:spacing w:after="0" w:line="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Finance cash flows used in finance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2.29%</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$7,007</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$303</w:t>
      </w:r>
    </w:p>
    <w:p>
      <w:pPr>
        <w:spacing w:after="0" w:line="208" w:lineRule="exact"/>
        <w:rPr>
          <w:sz w:val="20"/>
          <w:szCs w:val="20"/>
          <w:color w:val="auto"/>
        </w:rPr>
      </w:pPr>
    </w:p>
    <w:p>
      <w:pPr>
        <w:sectPr>
          <w:pgSz w:w="11900" w:h="16838" w:orient="portrait"/>
          <w:cols w:equalWidth="0" w:num="2">
            <w:col w:w="8920" w:space="720"/>
            <w:col w:w="1600"/>
          </w:cols>
          <w:pgMar w:left="320" w:top="1224" w:right="339" w:bottom="1440" w:gutter="0" w:footer="0" w:header="0"/>
          <w:type w:val="continuous"/>
        </w:sectPr>
      </w:pPr>
    </w:p>
    <w:p>
      <w:pPr>
        <w:spacing w:after="0" w:line="13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non-cash ROU assets obtained in exchange for lease liabilities during the year ended December 31, 2022 for either finance or operating leases.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required under operating and finance leases as of December 31, 2022, were as follows (in thousands):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tcPr>
          <w:p>
            <w:pPr>
              <w:spacing w:after="0"/>
              <w:rPr>
                <w:sz w:val="20"/>
                <w:szCs w:val="20"/>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39,567</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37,530</w:t>
            </w:r>
          </w:p>
        </w:tc>
        <w:tc>
          <w:tcPr>
            <w:tcW w:w="10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74</w:t>
            </w:r>
          </w:p>
        </w:tc>
      </w:tr>
      <w:tr>
        <w:trPr>
          <w:trHeight w:val="21"/>
        </w:trPr>
        <w:tc>
          <w:tcPr>
            <w:tcW w:w="8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As of December 31, 2021, the future minimum rental payments under non-cancelable leases with offsetting sublease revenue were as follows:</w:t>
      </w:r>
    </w:p>
    <w:p>
      <w:pPr>
        <w:sectPr>
          <w:pgSz w:w="11900" w:h="16838" w:orient="portrait"/>
          <w:cols w:equalWidth="0" w:num="1">
            <w:col w:w="11240"/>
          </w:cols>
          <w:pgMar w:left="320" w:top="1224" w:right="3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08" w:name="page109"/>
    <w:bookmarkEnd w:id="108"/>
    <w:tbl>
      <w:tblPr>
        <w:tblLayout w:type="fixed"/>
        <w:tblInd w:w="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Build-to-Suit</w:t>
            </w:r>
          </w:p>
        </w:tc>
        <w:tc>
          <w:tcPr>
            <w:tcW w:w="26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Subleases</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7"/>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minimum lease payments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2023, the Company entered into a first lien credit agreement (the “2023 Credit Facility”), with JPMorgan Chase Bank, N.A.,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and lender, and the other lenders party thereto, which provides for a $35.0 million revolving credit facility maturing on April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Credit Facility includes an uncommitted accordion feature that allows for increases in the revolving commitment to as much as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for up to $70.0 million in potential revolving commitments.The 2023 Credit Facility includes a subfacility that provides for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in an amount of up to $15.0 million at any time outstanding. The 2023 Credit Facility is subject to customary fees for loan facilities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including a commitment fee based on the average daily undrawn portion of the 2023 Credit Facility. The interest rate applicable to the 2023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will be, at the Company’s option, either (a) the Adjusted Term SOFR Rate (subject to a 0.00% floor), plus a margin ranging from 1.50% to 2.25%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 the CB floating rate, (i) plus a margin of 0.25% or (ii) minus a margin ranging from 0.25% to 0.50%. The margin will be based upon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charge coverage ratio. The CB floating rate is the higher of (a) the Wall Street Journal prime rate and (b) 2.50%. In January 2023, upon entry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Credit Facility, the Company’s existing 2021 Credit Facility was terminated. As of March 16, 2023, there was no outstanding balance under the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December 31, 2022,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2022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56"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an exemption for “emerging growth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quarter ended December 31, 2022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1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type w:val="continuous"/>
        </w:sectPr>
      </w:pPr>
    </w:p>
    <w:bookmarkStart w:id="110" w:name="page111"/>
    <w:bookmarkEnd w:id="110"/>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and is incorporated herein by reference.</w:t>
      </w:r>
    </w:p>
    <w:p>
      <w:pPr>
        <w:spacing w:after="0" w:line="189"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17"/>
          <w:szCs w:val="17"/>
          <w:color w:val="auto"/>
        </w:rPr>
        <w:t>We maintain a Code of Conduct that is applicable to all employees, officers and directors. Our Code of Conduct is available on our website at investors.honest.com. We expect that any amendments to the Code of Conduct, or any waivers of its requirements, will be disclosed on our website, if required by applicable law or the listing standards of The Nasdaq Global Select Market. The inclusion of our website address in this Annual Report on Form 10-K does not include or incorporate by reference into this Annual Report on Form 10-K the information on or accessible through our website.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for its 2023 Annual Stockholder Meeting, to be filed with the SEC within 120 days after December 31,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See Consolidated Financial Statements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7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they are not applicable, not required under the instructions,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requested information is included in the consolidated financial statements or notes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is a list of exhibits filed with this report or incorporated herein by reference: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0" w:type="dxa"/>
            <w:vAlign w:val="bottom"/>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6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   Filed Herewith</w:t>
            </w: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196"/>
        </w:trPr>
        <w:tc>
          <w:tcPr>
            <w:tcW w:w="260" w:type="dxa"/>
            <w:vAlign w:val="bottom"/>
            <w:gridSpan w:val="2"/>
          </w:tcPr>
          <w:p>
            <w:pPr>
              <w:ind w:left="20"/>
              <w:spacing w:after="0" w:line="196"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Amended and Restated Certificate of</w:t>
            </w:r>
          </w:p>
        </w:tc>
        <w:tc>
          <w:tcPr>
            <w:tcW w:w="11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6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5/11/2021</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Incorporation of the Company.</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the Company.</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3/28/2022</w:t>
            </w:r>
          </w:p>
        </w:tc>
      </w:tr>
      <w:tr>
        <w:trPr>
          <w:trHeight w:val="250"/>
        </w:trPr>
        <w:tc>
          <w:tcPr>
            <w:tcW w:w="20" w:type="dxa"/>
            <w:vAlign w:val="bottom"/>
          </w:tcPr>
          <w:p>
            <w:pPr>
              <w:spacing w:after="0"/>
              <w:rPr>
                <w:sz w:val="21"/>
                <w:szCs w:val="21"/>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3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3/28/2022</w:t>
            </w:r>
          </w:p>
        </w:tc>
      </w:tr>
      <w:tr>
        <w:trPr>
          <w:trHeight w:val="250"/>
        </w:trPr>
        <w:tc>
          <w:tcPr>
            <w:tcW w:w="1160" w:type="dxa"/>
            <w:vAlign w:val="bottom"/>
            <w:gridSpan w:val="4"/>
          </w:tcPr>
          <w:p>
            <w:pPr>
              <w:ind w:left="20"/>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Nineteen to the Logistics Services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8/12/2022</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May 17, 2022, by and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the Company and Geodis Logistics,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29"/>
        </w:trPr>
        <w:tc>
          <w:tcPr>
            <w:tcW w:w="1160" w:type="dxa"/>
            <w:vAlign w:val="bottom"/>
            <w:gridSpan w:val="4"/>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Twenty to the Logistics Services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10.2</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8/12/2022</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dated as of July 15, 2022, by and</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the Company and Geodis Logistics,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240" w:type="dxa"/>
            <w:vAlign w:val="bottom"/>
            <w:gridSpan w:val="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Twenty One to the Logistics</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11/10/2022</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Agreement, dated as of September 2,</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by and between the Company and Geodis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Logistics, LLC.</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00"/>
              </w:rPr>
              <w:t>†</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Twenty-Two to the Logistics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Agreement, dated as of December 8,</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by and between the Company and Geodis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Logistics, LLC.</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r>
              <w:rPr>
                <w:rFonts w:ascii="Times New Roman" w:cs="Times New Roman" w:eastAsia="Times New Roman" w:hAnsi="Times New Roman"/>
                <w:sz w:val="18"/>
                <w:szCs w:val="18"/>
                <w:color w:val="000000"/>
              </w:rPr>
              <w:t>†</w:t>
            </w: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Twenty-Three to the Logistics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Agreement, dated as of December 30,</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by and between the Company and Geodis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Logistics, LLC.</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1160" w:type="dxa"/>
            <w:vAlign w:val="bottom"/>
            <w:gridSpan w:val="4"/>
          </w:tcPr>
          <w:p>
            <w:pPr>
              <w:ind w:lef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January 25, 2023, by and</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1/27/2023</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among the Company, the lenders party thereto</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JPMorgan Chase Bank, N.A., as</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1160" w:type="dxa"/>
            <w:vAlign w:val="bottom"/>
            <w:gridSpan w:val="4"/>
          </w:tcPr>
          <w:p>
            <w:pPr>
              <w:ind w:left="2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April 22, 2022,</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001-40378</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w:t>
            </w:r>
          </w:p>
        </w:tc>
        <w:tc>
          <w:tcPr>
            <w:tcW w:w="2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5/13/2022</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between the Company and Steve</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Winchell.</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Separation Agreement and Release of Claims,</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January 10, 2023, by and between the</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and Nikolas Vlahos.</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230"/>
        </w:trPr>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January 9, 2023,</w:t>
            </w: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X</w:t>
            </w:r>
          </w:p>
        </w:tc>
      </w:tr>
      <w:tr>
        <w:trPr>
          <w:trHeight w:val="236"/>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and between the Company and Carla Vernón.</w:t>
            </w: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12" w:name="page113"/>
    <w:bookmarkEnd w:id="112"/>
    <w:tbl>
      <w:tblPr>
        <w:tblLayout w:type="fixed"/>
        <w:tblInd w:w="20" w:type="dxa"/>
        <w:tblCellMar>
          <w:top w:w="0" w:type="dxa"/>
          <w:left w:w="0" w:type="dxa"/>
          <w:bottom w:w="0" w:type="dxa"/>
          <w:right w:w="0" w:type="dxa"/>
        </w:tblCellMar>
      </w:tblPr>
      <w:tr>
        <w:trPr>
          <w:trHeight w:val="207"/>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00"/>
              </w:rPr>
              <w:t>†</w:t>
            </w: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Fourth Amended and Restated Contract</w:t>
            </w:r>
          </w:p>
        </w:tc>
        <w:tc>
          <w:tcPr>
            <w:tcW w:w="360" w:type="dxa"/>
            <w:vAlign w:val="bottom"/>
          </w:tcPr>
          <w:p>
            <w:pPr>
              <w:spacing w:after="0"/>
              <w:rPr>
                <w:sz w:val="17"/>
                <w:szCs w:val="17"/>
                <w:color w:val="auto"/>
              </w:rPr>
            </w:pPr>
          </w:p>
        </w:tc>
      </w:tr>
      <w:tr>
        <w:trPr>
          <w:trHeight w:val="218"/>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Manufacturing Agreement, dated as of December</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 2022, by and between the Company and Valor</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Brands LLC, a.k.a. Ontex North America.</w:t>
            </w:r>
          </w:p>
        </w:tc>
        <w:tc>
          <w:tcPr>
            <w:tcW w:w="360" w:type="dxa"/>
            <w:vAlign w:val="bottom"/>
          </w:tcPr>
          <w:p>
            <w:pPr>
              <w:spacing w:after="0"/>
              <w:rPr>
                <w:sz w:val="20"/>
                <w:szCs w:val="20"/>
                <w:color w:val="auto"/>
              </w:rPr>
            </w:pPr>
          </w:p>
        </w:tc>
      </w:tr>
      <w:tr>
        <w:trPr>
          <w:trHeight w:val="22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Twenty-Four to the Logistics</w:t>
            </w:r>
          </w:p>
        </w:tc>
        <w:tc>
          <w:tcPr>
            <w:tcW w:w="360" w:type="dxa"/>
            <w:vAlign w:val="bottom"/>
          </w:tcPr>
          <w:p>
            <w:pPr>
              <w:spacing w:after="0"/>
              <w:rPr>
                <w:sz w:val="19"/>
                <w:szCs w:val="19"/>
                <w:color w:val="auto"/>
              </w:rPr>
            </w:pPr>
          </w:p>
        </w:tc>
      </w:tr>
      <w:tr>
        <w:trPr>
          <w:trHeight w:val="218"/>
        </w:trPr>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Services Agreement, dated as of February 28,</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 by and between the Company and Geodis</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Logistics, LLC.</w:t>
            </w:r>
          </w:p>
        </w:tc>
        <w:tc>
          <w:tcPr>
            <w:tcW w:w="360" w:type="dxa"/>
            <w:vAlign w:val="bottom"/>
          </w:tcPr>
          <w:p>
            <w:pPr>
              <w:spacing w:after="0"/>
              <w:rPr>
                <w:sz w:val="20"/>
                <w:szCs w:val="20"/>
                <w:color w:val="auto"/>
              </w:rPr>
            </w:pPr>
          </w:p>
        </w:tc>
      </w:tr>
      <w:tr>
        <w:trPr>
          <w:trHeight w:val="230"/>
        </w:trPr>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2023 Inducement Plan</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8-K</w:t>
            </w:r>
          </w:p>
        </w:tc>
      </w:tr>
      <w:tr>
        <w:trPr>
          <w:trHeight w:val="250"/>
        </w:trPr>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560" w:type="dxa"/>
            <w:vAlign w:val="bottom"/>
          </w:tcPr>
          <w:p>
            <w:pPr>
              <w:spacing w:after="0"/>
              <w:rPr>
                <w:sz w:val="21"/>
                <w:szCs w:val="21"/>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Global RSU Award Grant Notice and</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8-K</w:t>
            </w:r>
          </w:p>
        </w:tc>
      </w:tr>
      <w:tr>
        <w:trPr>
          <w:trHeight w:val="218"/>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Global RSU Award Agreement under the 2023</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Inducement Plan</w:t>
            </w:r>
          </w:p>
        </w:tc>
        <w:tc>
          <w:tcPr>
            <w:tcW w:w="36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 of Subsidiaries</w:t>
            </w:r>
          </w:p>
        </w:tc>
        <w:tc>
          <w:tcPr>
            <w:tcW w:w="360" w:type="dxa"/>
            <w:vAlign w:val="bottom"/>
          </w:tcPr>
          <w:p>
            <w:pPr>
              <w:spacing w:after="0"/>
              <w:rPr>
                <w:sz w:val="19"/>
                <w:szCs w:val="19"/>
                <w:color w:val="auto"/>
              </w:rPr>
            </w:pPr>
          </w:p>
        </w:tc>
      </w:tr>
      <w:tr>
        <w:trPr>
          <w:trHeight w:val="25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360" w:type="dxa"/>
            <w:vAlign w:val="bottom"/>
          </w:tcPr>
          <w:p>
            <w:pPr>
              <w:spacing w:after="0"/>
              <w:rPr>
                <w:sz w:val="21"/>
                <w:szCs w:val="21"/>
                <w:color w:val="auto"/>
              </w:rPr>
            </w:pP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independent registered public accounting firm.</w:t>
            </w:r>
          </w:p>
        </w:tc>
        <w:tc>
          <w:tcPr>
            <w:tcW w:w="36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the signature</w:t>
            </w:r>
          </w:p>
        </w:tc>
        <w:tc>
          <w:tcPr>
            <w:tcW w:w="360" w:type="dxa"/>
            <w:vAlign w:val="bottom"/>
          </w:tcPr>
          <w:p>
            <w:pPr>
              <w:spacing w:after="0"/>
              <w:rPr>
                <w:sz w:val="19"/>
                <w:szCs w:val="19"/>
                <w:color w:val="auto"/>
              </w:rPr>
            </w:pP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page of this Annual Report on Form 10-K)</w:t>
            </w:r>
          </w:p>
        </w:tc>
        <w:tc>
          <w:tcPr>
            <w:tcW w:w="36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360" w:type="dxa"/>
            <w:vAlign w:val="bottom"/>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Oxley Act of 2002</w:t>
            </w:r>
          </w:p>
        </w:tc>
        <w:tc>
          <w:tcPr>
            <w:tcW w:w="360" w:type="dxa"/>
            <w:vAlign w:val="bottom"/>
          </w:tcPr>
          <w:p>
            <w:pPr>
              <w:spacing w:after="0"/>
              <w:rPr>
                <w:sz w:val="20"/>
                <w:szCs w:val="20"/>
                <w:color w:val="auto"/>
              </w:rPr>
            </w:pPr>
          </w:p>
        </w:tc>
      </w:tr>
      <w:tr>
        <w:trPr>
          <w:trHeight w:val="22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360" w:type="dxa"/>
            <w:vAlign w:val="bottom"/>
          </w:tcPr>
          <w:p>
            <w:pPr>
              <w:spacing w:after="0"/>
              <w:rPr>
                <w:sz w:val="19"/>
                <w:szCs w:val="19"/>
                <w:color w:val="auto"/>
              </w:rPr>
            </w:pPr>
          </w:p>
        </w:tc>
      </w:tr>
      <w:tr>
        <w:trPr>
          <w:trHeight w:val="218"/>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Rule 13a-14(a) and Rule 15d-14(a), as</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adopted pursuant to Section 302 of the Sarbanes-</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Oxley Act of 2002</w:t>
            </w:r>
          </w:p>
        </w:tc>
        <w:tc>
          <w:tcPr>
            <w:tcW w:w="360" w:type="dxa"/>
            <w:vAlign w:val="bottom"/>
          </w:tcPr>
          <w:p>
            <w:pPr>
              <w:spacing w:after="0"/>
              <w:rPr>
                <w:sz w:val="20"/>
                <w:szCs w:val="20"/>
                <w:color w:val="auto"/>
              </w:rPr>
            </w:pPr>
          </w:p>
        </w:tc>
      </w:tr>
      <w:tr>
        <w:trPr>
          <w:trHeight w:val="229"/>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c>
          <w:tcPr>
            <w:tcW w:w="360" w:type="dxa"/>
            <w:vAlign w:val="bottom"/>
          </w:tcPr>
          <w:p>
            <w:pPr>
              <w:spacing w:after="0"/>
              <w:rPr>
                <w:sz w:val="19"/>
                <w:szCs w:val="19"/>
                <w:color w:val="auto"/>
              </w:rPr>
            </w:pPr>
          </w:p>
        </w:tc>
      </w:tr>
      <w:tr>
        <w:trPr>
          <w:trHeight w:val="218"/>
        </w:trPr>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 of 2002</w:t>
            </w:r>
          </w:p>
        </w:tc>
        <w:tc>
          <w:tcPr>
            <w:tcW w:w="360" w:type="dxa"/>
            <w:vAlign w:val="bottom"/>
          </w:tcPr>
          <w:p>
            <w:pPr>
              <w:spacing w:after="0"/>
              <w:rPr>
                <w:sz w:val="20"/>
                <w:szCs w:val="20"/>
                <w:color w:val="auto"/>
              </w:rPr>
            </w:pPr>
          </w:p>
        </w:tc>
      </w:tr>
      <w:tr>
        <w:trPr>
          <w:trHeight w:val="473"/>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560" w:type="dxa"/>
            <w:vAlign w:val="bottom"/>
          </w:tcPr>
          <w:p>
            <w:pPr>
              <w:spacing w:after="0"/>
              <w:rPr>
                <w:sz w:val="24"/>
                <w:szCs w:val="24"/>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c>
          <w:tcPr>
            <w:tcW w:w="360" w:type="dxa"/>
            <w:vAlign w:val="bottom"/>
          </w:tcPr>
          <w:p>
            <w:pPr>
              <w:spacing w:after="0"/>
              <w:rPr>
                <w:sz w:val="24"/>
                <w:szCs w:val="24"/>
                <w:color w:val="auto"/>
              </w:rPr>
            </w:pPr>
          </w:p>
        </w:tc>
      </w:tr>
      <w:tr>
        <w:trPr>
          <w:trHeight w:val="218"/>
        </w:trPr>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18 U.S.C. Section 1350, as adopted</w:t>
            </w:r>
          </w:p>
        </w:tc>
        <w:tc>
          <w:tcPr>
            <w:tcW w:w="3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pursuant to Section 906 of the Sarbanes-Oxley</w:t>
            </w:r>
          </w:p>
        </w:tc>
        <w:tc>
          <w:tcPr>
            <w:tcW w:w="36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 of 2002</w:t>
            </w:r>
          </w:p>
        </w:tc>
        <w:tc>
          <w:tcPr>
            <w:tcW w:w="360" w:type="dxa"/>
            <w:vAlign w:val="bottom"/>
          </w:tcPr>
          <w:p>
            <w:pPr>
              <w:spacing w:after="0"/>
              <w:rPr>
                <w:sz w:val="20"/>
                <w:szCs w:val="20"/>
                <w:color w:val="auto"/>
              </w:rPr>
            </w:pPr>
          </w:p>
        </w:tc>
      </w:tr>
      <w:tr>
        <w:trPr>
          <w:trHeight w:val="252"/>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360" w:type="dxa"/>
            <w:vAlign w:val="bottom"/>
          </w:tcPr>
          <w:p>
            <w:pPr>
              <w:spacing w:after="0"/>
              <w:rPr>
                <w:sz w:val="21"/>
                <w:szCs w:val="21"/>
                <w:color w:val="auto"/>
              </w:rPr>
            </w:pPr>
          </w:p>
        </w:tc>
      </w:tr>
      <w:tr>
        <w:trPr>
          <w:trHeight w:val="221"/>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396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auto"/>
              </w:rPr>
              <w:t>Inline XBRL Taxonomy Extension Schema</w:t>
            </w:r>
          </w:p>
        </w:tc>
        <w:tc>
          <w:tcPr>
            <w:tcW w:w="360" w:type="dxa"/>
            <w:vAlign w:val="bottom"/>
          </w:tcPr>
          <w:p>
            <w:pPr>
              <w:spacing w:after="0"/>
              <w:rPr>
                <w:sz w:val="19"/>
                <w:szCs w:val="19"/>
                <w:color w:val="auto"/>
              </w:rPr>
            </w:pPr>
          </w:p>
        </w:tc>
      </w:tr>
      <w:tr>
        <w:trPr>
          <w:trHeight w:val="274"/>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Document</w:t>
            </w:r>
          </w:p>
        </w:tc>
        <w:tc>
          <w:tcPr>
            <w:tcW w:w="360" w:type="dxa"/>
            <w:vAlign w:val="bottom"/>
          </w:tcPr>
          <w:p>
            <w:pPr>
              <w:spacing w:after="0"/>
              <w:rPr>
                <w:sz w:val="23"/>
                <w:szCs w:val="23"/>
                <w:color w:val="auto"/>
              </w:rPr>
            </w:pPr>
          </w:p>
        </w:tc>
      </w:tr>
      <w:tr>
        <w:trPr>
          <w:trHeight w:val="230"/>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w:t>
            </w:r>
          </w:p>
        </w:tc>
        <w:tc>
          <w:tcPr>
            <w:tcW w:w="360" w:type="dxa"/>
            <w:vAlign w:val="bottom"/>
          </w:tcPr>
          <w:p>
            <w:pPr>
              <w:spacing w:after="0"/>
              <w:rPr>
                <w:sz w:val="19"/>
                <w:szCs w:val="19"/>
                <w:color w:val="auto"/>
              </w:rPr>
            </w:pPr>
          </w:p>
        </w:tc>
      </w:tr>
      <w:tr>
        <w:trPr>
          <w:trHeight w:val="258"/>
        </w:trPr>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Calculation Linkbase Document</w:t>
            </w:r>
          </w:p>
        </w:tc>
        <w:tc>
          <w:tcPr>
            <w:tcW w:w="360" w:type="dxa"/>
            <w:vAlign w:val="bottom"/>
          </w:tcPr>
          <w:p>
            <w:pPr>
              <w:spacing w:after="0"/>
              <w:rPr>
                <w:sz w:val="22"/>
                <w:szCs w:val="22"/>
                <w:color w:val="auto"/>
              </w:rPr>
            </w:pPr>
          </w:p>
        </w:tc>
      </w:tr>
      <w:tr>
        <w:trPr>
          <w:trHeight w:val="259"/>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 Label</w:t>
            </w:r>
          </w:p>
        </w:tc>
        <w:tc>
          <w:tcPr>
            <w:tcW w:w="360" w:type="dxa"/>
            <w:vAlign w:val="bottom"/>
          </w:tcPr>
          <w:p>
            <w:pPr>
              <w:spacing w:after="0"/>
              <w:rPr>
                <w:sz w:val="22"/>
                <w:szCs w:val="22"/>
                <w:color w:val="auto"/>
              </w:rPr>
            </w:pPr>
          </w:p>
        </w:tc>
      </w:tr>
      <w:tr>
        <w:trPr>
          <w:trHeight w:val="221"/>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3960" w:type="dxa"/>
            <w:vAlign w:val="bottom"/>
          </w:tcPr>
          <w:p>
            <w:pPr>
              <w:ind w:left="280"/>
              <w:spacing w:after="0" w:line="221" w:lineRule="exact"/>
              <w:rPr>
                <w:sz w:val="20"/>
                <w:szCs w:val="20"/>
                <w:color w:val="auto"/>
              </w:rPr>
            </w:pPr>
            <w:r>
              <w:rPr>
                <w:rFonts w:ascii="Times New Roman" w:cs="Times New Roman" w:eastAsia="Times New Roman" w:hAnsi="Times New Roman"/>
                <w:sz w:val="20"/>
                <w:szCs w:val="20"/>
                <w:color w:val="auto"/>
              </w:rPr>
              <w:t>Linkbase Document</w:t>
            </w:r>
          </w:p>
        </w:tc>
        <w:tc>
          <w:tcPr>
            <w:tcW w:w="360" w:type="dxa"/>
            <w:vAlign w:val="bottom"/>
          </w:tcPr>
          <w:p>
            <w:pPr>
              <w:spacing w:after="0"/>
              <w:rPr>
                <w:sz w:val="19"/>
                <w:szCs w:val="19"/>
                <w:color w:val="auto"/>
              </w:rPr>
            </w:pPr>
          </w:p>
        </w:tc>
      </w:tr>
      <w:tr>
        <w:trPr>
          <w:trHeight w:val="290"/>
        </w:trPr>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39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Inline XBRL Taxonomy Extension</w:t>
            </w:r>
          </w:p>
        </w:tc>
        <w:tc>
          <w:tcPr>
            <w:tcW w:w="360" w:type="dxa"/>
            <w:vAlign w:val="bottom"/>
          </w:tcPr>
          <w:p>
            <w:pPr>
              <w:spacing w:after="0"/>
              <w:rPr>
                <w:sz w:val="24"/>
                <w:szCs w:val="24"/>
                <w:color w:val="auto"/>
              </w:rPr>
            </w:pPr>
          </w:p>
        </w:tc>
      </w:tr>
    </w:tbl>
    <w:p>
      <w:pPr>
        <w:ind w:left="1280"/>
        <w:spacing w:after="0"/>
        <w:rPr>
          <w:sz w:val="20"/>
          <w:szCs w:val="20"/>
          <w:color w:val="auto"/>
        </w:rPr>
      </w:pPr>
      <w:r>
        <w:rPr>
          <w:rFonts w:ascii="Times New Roman" w:cs="Times New Roman" w:eastAsia="Times New Roman" w:hAnsi="Times New Roman"/>
          <w:sz w:val="20"/>
          <w:szCs w:val="20"/>
          <w:color w:val="auto"/>
        </w:rPr>
        <w:t>Presentation Linkbase Document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Inline XBRL Taxonomy Extension</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Definition Linkbase Document</w:t>
      </w:r>
    </w:p>
    <w:p>
      <w:pPr>
        <w:spacing w:after="0" w:line="43" w:lineRule="exact"/>
        <w:rPr>
          <w:sz w:val="20"/>
          <w:szCs w:val="20"/>
          <w:color w:val="auto"/>
        </w:rPr>
      </w:pPr>
    </w:p>
    <w:p>
      <w:pPr>
        <w:ind w:left="1280" w:right="940" w:hanging="1254"/>
        <w:spacing w:after="0" w:line="266"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5855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w:t>
      </w:r>
    </w:p>
    <w:p>
      <w:pPr>
        <w:spacing w:after="0" w:line="20" w:lineRule="exact"/>
        <w:rPr>
          <w:sz w:val="20"/>
          <w:szCs w:val="20"/>
          <w:color w:val="auto"/>
        </w:rPr>
      </w:pPr>
      <w:r>
        <w:rPr>
          <w:sz w:val="20"/>
          <w:szCs w:val="20"/>
          <w:color w:val="auto"/>
        </w:rPr>
        <w:br w:type="column"/>
      </w: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3/16/2023</w:t>
            </w:r>
          </w:p>
        </w:tc>
      </w:tr>
      <w:tr>
        <w:trPr>
          <w:trHeight w:val="270"/>
        </w:trPr>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001-40378</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3/16/2023</w:t>
            </w:r>
          </w:p>
        </w:tc>
      </w:tr>
    </w:tbl>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X</w:t>
      </w:r>
    </w:p>
    <w:p>
      <w:pPr>
        <w:spacing w:after="0" w:line="4533" w:lineRule="exact"/>
        <w:rPr>
          <w:sz w:val="20"/>
          <w:szCs w:val="20"/>
          <w:color w:val="auto"/>
        </w:rPr>
      </w:pPr>
    </w:p>
    <w:p>
      <w:pPr>
        <w:sectPr>
          <w:pgSz w:w="11900" w:h="16838" w:orient="portrait"/>
          <w:cols w:equalWidth="0" w:num="2">
            <w:col w:w="5580" w:space="720"/>
            <w:col w:w="4420"/>
          </w:cols>
          <w:pgMar w:left="320" w:top="810"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810" w:right="859" w:bottom="1440" w:gutter="0" w:footer="0" w:header="0"/>
          <w:type w:val="continuous"/>
        </w:sectPr>
      </w:pPr>
    </w:p>
    <w:bookmarkStart w:id="113" w:name="page114"/>
    <w:bookmarkEnd w:id="113"/>
    <w:p>
      <w:pPr>
        <w:jc w:val="both"/>
        <w:ind w:left="73" w:hanging="73"/>
        <w:spacing w:after="0" w:line="257" w:lineRule="auto"/>
        <w:tabs>
          <w:tab w:leader="none" w:pos="12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1" w:lineRule="exact"/>
        <w:rPr>
          <w:sz w:val="20"/>
          <w:szCs w:val="20"/>
          <w:color w:val="auto"/>
        </w:rPr>
      </w:pPr>
    </w:p>
    <w:p>
      <w:pPr>
        <w:ind w:left="73" w:right="20" w:hanging="73"/>
        <w:spacing w:after="0" w:line="260" w:lineRule="auto"/>
        <w:tabs>
          <w:tab w:leader="none" w:pos="1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because the registrant has determined that the information is both not material and is the type that the registrant treats as private or confidential.</w:t>
      </w:r>
    </w:p>
    <w:p>
      <w:pPr>
        <w:spacing w:after="0" w:line="24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2"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73" w:right="9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153"/>
        <w:spacing w:after="0"/>
        <w:rPr>
          <w:sz w:val="20"/>
          <w:szCs w:val="20"/>
          <w:color w:val="auto"/>
        </w:rPr>
      </w:pPr>
      <w:r>
        <w:rPr>
          <w:rFonts w:ascii="Times New Roman" w:cs="Times New Roman" w:eastAsia="Times New Roman" w:hAnsi="Times New Roman"/>
          <w:sz w:val="18"/>
          <w:szCs w:val="18"/>
          <w:color w:val="auto"/>
        </w:rPr>
        <w:t>The Honest Company, Inc.</w:t>
      </w:r>
    </w:p>
    <w:p>
      <w:pPr>
        <w:spacing w:after="0" w:line="63" w:lineRule="exact"/>
        <w:rPr>
          <w:sz w:val="20"/>
          <w:szCs w:val="20"/>
          <w:color w:val="auto"/>
        </w:rPr>
      </w:pPr>
    </w:p>
    <w:p>
      <w:pPr>
        <w:ind w:left="93"/>
        <w:spacing w:after="0"/>
        <w:tabs>
          <w:tab w:leader="none" w:pos="5813"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34290</wp:posOffset>
            </wp:positionV>
            <wp:extent cx="3300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Carla Vernón</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14" w:lineRule="exact"/>
        <w:rPr>
          <w:sz w:val="20"/>
          <w:szCs w:val="20"/>
          <w:color w:val="auto"/>
        </w:rPr>
      </w:pPr>
    </w:p>
    <w:p>
      <w:pPr>
        <w:ind w:left="7673"/>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72"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left="73" w:right="8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Carla Vernón, Kelly Kennedy and Brendan Sheehey, and each one of them, as his or her true and lawful attorneys-in-fact and agents, with full power of substitution and resubstitution, for him or her and in their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16" w:lineRule="exact"/>
        <w:rPr>
          <w:sz w:val="20"/>
          <w:szCs w:val="20"/>
          <w:color w:val="auto"/>
        </w:rPr>
      </w:pPr>
    </w:p>
    <w:p>
      <w:pPr>
        <w:ind w:left="73"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172720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769" w:right="37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00" w:type="dxa"/>
            <w:vAlign w:val="bottom"/>
          </w:tcPr>
          <w:p>
            <w:pPr>
              <w:spacing w:after="0"/>
              <w:rPr>
                <w:sz w:val="20"/>
                <w:szCs w:val="20"/>
                <w:color w:val="auto"/>
              </w:rPr>
            </w:pPr>
          </w:p>
        </w:tc>
        <w:tc>
          <w:tcPr>
            <w:tcW w:w="4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Carla Vernón</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Carla Vernón</w:t>
            </w:r>
          </w:p>
        </w:tc>
        <w:tc>
          <w:tcPr>
            <w:tcW w:w="100" w:type="dxa"/>
            <w:vAlign w:val="bottom"/>
          </w:tcPr>
          <w:p>
            <w:pPr>
              <w:spacing w:after="0"/>
              <w:rPr>
                <w:sz w:val="20"/>
                <w:szCs w:val="20"/>
                <w:color w:val="auto"/>
              </w:rPr>
            </w:pPr>
          </w:p>
        </w:tc>
        <w:tc>
          <w:tcPr>
            <w:tcW w:w="4720" w:type="dxa"/>
            <w:vAlign w:val="bottom"/>
            <w:gridSpan w:val="2"/>
            <w:vMerge w:val="continue"/>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Kelly J. Kennedy</w:t>
            </w:r>
          </w:p>
        </w:tc>
        <w:tc>
          <w:tcPr>
            <w:tcW w:w="1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Kelly J. Kennedy</w:t>
            </w:r>
          </w:p>
        </w:tc>
        <w:tc>
          <w:tcPr>
            <w:tcW w:w="100" w:type="dxa"/>
            <w:vAlign w:val="bottom"/>
          </w:tcPr>
          <w:p>
            <w:pPr>
              <w:spacing w:after="0"/>
              <w:rPr>
                <w:sz w:val="21"/>
                <w:szCs w:val="21"/>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Jessica Warren</w:t>
            </w:r>
          </w:p>
        </w:tc>
        <w:tc>
          <w:tcPr>
            <w:tcW w:w="100" w:type="dxa"/>
            <w:vAlign w:val="bottom"/>
          </w:tcPr>
          <w:p>
            <w:pPr>
              <w:spacing w:after="0"/>
              <w:rPr>
                <w:sz w:val="22"/>
                <w:szCs w:val="22"/>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Creative Officer and 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Jessica Warren</w:t>
            </w:r>
          </w:p>
        </w:tc>
        <w:tc>
          <w:tcPr>
            <w:tcW w:w="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D. White</w:t>
            </w:r>
          </w:p>
        </w:tc>
        <w:tc>
          <w:tcPr>
            <w:tcW w:w="100" w:type="dxa"/>
            <w:vAlign w:val="bottom"/>
          </w:tcPr>
          <w:p>
            <w:pPr>
              <w:spacing w:after="0"/>
              <w:rPr>
                <w:sz w:val="23"/>
                <w:szCs w:val="23"/>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D. White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Katie Bayne</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Katie Bayne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Julia M. Brown</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Julia M. Brown</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Susan Gentile</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Gentile</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R. Hartung</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R. Hartung</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Eric Liaw</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Liaw</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Avik Pramanik</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Avik Pramanik</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Nikolaos Vlahos</w:t>
            </w:r>
          </w:p>
        </w:tc>
        <w:tc>
          <w:tcPr>
            <w:tcW w:w="10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16, 2023</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Nikolaos Vlahos</w:t>
            </w:r>
          </w:p>
        </w:tc>
        <w:tc>
          <w:tcPr>
            <w:tcW w:w="1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100"/>
          </w:cols>
          <w:pgMar w:left="320" w:top="819" w:right="47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9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1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4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THE HONEST COMPANY, INC.</w:t>
      </w:r>
    </w:p>
    <w:p>
      <w:pPr>
        <w:ind w:left="3020"/>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37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JANUARY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0120"/>
          </w:cols>
          <w:pgMar w:left="1440" w:top="139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4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THE HONEST COMPANY, INC.</w:t>
      </w:r>
    </w:p>
    <w:p>
      <w:pPr>
        <w:ind w:left="4140"/>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379" w:lineRule="exact"/>
        <w:rPr>
          <w:sz w:val="20"/>
          <w:szCs w:val="20"/>
          <w:color w:val="auto"/>
        </w:rPr>
      </w:pPr>
    </w:p>
    <w:p>
      <w:pPr>
        <w:jc w:val="right"/>
        <w:ind w:right="52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162" w:lineRule="exact"/>
        <w:rPr>
          <w:sz w:val="20"/>
          <w:szCs w:val="20"/>
          <w:color w:val="auto"/>
        </w:rPr>
      </w:pPr>
    </w:p>
    <w:p>
      <w:pPr>
        <w:jc w:val="right"/>
        <w:ind w:right="5180"/>
        <w:spacing w:after="0"/>
        <w:rPr>
          <w:sz w:val="20"/>
          <w:szCs w:val="20"/>
          <w:color w:val="auto"/>
        </w:rPr>
      </w:pPr>
      <w:r>
        <w:rPr>
          <w:rFonts w:ascii="Times New Roman" w:cs="Times New Roman" w:eastAsia="Times New Roman" w:hAnsi="Times New Roman"/>
          <w:sz w:val="20"/>
          <w:szCs w:val="20"/>
          <w:b w:val="1"/>
          <w:bCs w:val="1"/>
          <w:color w:val="auto"/>
        </w:rPr>
        <w:t>OFFICES</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 Registered Office. </w:t>
      </w:r>
      <w:r>
        <w:rPr>
          <w:rFonts w:ascii="Times New Roman" w:cs="Times New Roman" w:eastAsia="Times New Roman" w:hAnsi="Times New Roman"/>
          <w:sz w:val="20"/>
          <w:szCs w:val="20"/>
          <w:color w:val="auto"/>
        </w:rPr>
        <w:t>The registered office of the corporation in the State of Delaware shall be as set forth in the Amended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Restated Certificate of Incorporation of the corporation, as the same may be amended or restated from time to time (the “</w:t>
      </w:r>
      <w:r>
        <w:rPr>
          <w:rFonts w:ascii="Times New Roman" w:cs="Times New Roman" w:eastAsia="Times New Roman" w:hAnsi="Times New Roman"/>
          <w:sz w:val="20"/>
          <w:szCs w:val="20"/>
          <w:b w:val="1"/>
          <w:bCs w:val="1"/>
          <w:i w:val="1"/>
          <w:iCs w:val="1"/>
          <w:color w:val="auto"/>
        </w:rPr>
        <w:t>Certificate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Incorporation</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Section 2. Other Offices. </w:t>
      </w:r>
      <w:r>
        <w:rPr>
          <w:rFonts w:ascii="Times New Roman" w:cs="Times New Roman" w:eastAsia="Times New Roman" w:hAnsi="Times New Roman"/>
          <w:sz w:val="19"/>
          <w:szCs w:val="19"/>
          <w:color w:val="auto"/>
        </w:rPr>
        <w:t>The corporation may also have and maintain an office or principal place of business at such place as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fixed by the Board of Directors of the corporation (the “</w:t>
      </w:r>
      <w:r>
        <w:rPr>
          <w:rFonts w:ascii="Times New Roman" w:cs="Times New Roman" w:eastAsia="Times New Roman" w:hAnsi="Times New Roman"/>
          <w:sz w:val="19"/>
          <w:szCs w:val="19"/>
          <w:b w:val="1"/>
          <w:bCs w:val="1"/>
          <w:i w:val="1"/>
          <w:iCs w:val="1"/>
          <w:color w:val="auto"/>
        </w:rPr>
        <w:t>Board of Directors</w:t>
      </w:r>
      <w:r>
        <w:rPr>
          <w:rFonts w:ascii="Times New Roman" w:cs="Times New Roman" w:eastAsia="Times New Roman" w:hAnsi="Times New Roman"/>
          <w:sz w:val="19"/>
          <w:szCs w:val="19"/>
          <w:color w:val="auto"/>
        </w:rPr>
        <w:t>”), and may also have offices at such other places, both within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without the State of Delaware as the Board of Directors may from time to time determine or the business of the corporation may require.</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SEAL</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 Corporate Seal. </w:t>
      </w:r>
      <w:r>
        <w:rPr>
          <w:rFonts w:ascii="Times New Roman" w:cs="Times New Roman" w:eastAsia="Times New Roman" w:hAnsi="Times New Roman"/>
          <w:sz w:val="20"/>
          <w:szCs w:val="20"/>
          <w:color w:val="auto"/>
        </w:rPr>
        <w:t>The Board of Directors may adopt a corporate seal. If adopted, the corporate seal shall consist of a die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bearing the name of the corporation and the inscription, “</w:t>
      </w:r>
      <w:r>
        <w:rPr>
          <w:rFonts w:ascii="Times New Roman" w:cs="Times New Roman" w:eastAsia="Times New Roman" w:hAnsi="Times New Roman"/>
          <w:sz w:val="20"/>
          <w:szCs w:val="20"/>
          <w:b w:val="1"/>
          <w:bCs w:val="1"/>
          <w:i w:val="1"/>
          <w:iCs w:val="1"/>
          <w:color w:val="auto"/>
        </w:rPr>
        <w:t>Corporate Seal-Delaware</w:t>
      </w:r>
      <w:r>
        <w:rPr>
          <w:rFonts w:ascii="Times New Roman" w:cs="Times New Roman" w:eastAsia="Times New Roman" w:hAnsi="Times New Roman"/>
          <w:sz w:val="20"/>
          <w:szCs w:val="20"/>
          <w:color w:val="auto"/>
        </w:rPr>
        <w:t>.” Said seal may be used by causing it or a facsimile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thereof to be impressed or affixed or reproduced or otherwise.</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17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STOCKHOLDERS’ MEETINGS</w:t>
      </w:r>
    </w:p>
    <w:p>
      <w:pPr>
        <w:spacing w:after="0" w:line="17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 Place of Meetings. </w:t>
      </w:r>
      <w:r>
        <w:rPr>
          <w:rFonts w:ascii="Times New Roman" w:cs="Times New Roman" w:eastAsia="Times New Roman" w:hAnsi="Times New Roman"/>
          <w:sz w:val="20"/>
          <w:szCs w:val="20"/>
          <w:color w:val="auto"/>
        </w:rPr>
        <w:t>Meetings of the stockholders of the corporation may be held at such place, if any, either within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the State of Delaware, as may be determined from time to time by the Board of Directors. The Board of Directors may, in its sole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discretion, determine that the meeting shall not be held at any place, but may instead be held solely by means of remote communication as provided under the General Corporation Law of the State of Delaware (the “</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and Section 14 below.</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Annual Meetings.</w:t>
      </w:r>
    </w:p>
    <w:p>
      <w:pPr>
        <w:spacing w:after="0" w:line="193" w:lineRule="exact"/>
        <w:rPr>
          <w:sz w:val="20"/>
          <w:szCs w:val="20"/>
          <w:color w:val="auto"/>
        </w:rPr>
      </w:pPr>
    </w:p>
    <w:p>
      <w:pPr>
        <w:jc w:val="both"/>
        <w:ind w:firstLine="8"/>
        <w:spacing w:after="0" w:line="210" w:lineRule="auto"/>
        <w:tabs>
          <w:tab w:leader="none" w:pos="636"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The corporation may postpone, reschedule or cancel any annual meeting of stockholders previously scheduled by the Board of Directors. Nominations of persons for election to the Board of Directors and proposals of other business to be considered by the stockholders may be made at an annual meeting of stockholders: (i) pursuant to the corporation’s notice of meeting of stockholders (or any supplement thereto);</w:t>
      </w:r>
    </w:p>
    <w:p>
      <w:pPr>
        <w:spacing w:after="0" w:line="1" w:lineRule="exact"/>
        <w:rPr>
          <w:rFonts w:ascii="Times New Roman" w:cs="Times New Roman" w:eastAsia="Times New Roman" w:hAnsi="Times New Roman"/>
          <w:sz w:val="20"/>
          <w:szCs w:val="20"/>
          <w:b w:val="1"/>
          <w:bCs w:val="1"/>
          <w:color w:val="auto"/>
        </w:rPr>
      </w:pPr>
    </w:p>
    <w:p>
      <w:pPr>
        <w:jc w:val="both"/>
        <w:ind w:firstLine="8"/>
        <w:spacing w:after="0" w:line="212" w:lineRule="auto"/>
        <w:tabs>
          <w:tab w:leader="none" w:pos="29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or at the direction of the Board of Directors or a duly authorized committee thereof; or (iii) by any stockholder of the corporation who was a stockholder of record at the time of giving the stockholder’s notice provided for in Section 5(b) below and who is a stockholder of record at the time of the annual meeting of stockholders,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w:t>
      </w:r>
    </w:p>
    <w:p>
      <w:pPr>
        <w:sectPr>
          <w:pgSz w:w="11900" w:h="16838" w:orient="portrait"/>
          <w:cols w:equalWidth="0" w:num="1">
            <w:col w:w="11240"/>
          </w:cols>
          <w:pgMar w:left="320" w:top="139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Act of 1934, as amended, and the rules and regulations thereunder (the “</w:t>
      </w:r>
      <w:r>
        <w:rPr>
          <w:rFonts w:ascii="Times New Roman" w:cs="Times New Roman" w:eastAsia="Times New Roman" w:hAnsi="Times New Roman"/>
          <w:sz w:val="20"/>
          <w:szCs w:val="20"/>
          <w:b w:val="1"/>
          <w:bCs w:val="1"/>
          <w:i w:val="1"/>
          <w:iCs w:val="1"/>
          <w:color w:val="auto"/>
        </w:rPr>
        <w:t>1934 Act</w:t>
      </w:r>
      <w:r>
        <w:rPr>
          <w:rFonts w:ascii="Times New Roman" w:cs="Times New Roman" w:eastAsia="Times New Roman" w:hAnsi="Times New Roman"/>
          <w:sz w:val="20"/>
          <w:szCs w:val="20"/>
          <w:color w:val="auto"/>
        </w:rPr>
        <w:t>”)) before an annual meeting of stockholders.</w:t>
      </w:r>
    </w:p>
    <w:p>
      <w:pPr>
        <w:spacing w:after="0" w:line="193" w:lineRule="exact"/>
        <w:rPr>
          <w:sz w:val="20"/>
          <w:szCs w:val="20"/>
          <w:color w:val="auto"/>
        </w:rPr>
      </w:pPr>
    </w:p>
    <w:p>
      <w:pPr>
        <w:jc w:val="both"/>
        <w:ind w:firstLine="8"/>
        <w:spacing w:after="0" w:line="222" w:lineRule="auto"/>
        <w:tabs>
          <w:tab w:leader="none" w:pos="647"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an annual meeting of the stockholders, only such business shall be conducted as is a proper matter for stockholder action under the DGCL, the Certificate of Incorporation and these Amended and Restated Bylaws of the corporation, as the same may be amended or restated from time to time (the “</w:t>
      </w:r>
      <w:r>
        <w:rPr>
          <w:rFonts w:ascii="Times New Roman" w:cs="Times New Roman" w:eastAsia="Times New Roman" w:hAnsi="Times New Roman"/>
          <w:sz w:val="20"/>
          <w:szCs w:val="20"/>
          <w:b w:val="1"/>
          <w:bCs w:val="1"/>
          <w:i w:val="1"/>
          <w:iCs w:val="1"/>
          <w:color w:val="auto"/>
        </w:rPr>
        <w:t>Bylaws</w:t>
      </w:r>
      <w:r>
        <w:rPr>
          <w:rFonts w:ascii="Times New Roman" w:cs="Times New Roman" w:eastAsia="Times New Roman" w:hAnsi="Times New Roman"/>
          <w:sz w:val="20"/>
          <w:szCs w:val="20"/>
          <w:color w:val="auto"/>
        </w:rPr>
        <w:t>”), and only such nominations shall be made and such business shall be conducted as shall have been properly brought before the meeting in accordance with the procedures below.</w:t>
      </w:r>
    </w:p>
    <w:p>
      <w:pPr>
        <w:spacing w:after="0" w:line="148" w:lineRule="exact"/>
        <w:rPr>
          <w:sz w:val="20"/>
          <w:szCs w:val="20"/>
          <w:color w:val="auto"/>
        </w:rPr>
      </w:pPr>
    </w:p>
    <w:p>
      <w:pPr>
        <w:jc w:val="both"/>
        <w:ind w:firstLine="8"/>
        <w:spacing w:after="0" w:line="220" w:lineRule="auto"/>
        <w:tabs>
          <w:tab w:leader="none" w:pos="646"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the information contained in such written notice (other than the representation required by Section 5(b)(iv)(E))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list of any pledge of or encumbrances on such shares, (4) the date or dates on which such shares were acquired and the investment intent of such acquisition, (5) the questionnaire, representation and agreement required by Section 5(e), completed and signed by such nominee, and (6) all other information concerning such nominee as would be required to be disclosed or provided to the corporation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and the rules and regulations promulgated thereunder (including such person’s written consent to being named in a proxy statement and associated proxy card as a nominee and to serving as a director if elected); and (B) all of the information required by Section 5(b)(iv). The corporation may require any proposed nominee to furnish such other information as it may reasonably require to determine the eligibility of such proposed nominee to serve as a director of the corporation and to determine the independence of such proposed nominee (as such term is used in any applicable stock exchange listing requirements or applicable law) or to determine the eligibility of such proposed nominee to serve on any committee or sub-committee of the Board of Directors under any applicable stock exchange listing requirements or applicable law, or that could be material to a reasonable stockholder’s understanding of the background, qualifications, experience, or independence, or lack thereof, of such proposed nominee.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spacing w:after="0" w:line="170" w:lineRule="exact"/>
        <w:rPr>
          <w:rFonts w:ascii="Times New Roman" w:cs="Times New Roman" w:eastAsia="Times New Roman" w:hAnsi="Times New Roman"/>
          <w:sz w:val="19"/>
          <w:szCs w:val="19"/>
          <w:b w:val="1"/>
          <w:bCs w:val="1"/>
          <w:color w:val="auto"/>
        </w:rPr>
      </w:pPr>
    </w:p>
    <w:p>
      <w:pPr>
        <w:jc w:val="both"/>
        <w:ind w:firstLine="8"/>
        <w:spacing w:after="0" w:line="211" w:lineRule="auto"/>
        <w:tabs>
          <w:tab w:leader="none" w:pos="647"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all of the information required by Section 5(b)(iv).</w:t>
      </w:r>
    </w:p>
    <w:p>
      <w:pPr>
        <w:spacing w:after="0" w:line="165" w:lineRule="exact"/>
        <w:rPr>
          <w:rFonts w:ascii="Times New Roman" w:cs="Times New Roman" w:eastAsia="Times New Roman" w:hAnsi="Times New Roman"/>
          <w:sz w:val="20"/>
          <w:szCs w:val="20"/>
          <w:b w:val="1"/>
          <w:bCs w:val="1"/>
          <w:color w:val="auto"/>
        </w:rPr>
      </w:pPr>
    </w:p>
    <w:p>
      <w:pPr>
        <w:jc w:val="both"/>
        <w:ind w:firstLine="8"/>
        <w:spacing w:after="0" w:line="208" w:lineRule="auto"/>
        <w:tabs>
          <w:tab w:leader="none" w:pos="648"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nor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first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 xml:space="preserve">immediately preceding year’s annual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subject to the last sentence of this Section 5(b)(iii), in the event that</w:t>
      </w:r>
    </w:p>
    <w:p>
      <w:pPr>
        <w:jc w:val="both"/>
        <w:ind w:firstLine="8"/>
        <w:spacing w:after="0" w:line="204" w:lineRule="auto"/>
        <w:tabs>
          <w:tab w:leader="none" w:pos="34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the annual meeting is advanced more than 30 days prior to or delayed by more than 30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annual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annual meeting or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161" w:lineRule="exact"/>
        <w:rPr>
          <w:sz w:val="20"/>
          <w:szCs w:val="20"/>
          <w:color w:val="auto"/>
        </w:rPr>
      </w:pPr>
    </w:p>
    <w:p>
      <w:pPr>
        <w:jc w:val="both"/>
        <w:ind w:firstLine="8"/>
        <w:spacing w:after="0" w:line="221" w:lineRule="auto"/>
        <w:tabs>
          <w:tab w:leader="none" w:pos="637"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written notice required by Sections 5(b)(i) or 5(b)(ii)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9"/>
          <w:szCs w:val="19"/>
          <w:b w:val="1"/>
          <w:bCs w:val="1"/>
          <w:i w:val="1"/>
          <w:iCs w:val="1"/>
          <w:color w:val="auto"/>
        </w:rPr>
        <w:t>Proponent</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Proponents</w:t>
      </w:r>
      <w:r>
        <w:rPr>
          <w:rFonts w:ascii="Times New Roman" w:cs="Times New Roman" w:eastAsia="Times New Roman" w:hAnsi="Times New Roman"/>
          <w:sz w:val="19"/>
          <w:szCs w:val="19"/>
          <w:color w:val="auto"/>
        </w:rPr>
        <w:t>”):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has a right to acquire beneficial ownership at any time in the future);</w:t>
      </w:r>
    </w:p>
    <w:p>
      <w:pPr>
        <w:spacing w:after="0" w:line="4" w:lineRule="exact"/>
        <w:rPr>
          <w:rFonts w:ascii="Times New Roman" w:cs="Times New Roman" w:eastAsia="Times New Roman" w:hAnsi="Times New Roman"/>
          <w:sz w:val="19"/>
          <w:szCs w:val="19"/>
          <w:b w:val="1"/>
          <w:bCs w:val="1"/>
          <w:color w:val="auto"/>
        </w:rPr>
      </w:pPr>
    </w:p>
    <w:p>
      <w:pPr>
        <w:jc w:val="both"/>
        <w:spacing w:after="0" w:line="208"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acting in concert, or otherwise under the agreement, arrangement or understanding, with any of the foregoing, including, in the case of a nominee, the nominee, including any agreement, arrangement or understanding (whether oral or in writing) relating to any compensation or payments to be paid to any such proposed nominees(s); (D) a representation that the stockholder is a holder of record of shares of the corporation at the time of giving notice, will be entitled to vote at the meeting, and intends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or are part of a group which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(F) to the extent known by any Proponent, the name and address of any other stockholder supporting the proposal on the date of such stockholder’s notice; (G) 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 (H) a certification that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(I) any other information relating to the Proponents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53" w:lineRule="exact"/>
        <w:rPr>
          <w:sz w:val="20"/>
          <w:szCs w:val="20"/>
          <w:color w:val="auto"/>
        </w:rPr>
      </w:pPr>
    </w:p>
    <w:p>
      <w:pPr>
        <w:jc w:val="both"/>
        <w:ind w:firstLine="8"/>
        <w:spacing w:after="0" w:line="218" w:lineRule="auto"/>
        <w:tabs>
          <w:tab w:leader="none" w:pos="638"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stockholder providing the written notice required by Section 5(b)(i) or (ii)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such update or supplement shall cure or affect the accuracy (or inaccuracy) of any representations made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Proponent, any of its affiliates or associates, or a nominee or the validity (or invalidity) of any nomination or proposal that failed to comply</w:t>
      </w:r>
    </w:p>
    <w:p>
      <w:pPr>
        <w:spacing w:after="0" w:line="204" w:lineRule="auto"/>
        <w:rPr>
          <w:sz w:val="20"/>
          <w:szCs w:val="20"/>
          <w:color w:val="auto"/>
        </w:rPr>
      </w:pPr>
      <w:r>
        <w:rPr>
          <w:rFonts w:ascii="Times New Roman" w:cs="Times New Roman" w:eastAsia="Times New Roman" w:hAnsi="Times New Roman"/>
          <w:sz w:val="20"/>
          <w:szCs w:val="20"/>
          <w:color w:val="auto"/>
        </w:rPr>
        <w:t>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w:t>
      </w:r>
    </w:p>
    <w:p>
      <w:pPr>
        <w:spacing w:after="0" w:line="211" w:lineRule="auto"/>
        <w:rPr>
          <w:sz w:val="20"/>
          <w:szCs w:val="20"/>
          <w:color w:val="auto"/>
        </w:rPr>
      </w:pPr>
      <w:r>
        <w:rPr>
          <w:rFonts w:ascii="Times New Roman" w:cs="Times New Roman" w:eastAsia="Times New Roman" w:hAnsi="Times New Roman"/>
          <w:sz w:val="20"/>
          <w:szCs w:val="20"/>
          <w:color w:val="auto"/>
        </w:rPr>
        <w:t>later than five Business Days after the later of the record date for the determination of stockholders entitled to notice of the meeting or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public announcement of such record date. In the case of an update and supplement pursuant to clause (ii) of this Section 5(c), such update and supplement shall be received by the Secretary at the principal executive offices of the corporation not later than two Business Days prior to</w:t>
      </w:r>
    </w:p>
    <w:p>
      <w:pPr>
        <w:spacing w:after="0" w:line="228" w:lineRule="auto"/>
        <w:rPr>
          <w:sz w:val="20"/>
          <w:szCs w:val="20"/>
          <w:color w:val="auto"/>
        </w:rPr>
      </w:pPr>
      <w:r>
        <w:rPr>
          <w:rFonts w:ascii="Times New Roman" w:cs="Times New Roman" w:eastAsia="Times New Roman" w:hAnsi="Times New Roman"/>
          <w:sz w:val="20"/>
          <w:szCs w:val="20"/>
          <w:color w:val="auto"/>
        </w:rPr>
        <w:t>the date for the meeting, and, in the event of any adjournment or postponement thereof, two Business Days prior to such adjourned or postponed meeting.</w:t>
      </w:r>
    </w:p>
    <w:p>
      <w:pPr>
        <w:spacing w:after="0" w:line="149" w:lineRule="exact"/>
        <w:rPr>
          <w:sz w:val="20"/>
          <w:szCs w:val="20"/>
          <w:color w:val="auto"/>
        </w:rPr>
      </w:pPr>
    </w:p>
    <w:p>
      <w:pPr>
        <w:jc w:val="both"/>
        <w:ind w:firstLine="8"/>
        <w:spacing w:after="0" w:line="212" w:lineRule="auto"/>
        <w:tabs>
          <w:tab w:leader="none" w:pos="647"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Notwithstanding anything in Section 5(b)(iii) to the contrary, in the event that the number of directors in an Expiring Class (as defined below) to be elected to the Board of Directors at the next annual meeting is increased effective after the time period for which nominations would otherwise be due under Section 5(b)(iii) and there is no public announcement by the corporation naming all of the nominees for the Expiring Class or specifying the size of the increased Expiring Class at least 100 days before the first anniversary of the preceding year’s annual meeting, a stockholder’s notice required by this Section 5 and that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day following the day on which such public announcement is first made by the corporation. For purposes of this section, an “</w:t>
      </w:r>
      <w:r>
        <w:rPr>
          <w:rFonts w:ascii="Times New Roman" w:cs="Times New Roman" w:eastAsia="Times New Roman" w:hAnsi="Times New Roman"/>
          <w:sz w:val="20"/>
          <w:szCs w:val="20"/>
          <w:b w:val="1"/>
          <w:bCs w:val="1"/>
          <w:i w:val="1"/>
          <w:iCs w:val="1"/>
          <w:color w:val="auto"/>
        </w:rPr>
        <w:t>Expiring Class</w:t>
      </w:r>
      <w:r>
        <w:rPr>
          <w:rFonts w:ascii="Times New Roman" w:cs="Times New Roman" w:eastAsia="Times New Roman" w:hAnsi="Times New Roman"/>
          <w:sz w:val="20"/>
          <w:szCs w:val="20"/>
          <w:color w:val="auto"/>
        </w:rPr>
        <w:t>” shall mean a class of directors whose term shall expire at the next annual meeting of stockholders.</w:t>
      </w:r>
    </w:p>
    <w:p>
      <w:pPr>
        <w:spacing w:after="0" w:line="169" w:lineRule="exact"/>
        <w:rPr>
          <w:rFonts w:ascii="Times New Roman" w:cs="Times New Roman" w:eastAsia="Times New Roman" w:hAnsi="Times New Roman"/>
          <w:sz w:val="20"/>
          <w:szCs w:val="20"/>
          <w:b w:val="1"/>
          <w:bCs w:val="1"/>
          <w:color w:val="auto"/>
        </w:rPr>
      </w:pPr>
    </w:p>
    <w:p>
      <w:pPr>
        <w:jc w:val="both"/>
        <w:ind w:firstLine="8"/>
        <w:spacing w:after="0" w:line="210" w:lineRule="auto"/>
        <w:tabs>
          <w:tab w:leader="none" w:pos="638"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be eligible to be a nominee for election or re-election as a director of the corporation pursuant to a nomination under clause (iii) of Section 5(a), each Proponent must deliver (in accordance with the time periods prescribed for delivery of notice under Section 5(b)(iii) or 5(d),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(i) is not and will not become a party to (A) any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0"/>
          <w:szCs w:val="20"/>
          <w:b w:val="1"/>
          <w:bCs w:val="1"/>
          <w:i w:val="1"/>
          <w:iCs w:val="1"/>
          <w:color w:val="auto"/>
        </w:rPr>
        <w:t>Voting Commitment</w:t>
      </w:r>
      <w:r>
        <w:rPr>
          <w:rFonts w:ascii="Times New Roman" w:cs="Times New Roman" w:eastAsia="Times New Roman" w:hAnsi="Times New Roman"/>
          <w:sz w:val="20"/>
          <w:szCs w:val="20"/>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(iii) would be in compliance, if elected as a director of the corporation, and will comply with, all applicable publicly disclosed corporate governance, conflict of interest, confidentiality and stock ownership and trading policies and guidelines of the corporation and (iv) if elected as director of the Corporation, intends to serve the entire term until the next meeting at which such candidate would face re-election.</w:t>
      </w:r>
    </w:p>
    <w:p>
      <w:pPr>
        <w:spacing w:after="0" w:line="155" w:lineRule="exact"/>
        <w:rPr>
          <w:rFonts w:ascii="Times New Roman" w:cs="Times New Roman" w:eastAsia="Times New Roman" w:hAnsi="Times New Roman"/>
          <w:sz w:val="20"/>
          <w:szCs w:val="20"/>
          <w:b w:val="1"/>
          <w:bCs w:val="1"/>
          <w:color w:val="auto"/>
        </w:rPr>
      </w:pPr>
    </w:p>
    <w:p>
      <w:pPr>
        <w:jc w:val="both"/>
        <w:ind w:firstLine="8"/>
        <w:spacing w:after="0" w:line="214" w:lineRule="auto"/>
        <w:tabs>
          <w:tab w:leader="none" w:pos="643"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person shall not be eligible for election or re-election as a director at an annual meeting or special meeting, unless the person is nominated in accordance with Section 5(a) and in accordance with the procedures set forth in Section 5(b), Section 5(c), Section 5(d), and Section 5(e), as applicable. Only such business shall be conducted at any annual meeting of the stockholders of the corporation as shall have been brought before the meeting in accordance with Section 5(a) and in accordance with the procedures set forth in Section 5(b) and Section 5(c), as applicable. Notwithstanding anything to the contrary in the Bylaws, unless otherwise required by applicable law, if any Proponent (i) provides notice pursuant to Rule 14a-19(b) promulgated under the 1934 Act with respect to any proposed nominee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following sentence) or (y) fails to inform the corporation that they no longer plan to solicit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proxies in accordance with the requirements of Rule 14a-19 under the 1934 Act by delivering a written notice to the Secretary at the principal</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executive offices of the corporation within two (2) Business Days after the occurrence of such change, then the nomination of each such proposed nominee shall be disregarded, notwithstanding that the nominee is included as a nominee in the corporation’s proxy statement,</w:t>
      </w:r>
    </w:p>
    <w:p>
      <w:pPr>
        <w:spacing w:after="0" w:line="211" w:lineRule="auto"/>
        <w:rPr>
          <w:sz w:val="20"/>
          <w:szCs w:val="20"/>
          <w:color w:val="auto"/>
        </w:rPr>
      </w:pPr>
      <w:r>
        <w:rPr>
          <w:rFonts w:ascii="Times New Roman" w:cs="Times New Roman" w:eastAsia="Times New Roman" w:hAnsi="Times New Roman"/>
          <w:sz w:val="20"/>
          <w:szCs w:val="20"/>
          <w:color w:val="auto"/>
        </w:rPr>
        <w:t>notice of meeting or other proxy materials for any annual meeting (or any supplement thereto) and notwithstanding that proxies or votes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respect of the election of such proposed nominees may have been received by the corporation (which proxies and votes shall be disregarded). If any Proponent provides notice pursuant to Rule 14a-19(b) promulgated under the 1934 Act, such Proponent shall deliver to the</w:t>
      </w:r>
    </w:p>
    <w:p>
      <w:pPr>
        <w:spacing w:after="0" w:line="211" w:lineRule="auto"/>
        <w:rPr>
          <w:sz w:val="20"/>
          <w:szCs w:val="20"/>
          <w:color w:val="auto"/>
        </w:rPr>
      </w:pPr>
      <w:r>
        <w:rPr>
          <w:rFonts w:ascii="Times New Roman" w:cs="Times New Roman" w:eastAsia="Times New Roman" w:hAnsi="Times New Roman"/>
          <w:sz w:val="20"/>
          <w:szCs w:val="20"/>
          <w:color w:val="auto"/>
        </w:rPr>
        <w:t>corporation, no later than five Business Days prior to the applicable meeting, reasonable evidence that it has met the requirements of Rule</w:t>
      </w:r>
    </w:p>
    <w:p>
      <w:pPr>
        <w:spacing w:after="0" w:line="204" w:lineRule="auto"/>
        <w:rPr>
          <w:sz w:val="20"/>
          <w:szCs w:val="20"/>
          <w:color w:val="auto"/>
        </w:rPr>
      </w:pPr>
      <w:r>
        <w:rPr>
          <w:rFonts w:ascii="Times New Roman" w:cs="Times New Roman" w:eastAsia="Times New Roman" w:hAnsi="Times New Roman"/>
          <w:sz w:val="20"/>
          <w:szCs w:val="20"/>
          <w:color w:val="auto"/>
        </w:rPr>
        <w:t>14a-19(a)(3) promulgated under the 1934 Act. Notwithstanding anything to the contrary set forth herein, and for the avoidance of doubt, the nomination of any person whose name is included as a nominee in the corporation’s proxy statement, notice of meeting or other proxy</w:t>
      </w:r>
    </w:p>
    <w:p>
      <w:pPr>
        <w:spacing w:after="0" w:line="223" w:lineRule="auto"/>
        <w:rPr>
          <w:sz w:val="20"/>
          <w:szCs w:val="20"/>
          <w:color w:val="auto"/>
        </w:rPr>
      </w:pPr>
      <w:r>
        <w:rPr>
          <w:rFonts w:ascii="Times New Roman" w:cs="Times New Roman" w:eastAsia="Times New Roman" w:hAnsi="Times New Roman"/>
          <w:sz w:val="19"/>
          <w:szCs w:val="19"/>
          <w:color w:val="auto"/>
        </w:rPr>
        <w:t>materials for any annual meeting (or any supplement thereto) as a result of any notice provided by any Proponent pursuant to Rule 14a-19(b)</w:t>
      </w:r>
    </w:p>
    <w:p>
      <w:pPr>
        <w:spacing w:after="0" w:line="204" w:lineRule="auto"/>
        <w:rPr>
          <w:sz w:val="20"/>
          <w:szCs w:val="20"/>
          <w:color w:val="auto"/>
        </w:rPr>
      </w:pPr>
      <w:r>
        <w:rPr>
          <w:rFonts w:ascii="Times New Roman" w:cs="Times New Roman" w:eastAsia="Times New Roman" w:hAnsi="Times New Roman"/>
          <w:sz w:val="20"/>
          <w:szCs w:val="20"/>
          <w:color w:val="auto"/>
        </w:rPr>
        <w:t>promulgated under the 1934 Act with respect to such proposed nominee and whose nomination is not made by or at the direction of the Board of Directors or any authorized committee thereof shall not be deemed (for purposes of clause (i) of Section 5(a) of otherwise) to have</w:t>
      </w:r>
    </w:p>
    <w:p>
      <w:pPr>
        <w:spacing w:after="0" w:line="211" w:lineRule="auto"/>
        <w:rPr>
          <w:sz w:val="20"/>
          <w:szCs w:val="20"/>
          <w:color w:val="auto"/>
        </w:rPr>
      </w:pPr>
      <w:r>
        <w:rPr>
          <w:rFonts w:ascii="Times New Roman" w:cs="Times New Roman" w:eastAsia="Times New Roman" w:hAnsi="Times New Roman"/>
          <w:sz w:val="20"/>
          <w:szCs w:val="20"/>
          <w:color w:val="auto"/>
        </w:rPr>
        <w:t>been made pursuant to the corporation’s notice of meeting (or any supplement thereto) and any such nominee may only be nominated by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stockholder of the corporation pursuant to clause (iii) of Section 5(a) and, in the case of a special meeting of stockholders pursuant to and to the extent permitted under Section 6(c). Except as otherwise required by applicable law, the chairperson of the meeting shall have the power</w:t>
      </w:r>
    </w:p>
    <w:p>
      <w:pPr>
        <w:spacing w:after="0" w:line="211" w:lineRule="auto"/>
        <w:rPr>
          <w:sz w:val="20"/>
          <w:szCs w:val="20"/>
          <w:color w:val="auto"/>
        </w:rPr>
      </w:pPr>
      <w:r>
        <w:rPr>
          <w:rFonts w:ascii="Times New Roman" w:cs="Times New Roman" w:eastAsia="Times New Roman" w:hAnsi="Times New Roman"/>
          <w:sz w:val="20"/>
          <w:szCs w:val="20"/>
          <w:color w:val="auto"/>
        </w:rPr>
        <w:t>and duty to determine whether a nomination or any business proposed to be brought before the meeting was made, or proposed, as the case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may be, in accordance with the procedures and requirements set forth in the Bylaws and, if any proposed nomination or business is not in compliance with the Bylaws, or the Proponent does not act in accordance with the representations required in this Section 5, to declare that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proposal or nomination shall not be presented for stockholder action at the meeting and shall be disregarded, or that such business shall not be transacted, notwithstanding that such proposal or nomination is set forth in the corporation’s proxy statement, notice of meeting or</w:t>
      </w:r>
    </w:p>
    <w:p>
      <w:pPr>
        <w:spacing w:after="0" w:line="211" w:lineRule="auto"/>
        <w:rPr>
          <w:sz w:val="20"/>
          <w:szCs w:val="20"/>
          <w:color w:val="auto"/>
        </w:rPr>
      </w:pPr>
      <w:r>
        <w:rPr>
          <w:rFonts w:ascii="Times New Roman" w:cs="Times New Roman" w:eastAsia="Times New Roman" w:hAnsi="Times New Roman"/>
          <w:sz w:val="20"/>
          <w:szCs w:val="20"/>
          <w:color w:val="auto"/>
        </w:rPr>
        <w:t>other proxy materials and notwithstanding that proxies or votes in respect of such nomination or such business may have been solicited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received. Notwithstanding the foregoing provisions of this Section 5, unless otherwise required by applicable law, if the stockholder (or a qualified representative of the stockholder) does not appear at the annual meeting of stockholders of the corporation to present a nomination</w:t>
      </w:r>
    </w:p>
    <w:p>
      <w:pPr>
        <w:spacing w:after="0" w:line="211" w:lineRule="auto"/>
        <w:rPr>
          <w:sz w:val="20"/>
          <w:szCs w:val="20"/>
          <w:color w:val="auto"/>
        </w:rPr>
      </w:pPr>
      <w:r>
        <w:rPr>
          <w:rFonts w:ascii="Times New Roman" w:cs="Times New Roman" w:eastAsia="Times New Roman" w:hAnsi="Times New Roman"/>
          <w:sz w:val="20"/>
          <w:szCs w:val="20"/>
          <w:color w:val="auto"/>
        </w:rPr>
        <w:t>or proposed business, such nomination shall be disregarded and such proposed business shall not be transacted, notwithstanding that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nomination or proposed business is set forth in the corporation’s proxy statement, notice of meeting or other proxy materials and notwithstanding that proxies or votes in respect of such vote may have been solicited or received by the corporation. For purposes of this</w:t>
      </w:r>
    </w:p>
    <w:p>
      <w:pPr>
        <w:spacing w:after="0" w:line="211" w:lineRule="auto"/>
        <w:rPr>
          <w:sz w:val="20"/>
          <w:szCs w:val="20"/>
          <w:color w:val="auto"/>
        </w:rPr>
      </w:pPr>
      <w:r>
        <w:rPr>
          <w:rFonts w:ascii="Times New Roman" w:cs="Times New Roman" w:eastAsia="Times New Roman" w:hAnsi="Times New Roman"/>
          <w:sz w:val="20"/>
          <w:szCs w:val="20"/>
          <w:color w:val="auto"/>
        </w:rPr>
        <w:t>Section 5, to be considered a qualified representative of the stockholder, a person must be a duly authorized officer, manager or partner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stockholder or must be authorized by a writing executed by such stockholder or an electronic transmission delivered by such stockholder to act for such stockholder as proxy at the meeting of stockholders and such person must produce such writing or electronic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transmission, or a reliable reproduction of the writing or electronic transmission, at the meeting of stockholders.</w:t>
      </w:r>
    </w:p>
    <w:p>
      <w:pPr>
        <w:spacing w:after="0" w:line="167" w:lineRule="exact"/>
        <w:rPr>
          <w:sz w:val="20"/>
          <w:szCs w:val="20"/>
          <w:color w:val="auto"/>
        </w:rPr>
      </w:pPr>
    </w:p>
    <w:p>
      <w:pPr>
        <w:jc w:val="both"/>
        <w:ind w:firstLine="8"/>
        <w:spacing w:after="0" w:line="213" w:lineRule="auto"/>
        <w:tabs>
          <w:tab w:leader="none" w:pos="636"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any references in the Bylaws to the 1934 Act or the rules and regulations thereunder are not intended to and shall not limit the requirements applicable to proposals and/or nominations to be considered pursuant to Section 5(a)(iii). Nothing in the Bylaws shall be deemed to affect any rights of holders of any class or series of preferred stock to nominate and elect directors pursuant to and to the extent provided in any applicable provision of the Certificate of Incorporation.</w:t>
      </w:r>
    </w:p>
    <w:p>
      <w:pPr>
        <w:spacing w:after="0" w:line="162"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purposes of Sections 5 and 6,</w:t>
      </w:r>
    </w:p>
    <w:p>
      <w:pPr>
        <w:spacing w:after="0" w:line="16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associates</w:t>
      </w:r>
      <w:r>
        <w:rPr>
          <w:rFonts w:ascii="Times New Roman" w:cs="Times New Roman" w:eastAsia="Times New Roman" w:hAnsi="Times New Roman"/>
          <w:sz w:val="20"/>
          <w:szCs w:val="20"/>
          <w:color w:val="auto"/>
        </w:rPr>
        <w:t>” shall have the meanings set forth in Rule 405 under the Securities Act of 1933, as amended (the “</w:t>
      </w:r>
      <w:r>
        <w:rPr>
          <w:rFonts w:ascii="Times New Roman" w:cs="Times New Roman" w:eastAsia="Times New Roman" w:hAnsi="Times New Roman"/>
          <w:sz w:val="20"/>
          <w:szCs w:val="20"/>
          <w:b w:val="1"/>
          <w:bCs w:val="1"/>
          <w:i w:val="1"/>
          <w:iCs w:val="1"/>
          <w:color w:val="auto"/>
        </w:rPr>
        <w:t>1933</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121" w:name="page122"/>
    <w:bookmarkEnd w:id="121"/>
    <w:p>
      <w:pPr>
        <w:ind w:left="660" w:hanging="652"/>
        <w:spacing w:after="0"/>
        <w:tabs>
          <w:tab w:leader="none" w:pos="6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means any day other than Saturday, Sunday or a day on which banks are closed in New York City, New York;</w:t>
      </w:r>
    </w:p>
    <w:p>
      <w:pPr>
        <w:spacing w:after="0" w:line="188" w:lineRule="exact"/>
        <w:rPr>
          <w:rFonts w:ascii="Times New Roman" w:cs="Times New Roman" w:eastAsia="Times New Roman" w:hAnsi="Times New Roman"/>
          <w:sz w:val="20"/>
          <w:szCs w:val="20"/>
          <w:b w:val="1"/>
          <w:bCs w:val="1"/>
          <w:color w:val="auto"/>
        </w:rPr>
      </w:pPr>
    </w:p>
    <w:p>
      <w:pPr>
        <w:ind w:firstLine="8"/>
        <w:spacing w:after="0" w:line="235" w:lineRule="auto"/>
        <w:tabs>
          <w:tab w:leader="none" w:pos="648"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close of business</w:t>
      </w:r>
      <w:r>
        <w:rPr>
          <w:rFonts w:ascii="Times New Roman" w:cs="Times New Roman" w:eastAsia="Times New Roman" w:hAnsi="Times New Roman"/>
          <w:sz w:val="20"/>
          <w:szCs w:val="20"/>
          <w:color w:val="auto"/>
        </w:rPr>
        <w:t>” means 6:00 p.m. local time at the principal executive offices of the corporation on any calendar day, whether or not the day is a Business Day;</w:t>
      </w:r>
    </w:p>
    <w:p>
      <w:pPr>
        <w:spacing w:after="0" w:line="157" w:lineRule="exact"/>
        <w:rPr>
          <w:rFonts w:ascii="Times New Roman" w:cs="Times New Roman" w:eastAsia="Times New Roman" w:hAnsi="Times New Roman"/>
          <w:sz w:val="20"/>
          <w:szCs w:val="20"/>
          <w:b w:val="1"/>
          <w:bCs w:val="1"/>
          <w:color w:val="auto"/>
        </w:rPr>
      </w:pPr>
    </w:p>
    <w:p>
      <w:pPr>
        <w:ind w:firstLine="8"/>
        <w:spacing w:after="0" w:line="245" w:lineRule="auto"/>
        <w:tabs>
          <w:tab w:leader="none" w:pos="637"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Derivative Transaction</w:t>
      </w:r>
      <w:r>
        <w:rPr>
          <w:rFonts w:ascii="Times New Roman" w:cs="Times New Roman" w:eastAsia="Times New Roman" w:hAnsi="Times New Roman"/>
          <w:sz w:val="20"/>
          <w:szCs w:val="20"/>
          <w:color w:val="auto"/>
        </w:rPr>
        <w:t>” means any agreement, arrangement, interest or understanding entered into by, or on behalf or for the benefit of, any Proponent or any of its affiliates or associates, whether record or beneficial:</w:t>
      </w:r>
    </w:p>
    <w:p>
      <w:pPr>
        <w:spacing w:after="0" w:line="141" w:lineRule="exact"/>
        <w:rPr>
          <w:rFonts w:ascii="Times New Roman" w:cs="Times New Roman" w:eastAsia="Times New Roman" w:hAnsi="Times New Roman"/>
          <w:sz w:val="20"/>
          <w:szCs w:val="20"/>
          <w:b w:val="1"/>
          <w:bCs w:val="1"/>
          <w:color w:val="auto"/>
        </w:rPr>
      </w:pPr>
    </w:p>
    <w:p>
      <w:pPr>
        <w:ind w:left="1960" w:hanging="8"/>
        <w:spacing w:after="0"/>
        <w:tabs>
          <w:tab w:leader="none" w:pos="228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which is derived in whole or in part from the value of any class or series of shares or other securities of the corporation;</w:t>
      </w:r>
    </w:p>
    <w:p>
      <w:pPr>
        <w:spacing w:after="0" w:line="161" w:lineRule="exact"/>
        <w:rPr>
          <w:rFonts w:ascii="Times New Roman" w:cs="Times New Roman" w:eastAsia="Times New Roman" w:hAnsi="Times New Roman"/>
          <w:sz w:val="20"/>
          <w:szCs w:val="20"/>
          <w:color w:val="auto"/>
        </w:rPr>
      </w:pPr>
    </w:p>
    <w:p>
      <w:pPr>
        <w:ind w:left="1960" w:hanging="8"/>
        <w:spacing w:after="0" w:line="233" w:lineRule="auto"/>
        <w:tabs>
          <w:tab w:leader="none" w:pos="22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otherwise provides any direct or indirect opportunity to gain or share in any gain derived from a change in the value of securities of the corporation;</w:t>
      </w:r>
    </w:p>
    <w:p>
      <w:pPr>
        <w:spacing w:after="0" w:line="160" w:lineRule="exact"/>
        <w:rPr>
          <w:rFonts w:ascii="Times New Roman" w:cs="Times New Roman" w:eastAsia="Times New Roman" w:hAnsi="Times New Roman"/>
          <w:sz w:val="20"/>
          <w:szCs w:val="20"/>
          <w:color w:val="auto"/>
        </w:rPr>
      </w:pPr>
    </w:p>
    <w:p>
      <w:pPr>
        <w:ind w:left="1960" w:hanging="8"/>
        <w:spacing w:after="0"/>
        <w:tabs>
          <w:tab w:leader="none" w:pos="2301"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or intent of which is to mitigate loss, manage risk or benefit from changes in value or price with respect to any securities of the corporation; or</w:t>
      </w:r>
    </w:p>
    <w:p>
      <w:pPr>
        <w:spacing w:after="0" w:line="147" w:lineRule="exact"/>
        <w:rPr>
          <w:rFonts w:ascii="Times New Roman" w:cs="Times New Roman" w:eastAsia="Times New Roman" w:hAnsi="Times New Roman"/>
          <w:sz w:val="20"/>
          <w:szCs w:val="20"/>
          <w:color w:val="auto"/>
        </w:rPr>
      </w:pPr>
    </w:p>
    <w:p>
      <w:pPr>
        <w:ind w:left="1960" w:hanging="8"/>
        <w:spacing w:after="0"/>
        <w:tabs>
          <w:tab w:leader="none" w:pos="2287"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provides the right to vote or increase or decrease the voting power of, such Proponent, or any of its affiliates or associates, directly or indirectly, with respect to any securities of the corporation,</w:t>
      </w:r>
    </w:p>
    <w:p>
      <w:pPr>
        <w:spacing w:after="0" w:line="16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w:t>
      </w:r>
    </w:p>
    <w:p>
      <w:pPr>
        <w:spacing w:after="0" w:line="212" w:lineRule="auto"/>
        <w:rPr>
          <w:sz w:val="20"/>
          <w:szCs w:val="20"/>
          <w:color w:val="auto"/>
        </w:rPr>
      </w:pPr>
      <w:r>
        <w:rPr>
          <w:rFonts w:ascii="Times New Roman" w:cs="Times New Roman" w:eastAsia="Times New Roman" w:hAnsi="Times New Roman"/>
          <w:sz w:val="20"/>
          <w:szCs w:val="20"/>
          <w:color w:val="auto"/>
        </w:rPr>
        <w:t>performance-related fee or arrangement to borrow or lend shares (whether or not subject to payment, settlement, exercise or conversion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58" w:lineRule="exact"/>
        <w:rPr>
          <w:sz w:val="20"/>
          <w:szCs w:val="20"/>
          <w:color w:val="auto"/>
        </w:rPr>
      </w:pPr>
    </w:p>
    <w:p>
      <w:pPr>
        <w:jc w:val="both"/>
        <w:ind w:firstLine="8"/>
        <w:spacing w:after="0" w:line="218" w:lineRule="auto"/>
        <w:tabs>
          <w:tab w:leader="none" w:pos="636"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public announcement</w:t>
      </w:r>
      <w:r>
        <w:rPr>
          <w:rFonts w:ascii="Times New Roman" w:cs="Times New Roman" w:eastAsia="Times New Roman" w:hAnsi="Times New Roman"/>
          <w:sz w:val="20"/>
          <w:szCs w:val="20"/>
          <w:color w:val="auto"/>
        </w:rPr>
        <w:t>” shall mean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Special Meetings.</w:t>
      </w:r>
    </w:p>
    <w:p>
      <w:pPr>
        <w:spacing w:after="0" w:line="193" w:lineRule="exact"/>
        <w:rPr>
          <w:sz w:val="20"/>
          <w:szCs w:val="20"/>
          <w:color w:val="auto"/>
        </w:rPr>
      </w:pPr>
    </w:p>
    <w:p>
      <w:pPr>
        <w:jc w:val="both"/>
        <w:ind w:firstLine="8"/>
        <w:spacing w:after="0" w:line="217" w:lineRule="auto"/>
        <w:tabs>
          <w:tab w:leader="none" w:pos="636"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The corporation may postpone, reschedule or cancel any special meeting of stockholders previously scheduled by the Board of Directors.</w:t>
      </w:r>
    </w:p>
    <w:p>
      <w:pPr>
        <w:spacing w:after="0" w:line="161"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47"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26" w:lineRule="auto"/>
        <w:tabs>
          <w:tab w:leader="none" w:pos="638"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9"/>
          <w:szCs w:val="19"/>
          <w:color w:val="auto"/>
        </w:rPr>
        <w:t>and who complies with Sections 5(b)(i), 5(b)(iv), 5(c), 5(e) and 5(f). The number of nominees a stockholder may nominate for election at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w:t>
      </w:r>
    </w:p>
    <w:p>
      <w:pPr>
        <w:spacing w:after="0" w:line="211" w:lineRule="auto"/>
        <w:rPr>
          <w:sz w:val="20"/>
          <w:szCs w:val="20"/>
          <w:color w:val="auto"/>
        </w:rPr>
      </w:pPr>
      <w:r>
        <w:rPr>
          <w:rFonts w:ascii="Times New Roman" w:cs="Times New Roman" w:eastAsia="Times New Roman" w:hAnsi="Times New Roman"/>
          <w:sz w:val="20"/>
          <w:szCs w:val="20"/>
          <w:color w:val="auto"/>
        </w:rPr>
        <w:t>special meeting. In the event the corporation calls a special meeting of stockholders for the purpose of submitting a proposal to stockholders</w:t>
      </w:r>
    </w:p>
    <w:p>
      <w:pPr>
        <w:spacing w:after="0" w:line="204" w:lineRule="auto"/>
        <w:rPr>
          <w:sz w:val="20"/>
          <w:szCs w:val="20"/>
          <w:color w:val="auto"/>
        </w:rPr>
      </w:pPr>
      <w:r>
        <w:rPr>
          <w:rFonts w:ascii="Times New Roman" w:cs="Times New Roman" w:eastAsia="Times New Roman" w:hAnsi="Times New Roman"/>
          <w:sz w:val="20"/>
          <w:szCs w:val="20"/>
          <w:color w:val="auto"/>
        </w:rPr>
        <w:t>for the election of one or more directors to fill any vacancy or newly created directorship on the Board of Directors, any such stockholder of record may nominate a person or persons (as the case may be), for election to such position(s) as specified in the corporation’s notice of</w:t>
      </w:r>
    </w:p>
    <w:p>
      <w:pPr>
        <w:spacing w:after="0" w:line="211" w:lineRule="auto"/>
        <w:rPr>
          <w:sz w:val="20"/>
          <w:szCs w:val="20"/>
          <w:color w:val="auto"/>
        </w:rPr>
      </w:pPr>
      <w:r>
        <w:rPr>
          <w:rFonts w:ascii="Times New Roman" w:cs="Times New Roman" w:eastAsia="Times New Roman" w:hAnsi="Times New Roman"/>
          <w:sz w:val="20"/>
          <w:szCs w:val="20"/>
          <w:color w:val="auto"/>
        </w:rPr>
        <w:t>meeting, if written notice setting forth the information required by Sections 5(b)(i) and 5(b)(iv) shall be received by the Secretary at the</w:t>
      </w:r>
    </w:p>
    <w:p>
      <w:pPr>
        <w:spacing w:after="0" w:line="1" w:lineRule="exact"/>
        <w:rPr>
          <w:sz w:val="20"/>
          <w:szCs w:val="20"/>
          <w:color w:val="auto"/>
        </w:rPr>
      </w:pPr>
    </w:p>
    <w:p>
      <w:pPr>
        <w:spacing w:after="0" w:line="181" w:lineRule="auto"/>
        <w:rPr>
          <w:sz w:val="20"/>
          <w:szCs w:val="20"/>
          <w:color w:val="auto"/>
        </w:rPr>
      </w:pPr>
      <w:r>
        <w:rPr>
          <w:rFonts w:ascii="Times New Roman" w:cs="Times New Roman" w:eastAsia="Times New Roman" w:hAnsi="Times New Roman"/>
          <w:sz w:val="20"/>
          <w:szCs w:val="20"/>
          <w:color w:val="auto"/>
        </w:rPr>
        <w:t>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such meeting or the tenth day following the day on which the corporation first makes a public</w:t>
      </w:r>
    </w:p>
    <w:p>
      <w:pPr>
        <w:spacing w:after="0" w:line="223" w:lineRule="auto"/>
        <w:rPr>
          <w:sz w:val="20"/>
          <w:szCs w:val="20"/>
          <w:color w:val="auto"/>
        </w:rPr>
      </w:pPr>
      <w:r>
        <w:rPr>
          <w:rFonts w:ascii="Times New Roman" w:cs="Times New Roman" w:eastAsia="Times New Roman" w:hAnsi="Times New Roman"/>
          <w:sz w:val="19"/>
          <w:szCs w:val="19"/>
          <w:color w:val="auto"/>
        </w:rPr>
        <w:t>announcement of the date of the special meeting at which directors are to be elected. In no event shall an adjournment or a postponement of a</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special meeting for which notice has been given, or the public announcement thereof has been made, commence a new time period (or extend any time period) for the giving of a stockholder’s notice as described above.</w:t>
      </w:r>
    </w:p>
    <w:p>
      <w:pPr>
        <w:spacing w:after="0" w:line="162" w:lineRule="exact"/>
        <w:rPr>
          <w:sz w:val="20"/>
          <w:szCs w:val="20"/>
          <w:color w:val="auto"/>
        </w:rPr>
      </w:pPr>
    </w:p>
    <w:p>
      <w:pPr>
        <w:jc w:val="both"/>
        <w:ind w:firstLine="8"/>
        <w:spacing w:after="0" w:line="211" w:lineRule="auto"/>
        <w:tabs>
          <w:tab w:leader="none" w:pos="647"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and requirements set forth in the Bylaws and, if any proposed nomination or business is not in compliance with the Bylaws, or if the Proponent does not act in accordance with the representations required in Section 5, to declare that such nomination shall not be presented for stockholder action at the meeting and shall be disregarded, notwithstanding that such nomination is set forth in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5(f)) does not appear at the special meeting of stockholders of the corporation to present a nomination, such nomination shall be disregarded, notwithstanding that the nomination is set forth in the corporation’s proxy statement, notice of meeting or other proxy materials and notwithstanding that proxies or votes in respect of such nomination may have been solicited or received by the corporation.</w:t>
      </w:r>
    </w:p>
    <w:p>
      <w:pPr>
        <w:spacing w:after="0" w:line="165" w:lineRule="exact"/>
        <w:rPr>
          <w:rFonts w:ascii="Times New Roman" w:cs="Times New Roman" w:eastAsia="Times New Roman" w:hAnsi="Times New Roman"/>
          <w:sz w:val="20"/>
          <w:szCs w:val="20"/>
          <w:b w:val="1"/>
          <w:bCs w:val="1"/>
          <w:color w:val="auto"/>
        </w:rPr>
      </w:pPr>
    </w:p>
    <w:p>
      <w:pPr>
        <w:jc w:val="both"/>
        <w:ind w:firstLine="8"/>
        <w:spacing w:after="0" w:line="216" w:lineRule="auto"/>
        <w:tabs>
          <w:tab w:leader="none" w:pos="638"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any references in the Bylaws to the 1934 Act or the rules and regulations thereunder are not intended to and shall not limit the requirements applicable to nominations for the election to the Board of Directors to be considered pursuant to Section 6(c).</w:t>
      </w:r>
    </w:p>
    <w:p>
      <w:pPr>
        <w:spacing w:after="0" w:line="158"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4. Notice of Meetings. </w:t>
      </w:r>
      <w:r>
        <w:rPr>
          <w:rFonts w:ascii="Times New Roman" w:cs="Times New Roman" w:eastAsia="Times New Roman" w:hAnsi="Times New Roman"/>
          <w:sz w:val="20"/>
          <w:szCs w:val="20"/>
          <w:color w:val="auto"/>
        </w:rPr>
        <w:t>Except as otherwise provided by applicable law, notice, given in writing or by electronic transmission,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each meeting of stockholders shall be given not less than ten nor more than 60 days before the date of the meeting to each stockholder</w:t>
      </w:r>
    </w:p>
    <w:p>
      <w:pPr>
        <w:spacing w:after="0" w:line="213" w:lineRule="auto"/>
        <w:rPr>
          <w:sz w:val="20"/>
          <w:szCs w:val="20"/>
          <w:color w:val="auto"/>
        </w:rPr>
      </w:pPr>
      <w:r>
        <w:rPr>
          <w:rFonts w:ascii="Times New Roman" w:cs="Times New Roman" w:eastAsia="Times New Roman" w:hAnsi="Times New Roman"/>
          <w:sz w:val="20"/>
          <w:szCs w:val="20"/>
          <w:color w:val="auto"/>
        </w:rPr>
        <w:t>entitled to vote at such meeting. Such notice shall specify the place, if any, date and hour, in the case of special meetings, the purpose or</w:t>
      </w:r>
    </w:p>
    <w:p>
      <w:pPr>
        <w:spacing w:after="0" w:line="204" w:lineRule="auto"/>
        <w:rPr>
          <w:sz w:val="20"/>
          <w:szCs w:val="20"/>
          <w:color w:val="auto"/>
        </w:rPr>
      </w:pPr>
      <w:r>
        <w:rPr>
          <w:rFonts w:ascii="Times New Roman" w:cs="Times New Roman" w:eastAsia="Times New Roman" w:hAnsi="Times New Roman"/>
          <w:sz w:val="20"/>
          <w:szCs w:val="20"/>
          <w:color w:val="auto"/>
        </w:rPr>
        <w:t>purposes of the meeting, the record date for determining stockholders entitled to vote at the meeting, if such record date is different from the record date for determining stockholders entitled to notice of the meeting, and the means of remote communications, if any, by which</w:t>
      </w:r>
    </w:p>
    <w:p>
      <w:pPr>
        <w:spacing w:after="0" w:line="211" w:lineRule="auto"/>
        <w:rPr>
          <w:sz w:val="20"/>
          <w:szCs w:val="20"/>
          <w:color w:val="auto"/>
        </w:rPr>
      </w:pPr>
      <w:r>
        <w:rPr>
          <w:rFonts w:ascii="Times New Roman" w:cs="Times New Roman" w:eastAsia="Times New Roman" w:hAnsi="Times New Roman"/>
          <w:sz w:val="20"/>
          <w:szCs w:val="20"/>
          <w:color w:val="auto"/>
        </w:rPr>
        <w:t>stockholders and proxyholders may be deemed to be present in person and vote at any such meeting. Such notice may be given by personal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delivery, mail, or with the consent of the stockholder entitled to receive notice, by facsimile or electronic transmission. If mailed, notice is given when deposited in the United States mail, postage prepaid, directed to the stockholder at such stockholder’s address as it appears on the</w:t>
      </w:r>
    </w:p>
    <w:p>
      <w:pPr>
        <w:spacing w:after="0" w:line="211" w:lineRule="auto"/>
        <w:rPr>
          <w:sz w:val="20"/>
          <w:szCs w:val="20"/>
          <w:color w:val="auto"/>
        </w:rPr>
      </w:pPr>
      <w:r>
        <w:rPr>
          <w:rFonts w:ascii="Times New Roman" w:cs="Times New Roman" w:eastAsia="Times New Roman" w:hAnsi="Times New Roman"/>
          <w:sz w:val="20"/>
          <w:szCs w:val="20"/>
          <w:color w:val="auto"/>
        </w:rPr>
        <w:t>records of the corporation. If sent via electronic transmission, notice is given when directed to such stockholder’s electronic mail address</w:t>
      </w:r>
    </w:p>
    <w:p>
      <w:pPr>
        <w:spacing w:after="0" w:line="204" w:lineRule="auto"/>
        <w:rPr>
          <w:sz w:val="20"/>
          <w:szCs w:val="20"/>
          <w:color w:val="auto"/>
        </w:rPr>
      </w:pPr>
      <w:r>
        <w:rPr>
          <w:rFonts w:ascii="Times New Roman" w:cs="Times New Roman" w:eastAsia="Times New Roman" w:hAnsi="Times New Roman"/>
          <w:sz w:val="20"/>
          <w:szCs w:val="20"/>
          <w:color w:val="auto"/>
        </w:rPr>
        <w:t>appearing in the records of the corporation. Notice of the time, place, if any, and purpose of any meeting of stockholders (to the extent required) may be waived in writing, signed by the person entitled to notice thereof, or by electronic transmission by such person, either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before or after such meeting, and will be waived by any stockholder by his or her attendance thereat in person, by remote communication,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39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9"/>
          <w:szCs w:val="19"/>
          <w:color w:val="auto"/>
        </w:rPr>
        <w:t>applicable, or by proxy, except when the stockholder attends a meeting for the express purpose of objecting, at the beginning of the meeting,</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5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 xml:space="preserve">Quorum and Vote Required. </w:t>
      </w:r>
      <w:r>
        <w:rPr>
          <w:rFonts w:ascii="Times New Roman" w:cs="Times New Roman" w:eastAsia="Times New Roman" w:hAnsi="Times New Roman"/>
          <w:sz w:val="20"/>
          <w:szCs w:val="20"/>
          <w:color w:val="auto"/>
        </w:rPr>
        <w:t>At all meetings of stockholders, except where otherwise provided by statute or by the</w:t>
      </w:r>
    </w:p>
    <w:p>
      <w:pPr>
        <w:spacing w:after="0" w:line="215" w:lineRule="auto"/>
        <w:rPr>
          <w:sz w:val="20"/>
          <w:szCs w:val="20"/>
          <w:color w:val="auto"/>
        </w:rPr>
      </w:pPr>
      <w:r>
        <w:rPr>
          <w:rFonts w:ascii="Times New Roman" w:cs="Times New Roman" w:eastAsia="Times New Roman" w:hAnsi="Times New Roman"/>
          <w:sz w:val="19"/>
          <w:szCs w:val="19"/>
          <w:color w:val="auto"/>
        </w:rPr>
        <w:t>Certificate of Incorporation, or by the Bylaws, the presence, in person, by remote communication, if applicable, or by proxy, of the holders of a majority of the voting power of the outstanding shares of stock entitled to vote at the meeting shall constitute a quorum for the transaction</w:t>
      </w:r>
    </w:p>
    <w:p>
      <w:pPr>
        <w:spacing w:after="0" w:line="211" w:lineRule="auto"/>
        <w:rPr>
          <w:sz w:val="20"/>
          <w:szCs w:val="20"/>
          <w:color w:val="auto"/>
        </w:rPr>
      </w:pPr>
      <w:r>
        <w:rPr>
          <w:rFonts w:ascii="Times New Roman" w:cs="Times New Roman" w:eastAsia="Times New Roman" w:hAnsi="Times New Roman"/>
          <w:sz w:val="20"/>
          <w:szCs w:val="20"/>
          <w:color w:val="auto"/>
        </w:rPr>
        <w:t>of business. In the absence of a quorum, any meeting of stockholders may be adjourned, from time to time, either by the chairperson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meeting or by vote of the holders of a majority of the voting power of the shares represented thereat and entitled to vote thereon, but no other business shall be transacted at such meeting. The stockholders present at a duly called or convened meeting, at which a quorum is present,</w:t>
      </w:r>
    </w:p>
    <w:p>
      <w:pPr>
        <w:spacing w:after="0"/>
        <w:rPr>
          <w:sz w:val="20"/>
          <w:szCs w:val="20"/>
          <w:color w:val="auto"/>
        </w:rPr>
      </w:pPr>
      <w:r>
        <w:rPr>
          <w:rFonts w:ascii="Times New Roman" w:cs="Times New Roman" w:eastAsia="Times New Roman" w:hAnsi="Times New Roman"/>
          <w:sz w:val="20"/>
          <w:szCs w:val="20"/>
          <w:color w:val="auto"/>
        </w:rPr>
        <w:t>may continue to transact business until adjournment, notwithstanding the withdrawal of enough stockholders to leave less than a quorum.</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Except as otherwise provided by statute or by applicable stock exchange rules, or by the Certificate of Incorporation or the Bylaws, in all matters other than the election of directors, the affirmative vote of the holders of a majority of the voting power of the shares present in</w:t>
      </w:r>
    </w:p>
    <w:p>
      <w:pPr>
        <w:spacing w:after="0" w:line="212" w:lineRule="auto"/>
        <w:rPr>
          <w:sz w:val="20"/>
          <w:szCs w:val="20"/>
          <w:color w:val="auto"/>
        </w:rPr>
      </w:pPr>
      <w:r>
        <w:rPr>
          <w:rFonts w:ascii="Times New Roman" w:cs="Times New Roman" w:eastAsia="Times New Roman" w:hAnsi="Times New Roman"/>
          <w:sz w:val="20"/>
          <w:szCs w:val="20"/>
          <w:color w:val="auto"/>
        </w:rPr>
        <w:t>person, by remote communication, if applicable, or represented by proxy at the meeting and voting affirmatively or negatively (excluding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abstentions and broker non-votes) on such matter shall be the act of the stockholders. Except as otherwise provided by statute, the Certificate of Incorporation or the Bylaws, directors shall be elected by a plurality of the votes of the shares present in person, by remote</w:t>
      </w:r>
    </w:p>
    <w:p>
      <w:pPr>
        <w:spacing w:after="0" w:line="211" w:lineRule="auto"/>
        <w:rPr>
          <w:sz w:val="20"/>
          <w:szCs w:val="20"/>
          <w:color w:val="auto"/>
        </w:rPr>
      </w:pPr>
      <w:r>
        <w:rPr>
          <w:rFonts w:ascii="Times New Roman" w:cs="Times New Roman" w:eastAsia="Times New Roman" w:hAnsi="Times New Roman"/>
          <w:sz w:val="20"/>
          <w:szCs w:val="20"/>
          <w:color w:val="auto"/>
        </w:rPr>
        <w:t>communication, if applicable, or represented by proxy at the meeting and entitled to vote generally on the election of directors. Where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separate vote by a class or classes or series is required, except where otherwise provided by statute or by the Certificate of Incorporation or the Bylaws or any applicable stock exchange rules, a majority of the voting power of the outstanding shares of such class or classes or series,</w:t>
      </w:r>
    </w:p>
    <w:p>
      <w:pPr>
        <w:spacing w:after="0" w:line="204" w:lineRule="auto"/>
        <w:rPr>
          <w:sz w:val="20"/>
          <w:szCs w:val="20"/>
          <w:color w:val="auto"/>
        </w:rPr>
      </w:pPr>
      <w:r>
        <w:rPr>
          <w:rFonts w:ascii="Times New Roman" w:cs="Times New Roman" w:eastAsia="Times New Roman" w:hAnsi="Times New Roman"/>
          <w:sz w:val="20"/>
          <w:szCs w:val="20"/>
          <w:color w:val="auto"/>
        </w:rPr>
        <w:t>present in person, by remote communication, if applicable, or represented by proxy, shall constitute a quorum entitled to take action with respect to that vote on that matter. Except where otherwise provided by statute or by the Certificate of Incorporation or the Bylaws or any</w:t>
      </w:r>
    </w:p>
    <w:p>
      <w:pPr>
        <w:spacing w:after="0" w:line="211" w:lineRule="auto"/>
        <w:rPr>
          <w:sz w:val="20"/>
          <w:szCs w:val="20"/>
          <w:color w:val="auto"/>
        </w:rPr>
      </w:pPr>
      <w:r>
        <w:rPr>
          <w:rFonts w:ascii="Times New Roman" w:cs="Times New Roman" w:eastAsia="Times New Roman" w:hAnsi="Times New Roman"/>
          <w:sz w:val="20"/>
          <w:szCs w:val="20"/>
          <w:color w:val="auto"/>
        </w:rPr>
        <w:t>applicable stock exchange rules, the affirmative vote of the holders of a majority (plurality, in the case of the election of directors)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voting power of the shares of such class or classes or series present in person, by remote communication, if applicable, or represented by proxy at the meeting and voting affirmatively or negatively (excluding abstention and broker non-votes) on such matter shall be the act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class or classes or series.</w:t>
      </w:r>
    </w:p>
    <w:p>
      <w:pPr>
        <w:spacing w:after="0" w:line="16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6. Adjournment and Notice of Adjourned Meetings. </w:t>
      </w:r>
      <w:r>
        <w:rPr>
          <w:rFonts w:ascii="Times New Roman" w:cs="Times New Roman" w:eastAsia="Times New Roman" w:hAnsi="Times New Roman"/>
          <w:sz w:val="20"/>
          <w:szCs w:val="20"/>
          <w:color w:val="auto"/>
        </w:rPr>
        <w:t>Any meeting of stockholders, whether annual or special,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adjourned from time to time either by the chairperson of the meeting or by the vote of the holders of a majority of the voting power of the</w:t>
      </w:r>
    </w:p>
    <w:p>
      <w:pPr>
        <w:spacing w:after="0" w:line="224" w:lineRule="auto"/>
        <w:rPr>
          <w:sz w:val="20"/>
          <w:szCs w:val="20"/>
          <w:color w:val="auto"/>
        </w:rPr>
      </w:pPr>
      <w:r>
        <w:rPr>
          <w:rFonts w:ascii="Times New Roman" w:cs="Times New Roman" w:eastAsia="Times New Roman" w:hAnsi="Times New Roman"/>
          <w:sz w:val="19"/>
          <w:szCs w:val="19"/>
          <w:color w:val="auto"/>
        </w:rPr>
        <w:t>shares present in person, by remote communication, if applicable, or represented by proxy at the meeting and entitled to vote thereon. When a</w:t>
      </w:r>
    </w:p>
    <w:p>
      <w:pPr>
        <w:spacing w:after="0" w:line="215" w:lineRule="auto"/>
        <w:rPr>
          <w:sz w:val="20"/>
          <w:szCs w:val="20"/>
          <w:color w:val="auto"/>
        </w:rPr>
      </w:pPr>
      <w:r>
        <w:rPr>
          <w:rFonts w:ascii="Times New Roman" w:cs="Times New Roman" w:eastAsia="Times New Roman" w:hAnsi="Times New Roman"/>
          <w:sz w:val="19"/>
          <w:szCs w:val="19"/>
          <w:color w:val="auto"/>
        </w:rPr>
        <w:t>meeting is adjourned to another time or place, if any, including an adjournment taken to address a technical failure to convene or continue a meeting using remote communication, notice need not be given of the adjourned meeting if the time and place, if any, thereof and the means</w:t>
      </w:r>
    </w:p>
    <w:p>
      <w:pPr>
        <w:spacing w:after="0" w:line="211" w:lineRule="auto"/>
        <w:rPr>
          <w:sz w:val="20"/>
          <w:szCs w:val="20"/>
          <w:color w:val="auto"/>
        </w:rPr>
      </w:pPr>
      <w:r>
        <w:rPr>
          <w:rFonts w:ascii="Times New Roman" w:cs="Times New Roman" w:eastAsia="Times New Roman" w:hAnsi="Times New Roman"/>
          <w:sz w:val="20"/>
          <w:szCs w:val="20"/>
          <w:color w:val="auto"/>
        </w:rPr>
        <w:t>of remote communication, if any, by which stockholders and proxyholders may be deemed present in person and may vote at such meeting</w:t>
      </w:r>
    </w:p>
    <w:p>
      <w:pPr>
        <w:spacing w:after="0" w:line="215" w:lineRule="auto"/>
        <w:rPr>
          <w:sz w:val="20"/>
          <w:szCs w:val="20"/>
          <w:color w:val="auto"/>
        </w:rPr>
      </w:pPr>
      <w:r>
        <w:rPr>
          <w:rFonts w:ascii="Times New Roman" w:cs="Times New Roman" w:eastAsia="Times New Roman" w:hAnsi="Times New Roman"/>
          <w:sz w:val="19"/>
          <w:szCs w:val="19"/>
          <w:color w:val="auto"/>
        </w:rPr>
        <w:t>are (i) announced at the meeting at which the adjournment is taken, (ii) displayed, during the time scheduled for the meeting, on the same electronic network used to enable stockholders and proxy holders to participate in the meeting by means of remote communication, or (iii) set</w:t>
      </w:r>
    </w:p>
    <w:p>
      <w:pPr>
        <w:spacing w:after="0" w:line="211" w:lineRule="auto"/>
        <w:rPr>
          <w:sz w:val="20"/>
          <w:szCs w:val="20"/>
          <w:color w:val="auto"/>
        </w:rPr>
      </w:pPr>
      <w:r>
        <w:rPr>
          <w:rFonts w:ascii="Times New Roman" w:cs="Times New Roman" w:eastAsia="Times New Roman" w:hAnsi="Times New Roman"/>
          <w:sz w:val="20"/>
          <w:szCs w:val="20"/>
          <w:color w:val="auto"/>
        </w:rPr>
        <w:t>forth in the notice of meeting given in accordance with Section 7. At the adjourned meeting, the corporation may transact any business that</w:t>
      </w:r>
    </w:p>
    <w:p>
      <w:pPr>
        <w:spacing w:after="0" w:line="204" w:lineRule="auto"/>
        <w:rPr>
          <w:sz w:val="20"/>
          <w:szCs w:val="20"/>
          <w:color w:val="auto"/>
        </w:rPr>
      </w:pPr>
      <w:r>
        <w:rPr>
          <w:rFonts w:ascii="Times New Roman" w:cs="Times New Roman" w:eastAsia="Times New Roman" w:hAnsi="Times New Roman"/>
          <w:sz w:val="20"/>
          <w:szCs w:val="20"/>
          <w:color w:val="auto"/>
        </w:rPr>
        <w:t>might have been transacted at the original meeting. If the adjournment is for more than 30 days or if after the adjournment a new record date is fixed for the adjourned meeting, a notice of the adjourned meeting shall be given to each stockholder of record entitled to vote at the</w:t>
      </w:r>
    </w:p>
    <w:p>
      <w:pPr>
        <w:spacing w:after="0" w:line="211" w:lineRule="auto"/>
        <w:rPr>
          <w:sz w:val="20"/>
          <w:szCs w:val="20"/>
          <w:color w:val="auto"/>
        </w:rPr>
      </w:pPr>
      <w:r>
        <w:rPr>
          <w:rFonts w:ascii="Times New Roman" w:cs="Times New Roman" w:eastAsia="Times New Roman" w:hAnsi="Times New Roman"/>
          <w:sz w:val="20"/>
          <w:szCs w:val="20"/>
          <w:color w:val="auto"/>
        </w:rPr>
        <w:t>meeting. If after the adjournment a new record date for determination of stockholders entitled to vote is fixed for the adjourned meeting,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Board of Directors shall fix as the record date for determining stockholders entitled to notice of such adjourned meeting the same or an earlier date as that fixed for determination of stockholders entitled to vote at the adjourned meeting, and shall give notice of the adjourned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meeting to each stockholder of record as of the record date so fixed for notice of such adjourned meeting.</w:t>
      </w:r>
    </w:p>
    <w:p>
      <w:pPr>
        <w:spacing w:after="0" w:line="16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Section 7. Voting Rights. </w:t>
      </w:r>
      <w:r>
        <w:rPr>
          <w:rFonts w:ascii="Times New Roman" w:cs="Times New Roman" w:eastAsia="Times New Roman" w:hAnsi="Times New Roman"/>
          <w:sz w:val="20"/>
          <w:szCs w:val="20"/>
          <w:color w:val="auto"/>
        </w:rPr>
        <w:t>For the purpose of determining those stockholders entitled to vote at any meeting of the stockholders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adjournment thereof, except as otherwise provided by applicable law,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persons in whose names shares stand on the stock records of the corporation on the record date shall be entitled to vote at any meeting of</w:t>
      </w:r>
    </w:p>
    <w:p>
      <w:pPr>
        <w:spacing w:after="0" w:line="204" w:lineRule="auto"/>
        <w:rPr>
          <w:sz w:val="20"/>
          <w:szCs w:val="20"/>
          <w:color w:val="auto"/>
        </w:rPr>
      </w:pPr>
      <w:r>
        <w:rPr>
          <w:rFonts w:ascii="Times New Roman" w:cs="Times New Roman" w:eastAsia="Times New Roman" w:hAnsi="Times New Roman"/>
          <w:sz w:val="20"/>
          <w:szCs w:val="20"/>
          <w:color w:val="auto"/>
        </w:rPr>
        <w:t>stockholders. Every person entitled to vote shall have the right to do so either in person, by remote communication, if applicable, or by an agent or agents authorized by a proxy granted in accordance with Delaware law. An agent so appointed need not be a stockholder. No proxy</w:t>
      </w:r>
    </w:p>
    <w:p>
      <w:pPr>
        <w:spacing w:after="0" w:line="223" w:lineRule="auto"/>
        <w:rPr>
          <w:sz w:val="20"/>
          <w:szCs w:val="20"/>
          <w:color w:val="auto"/>
        </w:rPr>
      </w:pPr>
      <w:r>
        <w:rPr>
          <w:rFonts w:ascii="Times New Roman" w:cs="Times New Roman" w:eastAsia="Times New Roman" w:hAnsi="Times New Roman"/>
          <w:sz w:val="19"/>
          <w:szCs w:val="19"/>
          <w:color w:val="auto"/>
        </w:rPr>
        <w:t>shall be voted after three years from its date of creation unless the proxy provides for a longer period. A proxy shall be irrevocable if it states</w:t>
      </w:r>
    </w:p>
    <w:p>
      <w:pPr>
        <w:spacing w:after="0" w:line="215" w:lineRule="auto"/>
        <w:rPr>
          <w:sz w:val="20"/>
          <w:szCs w:val="20"/>
          <w:color w:val="auto"/>
        </w:rPr>
      </w:pPr>
      <w:r>
        <w:rPr>
          <w:rFonts w:ascii="Times New Roman" w:cs="Times New Roman" w:eastAsia="Times New Roman" w:hAnsi="Times New Roman"/>
          <w:sz w:val="19"/>
          <w:szCs w:val="19"/>
          <w:color w:val="auto"/>
        </w:rPr>
        <w:t>that it is irrevocable and if, and only as long as, it is coupled with an interest sufficient in law to support an irrevocable power. A stockholder may revoke any proxy that is not irrevocable by attending the meeting and voting in person or by delivering to the Secretary of the</w:t>
      </w:r>
    </w:p>
    <w:p>
      <w:pPr>
        <w:spacing w:after="0" w:line="211" w:lineRule="auto"/>
        <w:rPr>
          <w:sz w:val="20"/>
          <w:szCs w:val="20"/>
          <w:color w:val="auto"/>
        </w:rPr>
      </w:pPr>
      <w:r>
        <w:rPr>
          <w:rFonts w:ascii="Times New Roman" w:cs="Times New Roman" w:eastAsia="Times New Roman" w:hAnsi="Times New Roman"/>
          <w:sz w:val="20"/>
          <w:szCs w:val="20"/>
          <w:color w:val="auto"/>
        </w:rPr>
        <w:t>corporation a revocation of the proxy or a new proxy bearing a later date. Voting at meetings of stockholders need not be by written ballot.</w:t>
      </w:r>
    </w:p>
    <w:p>
      <w:pPr>
        <w:ind w:right="20"/>
        <w:spacing w:after="0" w:line="221" w:lineRule="auto"/>
        <w:rPr>
          <w:sz w:val="20"/>
          <w:szCs w:val="20"/>
          <w:color w:val="auto"/>
        </w:rPr>
      </w:pPr>
      <w:r>
        <w:rPr>
          <w:rFonts w:ascii="Times New Roman" w:cs="Times New Roman" w:eastAsia="Times New Roman" w:hAnsi="Times New Roman"/>
          <w:sz w:val="20"/>
          <w:szCs w:val="20"/>
          <w:color w:val="auto"/>
        </w:rPr>
        <w:t>Any stockholder directly or indirectly soliciting proxies from other stockholders must use a proxy card color other than white, which shall be reserved for the exclusive use by the Board.</w:t>
      </w:r>
    </w:p>
    <w:p>
      <w:pPr>
        <w:spacing w:after="0" w:line="1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20"/>
          <w:szCs w:val="20"/>
          <w:b w:val="1"/>
          <w:bCs w:val="1"/>
          <w:color w:val="auto"/>
        </w:rPr>
        <w:t xml:space="preserve">Joint Owners of Stock. </w:t>
      </w:r>
      <w:r>
        <w:rPr>
          <w:rFonts w:ascii="Times New Roman" w:cs="Times New Roman" w:eastAsia="Times New Roman" w:hAnsi="Times New Roman"/>
          <w:sz w:val="20"/>
          <w:szCs w:val="20"/>
          <w:color w:val="auto"/>
        </w:rPr>
        <w:t>If shares or other securities having voting power stand of record in the names of two or more</w:t>
      </w:r>
    </w:p>
    <w:p>
      <w:pPr>
        <w:spacing w:after="0" w:line="215" w:lineRule="auto"/>
        <w:rPr>
          <w:sz w:val="20"/>
          <w:szCs w:val="20"/>
          <w:color w:val="auto"/>
        </w:rPr>
      </w:pPr>
      <w:r>
        <w:rPr>
          <w:rFonts w:ascii="Times New Roman" w:cs="Times New Roman" w:eastAsia="Times New Roman" w:hAnsi="Times New Roman"/>
          <w:sz w:val="19"/>
          <w:szCs w:val="19"/>
          <w:color w:val="auto"/>
        </w:rPr>
        <w:t>persons, whether fiduciaries, members of a partnership, joint tenants, tenants in common, tenants by the entirety, or otherwise, or if two or more persons have the same fiduciary relationship respecting the same shares, unless the Secretary is given written notice to the contrary and</w:t>
      </w:r>
    </w:p>
    <w:p>
      <w:pPr>
        <w:spacing w:after="0" w:line="211" w:lineRule="auto"/>
        <w:rPr>
          <w:sz w:val="20"/>
          <w:szCs w:val="20"/>
          <w:color w:val="auto"/>
        </w:rPr>
      </w:pPr>
      <w:r>
        <w:rPr>
          <w:rFonts w:ascii="Times New Roman" w:cs="Times New Roman" w:eastAsia="Times New Roman" w:hAnsi="Times New Roman"/>
          <w:sz w:val="20"/>
          <w:szCs w:val="20"/>
          <w:color w:val="auto"/>
        </w:rPr>
        <w:t>is furnished with a copy of the instrument or order appointing them or creating the relationship wherein it is so provided, their acts with</w:t>
      </w:r>
    </w:p>
    <w:p>
      <w:pPr>
        <w:spacing w:after="0" w:line="204" w:lineRule="auto"/>
        <w:rPr>
          <w:sz w:val="20"/>
          <w:szCs w:val="20"/>
          <w:color w:val="auto"/>
        </w:rPr>
      </w:pPr>
      <w:r>
        <w:rPr>
          <w:rFonts w:ascii="Times New Roman" w:cs="Times New Roman" w:eastAsia="Times New Roman" w:hAnsi="Times New Roman"/>
          <w:sz w:val="20"/>
          <w:szCs w:val="20"/>
          <w:color w:val="auto"/>
        </w:rPr>
        <w:t>respect to voting shall have the following effect: (a) if only one votes, his or her act binds all; (b) if more than one votes, the act of the majority so voting binds all; (c) if more than one votes, but the vote is evenly split on any particular matter, each faction may vote the</w:t>
      </w:r>
    </w:p>
    <w:p>
      <w:pPr>
        <w:spacing w:after="0" w:line="211" w:lineRule="auto"/>
        <w:rPr>
          <w:sz w:val="20"/>
          <w:szCs w:val="20"/>
          <w:color w:val="auto"/>
        </w:rPr>
      </w:pPr>
      <w:r>
        <w:rPr>
          <w:rFonts w:ascii="Times New Roman" w:cs="Times New Roman" w:eastAsia="Times New Roman" w:hAnsi="Times New Roman"/>
          <w:sz w:val="20"/>
          <w:szCs w:val="20"/>
          <w:color w:val="auto"/>
        </w:rPr>
        <w:t>securities in question proportionally, or may apply to the Delaware Court of Chancery for relief as provided in Section 217(b) of the DGCL.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If the instrument filed with the Secretary shows that any such tenancy is held in unequal interests, a majority or even-split for the purpose of subsection (c) shall be a majority or even-split in interest.</w:t>
      </w:r>
    </w:p>
    <w:p>
      <w:pPr>
        <w:spacing w:after="0" w:line="15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9. List of Stockholders. </w:t>
      </w:r>
      <w:r>
        <w:rPr>
          <w:rFonts w:ascii="Times New Roman" w:cs="Times New Roman" w:eastAsia="Times New Roman" w:hAnsi="Times New Roman"/>
          <w:sz w:val="20"/>
          <w:szCs w:val="20"/>
          <w:color w:val="auto"/>
        </w:rPr>
        <w:t>The corporation shall prepare, no later than the tenth day before each meeting of stockholders,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 list of the stockholders entitled to vote at said meeting, arranged in alphabetical order, showing the address of each stockholder and</w:t>
      </w:r>
    </w:p>
    <w:p>
      <w:pPr>
        <w:spacing w:after="0" w:line="213" w:lineRule="auto"/>
        <w:rPr>
          <w:sz w:val="20"/>
          <w:szCs w:val="20"/>
          <w:color w:val="auto"/>
        </w:rPr>
      </w:pPr>
      <w:r>
        <w:rPr>
          <w:rFonts w:ascii="Times New Roman" w:cs="Times New Roman" w:eastAsia="Times New Roman" w:hAnsi="Times New Roman"/>
          <w:sz w:val="20"/>
          <w:szCs w:val="20"/>
          <w:color w:val="auto"/>
        </w:rPr>
        <w:t>the number and class of shares registered in the name of each stockholder; provided, however, if the record date for determining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stockholders entitled to vote is less than ten days before the meeting date, the list shall reflect all of the stockholders entitled to vote as of the tenth day before the meeting date. Such list shall be open to the examination of any stockholder, for any purpose germane to the meeting,</w:t>
      </w:r>
    </w:p>
    <w:p>
      <w:pPr>
        <w:jc w:val="both"/>
        <w:ind w:firstLine="8"/>
        <w:spacing w:after="0" w:line="216" w:lineRule="auto"/>
        <w:tabs>
          <w:tab w:leader="none" w:pos="29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Action without Meeting.</w:t>
      </w:r>
    </w:p>
    <w:p>
      <w:pPr>
        <w:spacing w:after="0" w:line="17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No action shall be taken by the stockholders of the corporation except at an annual or special meeting of stockholders duly called in accordance with the Bylaws, and no action shall be taken by the stockholders by written consent.</w:t>
      </w:r>
    </w:p>
    <w:p>
      <w:pPr>
        <w:spacing w:after="0" w:line="157"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11. Remote Communication. </w:t>
      </w:r>
      <w:r>
        <w:rPr>
          <w:rFonts w:ascii="Times New Roman" w:cs="Times New Roman" w:eastAsia="Times New Roman" w:hAnsi="Times New Roman"/>
          <w:sz w:val="20"/>
          <w:szCs w:val="20"/>
          <w:color w:val="auto"/>
        </w:rPr>
        <w:t>For the purposes of the Bylaws, if authorized by the Board of Directors in its sole discretion,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such guidelines and procedures as the Board of Directors may adopt, stockholders and proxyholders may, by means of remote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communication:</w:t>
      </w:r>
    </w:p>
    <w:p>
      <w:pPr>
        <w:spacing w:after="0" w:line="167"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participate in a meeting of stockholders; and</w:t>
      </w:r>
    </w:p>
    <w:p>
      <w:pPr>
        <w:spacing w:after="0" w:line="175" w:lineRule="exact"/>
        <w:rPr>
          <w:rFonts w:ascii="Times New Roman" w:cs="Times New Roman" w:eastAsia="Times New Roman" w:hAnsi="Times New Roman"/>
          <w:sz w:val="20"/>
          <w:szCs w:val="20"/>
          <w:b w:val="1"/>
          <w:bCs w:val="1"/>
          <w:color w:val="auto"/>
        </w:rPr>
      </w:pPr>
    </w:p>
    <w:p>
      <w:pPr>
        <w:jc w:val="both"/>
        <w:ind w:firstLine="8"/>
        <w:spacing w:after="0" w:line="218" w:lineRule="auto"/>
        <w:tabs>
          <w:tab w:leader="none" w:pos="647"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4" w:right="339" w:bottom="1440" w:gutter="0" w:footer="0" w:header="0"/>
        </w:sectPr>
      </w:pPr>
    </w:p>
    <w:bookmarkStart w:id="125" w:name="page126"/>
    <w:bookmarkEnd w:id="125"/>
    <w:p>
      <w:pPr>
        <w:ind w:right="20"/>
        <w:spacing w:after="0"/>
        <w:rPr>
          <w:sz w:val="20"/>
          <w:szCs w:val="20"/>
          <w:color w:val="auto"/>
        </w:rPr>
      </w:pPr>
      <w:r>
        <w:rPr>
          <w:rFonts w:ascii="Times New Roman" w:cs="Times New Roman" w:eastAsia="Times New Roman" w:hAnsi="Times New Roman"/>
          <w:sz w:val="20"/>
          <w:szCs w:val="20"/>
          <w:color w:val="auto"/>
        </w:rPr>
        <w:t>proceedings, and (iii) if any stockholder or proxyholder votes or takes other action at the meeting by means of remote communication, a record of such vote or other action shall be maintained by the corporation.</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193" w:lineRule="exact"/>
        <w:rPr>
          <w:sz w:val="20"/>
          <w:szCs w:val="20"/>
          <w:color w:val="auto"/>
        </w:rPr>
      </w:pPr>
    </w:p>
    <w:p>
      <w:pPr>
        <w:jc w:val="both"/>
        <w:ind w:firstLine="8"/>
        <w:spacing w:after="0" w:line="226" w:lineRule="auto"/>
        <w:tabs>
          <w:tab w:leader="none" w:pos="636"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66" w:lineRule="exact"/>
        <w:rPr>
          <w:rFonts w:ascii="Times New Roman" w:cs="Times New Roman" w:eastAsia="Times New Roman" w:hAnsi="Times New Roman"/>
          <w:sz w:val="19"/>
          <w:szCs w:val="19"/>
          <w:b w:val="1"/>
          <w:bCs w:val="1"/>
          <w:color w:val="auto"/>
        </w:rPr>
      </w:pPr>
    </w:p>
    <w:p>
      <w:pPr>
        <w:jc w:val="both"/>
        <w:ind w:firstLine="8"/>
        <w:spacing w:after="0" w:line="211" w:lineRule="auto"/>
        <w:tabs>
          <w:tab w:leader="none" w:pos="647"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1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17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 Number and Term of Office. </w:t>
      </w:r>
      <w:r>
        <w:rPr>
          <w:rFonts w:ascii="Times New Roman" w:cs="Times New Roman" w:eastAsia="Times New Roman" w:hAnsi="Times New Roman"/>
          <w:sz w:val="20"/>
          <w:szCs w:val="20"/>
          <w:color w:val="auto"/>
        </w:rPr>
        <w:t>The authorized number of directors of the corporation shall be fixed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Certificate of Incorporation. Directors need not be stockholders unless so required by the Certificate of Incorporation. If for any cause, the</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directors shall not have been elected at an annual meeting, they may be elected as soon thereafter as convenient at a special meeting of the stockholders called for that purpose in the manner provided in the Bylaws.</w:t>
      </w:r>
    </w:p>
    <w:p>
      <w:pPr>
        <w:spacing w:after="0" w:line="1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2. Powers. </w:t>
      </w:r>
      <w:r>
        <w:rPr>
          <w:rFonts w:ascii="Times New Roman" w:cs="Times New Roman" w:eastAsia="Times New Roman" w:hAnsi="Times New Roman"/>
          <w:sz w:val="20"/>
          <w:szCs w:val="20"/>
          <w:color w:val="auto"/>
        </w:rPr>
        <w:t>The business and affairs of the corporation shall be managed by or under the direction of the Board of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may be otherwise provided by the Certificate of Incorporation or the DGCL.</w:t>
      </w:r>
    </w:p>
    <w:p>
      <w:pPr>
        <w:spacing w:after="0" w:line="13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3. Classes of Directors. </w:t>
      </w:r>
      <w:r>
        <w:rPr>
          <w:rFonts w:ascii="Times New Roman" w:cs="Times New Roman" w:eastAsia="Times New Roman" w:hAnsi="Times New Roman"/>
          <w:sz w:val="20"/>
          <w:szCs w:val="20"/>
          <w:color w:val="auto"/>
        </w:rPr>
        <w:t>The directors shall be divided into classes as and to the extent provided in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except as otherwise required by applicable law.</w:t>
      </w:r>
    </w:p>
    <w:p>
      <w:pPr>
        <w:spacing w:after="0" w:line="15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Section 4. Vacancies. </w:t>
      </w:r>
      <w:r>
        <w:rPr>
          <w:rFonts w:ascii="Times New Roman" w:cs="Times New Roman" w:eastAsia="Times New Roman" w:hAnsi="Times New Roman"/>
          <w:sz w:val="20"/>
          <w:szCs w:val="20"/>
          <w:color w:val="auto"/>
        </w:rPr>
        <w:t>Vacancies on the Board of Directors shall be filled as provided in the Certificate of Incorporation, except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required by applicable law.</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 xml:space="preserve">Resignation. </w:t>
      </w:r>
      <w:r>
        <w:rPr>
          <w:rFonts w:ascii="Times New Roman" w:cs="Times New Roman" w:eastAsia="Times New Roman" w:hAnsi="Times New Roman"/>
          <w:sz w:val="20"/>
          <w:szCs w:val="20"/>
          <w:color w:val="auto"/>
        </w:rPr>
        <w:t>Any director may resign at any time by delivering his or her notice in writing or by electronic transmission to</w:t>
      </w:r>
    </w:p>
    <w:p>
      <w:pPr>
        <w:spacing w:after="0" w:line="221" w:lineRule="auto"/>
        <w:rPr>
          <w:sz w:val="20"/>
          <w:szCs w:val="20"/>
          <w:color w:val="auto"/>
        </w:rPr>
      </w:pPr>
      <w:r>
        <w:rPr>
          <w:rFonts w:ascii="Times New Roman" w:cs="Times New Roman" w:eastAsia="Times New Roman" w:hAnsi="Times New Roman"/>
          <w:sz w:val="20"/>
          <w:szCs w:val="20"/>
          <w:color w:val="auto"/>
        </w:rPr>
        <w:t>the Board of Directors or the Secretary. Such resignation shall take effect at the time of delivery of the notice or at any later time specified therein. Acceptance of such resignation shall not be necessary to make it effective. When one or more directors shall resign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39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Board of Directors, effective at a future date, a majority of the directors then in office, including those who have so resigned, shall have</w:t>
      </w:r>
    </w:p>
    <w:p>
      <w:pPr>
        <w:spacing w:after="0" w:line="215" w:lineRule="auto"/>
        <w:rPr>
          <w:sz w:val="20"/>
          <w:szCs w:val="20"/>
          <w:color w:val="auto"/>
        </w:rPr>
      </w:pPr>
      <w:r>
        <w:rPr>
          <w:rFonts w:ascii="Times New Roman" w:cs="Times New Roman" w:eastAsia="Times New Roman" w:hAnsi="Times New Roman"/>
          <w:sz w:val="19"/>
          <w:szCs w:val="19"/>
          <w:color w:val="auto"/>
        </w:rPr>
        <w:t>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w:t>
      </w:r>
    </w:p>
    <w:p>
      <w:pPr>
        <w:spacing w:after="0"/>
        <w:rPr>
          <w:sz w:val="20"/>
          <w:szCs w:val="20"/>
          <w:color w:val="auto"/>
        </w:rPr>
      </w:pPr>
      <w:r>
        <w:rPr>
          <w:rFonts w:ascii="Times New Roman" w:cs="Times New Roman" w:eastAsia="Times New Roman" w:hAnsi="Times New Roman"/>
          <w:sz w:val="20"/>
          <w:szCs w:val="20"/>
          <w:color w:val="auto"/>
        </w:rPr>
        <w:t>successor shall have been duly elected and qualified or until his or her earlier death, resignation or removal.</w:t>
      </w:r>
    </w:p>
    <w:p>
      <w:pPr>
        <w:spacing w:after="0" w:line="163"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6. Removal. </w:t>
      </w:r>
      <w:r>
        <w:rPr>
          <w:rFonts w:ascii="Times New Roman" w:cs="Times New Roman" w:eastAsia="Times New Roman" w:hAnsi="Times New Roman"/>
          <w:sz w:val="20"/>
          <w:szCs w:val="20"/>
          <w:color w:val="auto"/>
        </w:rPr>
        <w:t>Subject to the rights of holders of any series of preferred stock to elect additional directors under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circumstances, the Board of Directors or any individual director may be removed only in the manner specified in the Certificate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Incorporation, except as otherwise required by applicable law.</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Meetings.</w:t>
      </w:r>
    </w:p>
    <w:p>
      <w:pPr>
        <w:spacing w:after="0" w:line="175" w:lineRule="exact"/>
        <w:rPr>
          <w:sz w:val="20"/>
          <w:szCs w:val="20"/>
          <w:color w:val="auto"/>
        </w:rPr>
      </w:pPr>
    </w:p>
    <w:p>
      <w:pPr>
        <w:jc w:val="both"/>
        <w:ind w:firstLine="8"/>
        <w:spacing w:after="0" w:line="220" w:lineRule="auto"/>
        <w:tabs>
          <w:tab w:leader="none" w:pos="636"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Regular Meetings. </w:t>
      </w:r>
      <w:r>
        <w:rPr>
          <w:rFonts w:ascii="Times New Roman" w:cs="Times New Roman" w:eastAsia="Times New Roman" w:hAnsi="Times New Roman"/>
          <w:sz w:val="20"/>
          <w:szCs w:val="20"/>
          <w:color w:val="auto"/>
        </w:rPr>
        <w:t>Unless otherwise restricted by the Certificate of Incorporation, regular meetings of the Board of Directors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60" w:lineRule="exact"/>
        <w:rPr>
          <w:rFonts w:ascii="Times New Roman" w:cs="Times New Roman" w:eastAsia="Times New Roman" w:hAnsi="Times New Roman"/>
          <w:sz w:val="20"/>
          <w:szCs w:val="20"/>
          <w:b w:val="1"/>
          <w:bCs w:val="1"/>
          <w:color w:val="auto"/>
        </w:rPr>
      </w:pPr>
    </w:p>
    <w:p>
      <w:pPr>
        <w:jc w:val="both"/>
        <w:ind w:right="20" w:firstLine="8"/>
        <w:spacing w:after="0" w:line="227" w:lineRule="auto"/>
        <w:tabs>
          <w:tab w:leader="none" w:pos="647"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Special Meetings. </w:t>
      </w:r>
      <w:r>
        <w:rPr>
          <w:rFonts w:ascii="Times New Roman" w:cs="Times New Roman" w:eastAsia="Times New Roman" w:hAnsi="Times New Roman"/>
          <w:sz w:val="20"/>
          <w:szCs w:val="20"/>
          <w:color w:val="auto"/>
        </w:rPr>
        <w:t>Unless otherwise restricted by the Certificate of Incorporation, special meetings of the Board of Directors may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held at any time and place within or without the State of Delaware as designated and called by the Chairperson of the Board of Directors, the Chief Executive Officer or the Board of Directors.</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27" w:lineRule="auto"/>
        <w:tabs>
          <w:tab w:leader="none" w:pos="638"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Meetings by Electronic Communications Equipment. </w:t>
      </w:r>
      <w:r>
        <w:rPr>
          <w:rFonts w:ascii="Times New Roman" w:cs="Times New Roman" w:eastAsia="Times New Roman" w:hAnsi="Times New Roman"/>
          <w:sz w:val="20"/>
          <w:szCs w:val="20"/>
          <w:color w:val="auto"/>
        </w:rPr>
        <w:t>Any member of the Board of Directors, or of any committee thereof, may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3" w:lineRule="exact"/>
        <w:rPr>
          <w:rFonts w:ascii="Times New Roman" w:cs="Times New Roman" w:eastAsia="Times New Roman" w:hAnsi="Times New Roman"/>
          <w:sz w:val="20"/>
          <w:szCs w:val="20"/>
          <w:b w:val="1"/>
          <w:bCs w:val="1"/>
          <w:color w:val="auto"/>
        </w:rPr>
      </w:pPr>
    </w:p>
    <w:p>
      <w:pPr>
        <w:jc w:val="both"/>
        <w:ind w:firstLine="8"/>
        <w:spacing w:after="0" w:line="220" w:lineRule="auto"/>
        <w:tabs>
          <w:tab w:leader="none" w:pos="647"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of Special Meetings. </w:t>
      </w:r>
      <w:r>
        <w:rPr>
          <w:rFonts w:ascii="Times New Roman" w:cs="Times New Roman" w:eastAsia="Times New Roman" w:hAnsi="Times New Roman"/>
          <w:sz w:val="20"/>
          <w:szCs w:val="20"/>
          <w:color w:val="auto"/>
        </w:rPr>
        <w:t>Notice of the time and place, if any, of all special meetings of the Board of Directors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transmitted 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Waiver of Notice. </w:t>
      </w:r>
      <w:r>
        <w:rPr>
          <w:rFonts w:ascii="Times New Roman" w:cs="Times New Roman" w:eastAsia="Times New Roman" w:hAnsi="Times New Roman"/>
          <w:sz w:val="20"/>
          <w:szCs w:val="20"/>
          <w:color w:val="auto"/>
        </w:rPr>
        <w:t>Notice of any meeting of the Board of Directors may be waived in writing, or by electronic transmission, 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Quorum and Voting.</w:t>
      </w:r>
    </w:p>
    <w:p>
      <w:pPr>
        <w:spacing w:after="0" w:line="193" w:lineRule="exact"/>
        <w:rPr>
          <w:sz w:val="20"/>
          <w:szCs w:val="20"/>
          <w:color w:val="auto"/>
        </w:rPr>
      </w:pPr>
    </w:p>
    <w:p>
      <w:pPr>
        <w:jc w:val="both"/>
        <w:ind w:firstLine="8"/>
        <w:spacing w:after="0" w:line="216" w:lineRule="auto"/>
        <w:tabs>
          <w:tab w:leader="none" w:pos="636"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Unless the Certificate of Incorporation requires a greater number, and except with respect to questions related to indemnification arising under Section 46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present may adjourn from time to time until the time fixed for the next regular meeting of the Board of Directors, without notice other than by announcement at the meeting.</w:t>
      </w:r>
    </w:p>
    <w:p>
      <w:pPr>
        <w:spacing w:after="0" w:line="148" w:lineRule="exact"/>
        <w:rPr>
          <w:sz w:val="20"/>
          <w:szCs w:val="20"/>
          <w:color w:val="auto"/>
        </w:rPr>
      </w:pPr>
    </w:p>
    <w:p>
      <w:pPr>
        <w:jc w:val="both"/>
        <w:ind w:firstLine="8"/>
        <w:spacing w:after="0" w:line="230" w:lineRule="auto"/>
        <w:tabs>
          <w:tab w:leader="none" w:pos="647"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 Bylaws.</w:t>
      </w:r>
    </w:p>
    <w:p>
      <w:pPr>
        <w:spacing w:after="0" w:line="14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9. Action without Meeting. </w:t>
      </w:r>
      <w:r>
        <w:rPr>
          <w:rFonts w:ascii="Times New Roman" w:cs="Times New Roman" w:eastAsia="Times New Roman" w:hAnsi="Times New Roman"/>
          <w:sz w:val="20"/>
          <w:szCs w:val="20"/>
          <w:color w:val="auto"/>
        </w:rPr>
        <w:t>Unless otherwise restricted by the Certificate of Incorporation or the Bylaws, any action required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permitted to be taken at any meeting of the Board of Directors or of any committee thereof may be taken without a meeting, if all members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the Board of Directors or committee, as the case may be, consent thereto in writing or by electronic transmission. Such consent or consents shall be filed with the minutes of proceedings of the Board of Directors or committee. Such filing shall be in paper form if the minutes are</w:t>
      </w:r>
    </w:p>
    <w:p>
      <w:pPr>
        <w:spacing w:after="0"/>
        <w:rPr>
          <w:sz w:val="20"/>
          <w:szCs w:val="20"/>
          <w:color w:val="auto"/>
        </w:rPr>
      </w:pPr>
      <w:r>
        <w:rPr>
          <w:rFonts w:ascii="Times New Roman" w:cs="Times New Roman" w:eastAsia="Times New Roman" w:hAnsi="Times New Roman"/>
          <w:sz w:val="20"/>
          <w:szCs w:val="20"/>
          <w:color w:val="auto"/>
        </w:rPr>
        <w:t>maintained in paper form and shall be in electronic form if the minutes are maintained in electronic form.</w:t>
      </w:r>
    </w:p>
    <w:p>
      <w:pPr>
        <w:spacing w:after="0" w:line="163" w:lineRule="exact"/>
        <w:rPr>
          <w:sz w:val="20"/>
          <w:szCs w:val="20"/>
          <w:color w:val="auto"/>
        </w:rPr>
      </w:pPr>
    </w:p>
    <w:p>
      <w:pPr>
        <w:jc w:val="both"/>
        <w:ind w:firstLine="8"/>
        <w:spacing w:after="0" w:line="213" w:lineRule="auto"/>
        <w:tabs>
          <w:tab w:leader="none" w:pos="636"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Fees and Compensation. </w:t>
      </w:r>
      <w:r>
        <w:rPr>
          <w:rFonts w:ascii="Times New Roman" w:cs="Times New Roman" w:eastAsia="Times New Roman" w:hAnsi="Times New Roman"/>
          <w:sz w:val="20"/>
          <w:szCs w:val="20"/>
          <w:color w:val="auto"/>
        </w:rPr>
        <w:t>Directors shall be entitled to such compensation for their services as may be approved by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 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Committees.</w:t>
      </w:r>
    </w:p>
    <w:p>
      <w:pPr>
        <w:spacing w:after="0" w:line="175" w:lineRule="exact"/>
        <w:rPr>
          <w:sz w:val="20"/>
          <w:szCs w:val="20"/>
          <w:color w:val="auto"/>
        </w:rPr>
      </w:pPr>
    </w:p>
    <w:p>
      <w:pPr>
        <w:jc w:val="both"/>
        <w:ind w:firstLine="8"/>
        <w:spacing w:after="0" w:line="216" w:lineRule="auto"/>
        <w:tabs>
          <w:tab w:leader="none" w:pos="636"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Executive Committee. </w:t>
      </w:r>
      <w:r>
        <w:rPr>
          <w:rFonts w:ascii="Times New Roman" w:cs="Times New Roman" w:eastAsia="Times New Roman" w:hAnsi="Times New Roman"/>
          <w:sz w:val="20"/>
          <w:szCs w:val="20"/>
          <w:color w:val="auto"/>
        </w:rPr>
        <w:t>The Board of Directors may appoint an Executive Committee to consist of one or more members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23" w:lineRule="auto"/>
        <w:tabs>
          <w:tab w:leader="none" w:pos="647"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Committees. </w:t>
      </w:r>
      <w:r>
        <w:rPr>
          <w:rFonts w:ascii="Times New Roman" w:cs="Times New Roman" w:eastAsia="Times New Roman" w:hAnsi="Times New Roman"/>
          <w:sz w:val="20"/>
          <w:szCs w:val="20"/>
          <w:color w:val="auto"/>
        </w:rPr>
        <w:t>The Board of Directors may, from time to time, appoint such other committees as may be permitted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 Bylaws.</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The Board of Directors, subject to any requirements of any outstanding series of preferred stock and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128" w:name="page129"/>
    <w:bookmarkEnd w:id="128"/>
    <w:p>
      <w:pPr>
        <w:jc w:val="both"/>
        <w:ind w:firstLine="8"/>
        <w:spacing w:after="0" w:line="211" w:lineRule="auto"/>
        <w:tabs>
          <w:tab w:leader="none" w:pos="647"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Meetings. </w:t>
      </w:r>
      <w:r>
        <w:rPr>
          <w:rFonts w:ascii="Times New Roman" w:cs="Times New Roman" w:eastAsia="Times New Roman" w:hAnsi="Times New Roman"/>
          <w:sz w:val="20"/>
          <w:szCs w:val="20"/>
          <w:color w:val="auto"/>
        </w:rPr>
        <w:t>Unless the Board of Directors shall otherwise provide, regular meetings of the Executive Committee or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committee appointed pursuant to this Section 26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66"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11. Duties of Chairperson of the Board of Directors. </w:t>
      </w:r>
      <w:r>
        <w:rPr>
          <w:rFonts w:ascii="Times New Roman" w:cs="Times New Roman" w:eastAsia="Times New Roman" w:hAnsi="Times New Roman"/>
          <w:sz w:val="20"/>
          <w:szCs w:val="20"/>
          <w:color w:val="auto"/>
        </w:rPr>
        <w:t>The Chairperson of the Board of Directors, when present, shall preside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meetings of the stockholders and the Board of Directors. The Chairperson of the Board of Directors shall perform such other duties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customarily associated with the office and shall also perform such other duties and have such other powers, as the Board of Directors shall designate from time to time.</w:t>
      </w:r>
    </w:p>
    <w:p>
      <w:pPr>
        <w:spacing w:after="0" w:line="1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 xml:space="preserve">Lead Independent Director. </w:t>
      </w:r>
      <w:r>
        <w:rPr>
          <w:rFonts w:ascii="Times New Roman" w:cs="Times New Roman" w:eastAsia="Times New Roman" w:hAnsi="Times New Roman"/>
          <w:sz w:val="19"/>
          <w:szCs w:val="19"/>
          <w:color w:val="auto"/>
        </w:rPr>
        <w:t>The Chairperson of the Board of Directors, or if the Chairperson is not an independent director,</w:t>
      </w:r>
    </w:p>
    <w:p>
      <w:pPr>
        <w:spacing w:after="0" w:line="204" w:lineRule="auto"/>
        <w:rPr>
          <w:sz w:val="20"/>
          <w:szCs w:val="20"/>
          <w:color w:val="auto"/>
        </w:rPr>
      </w:pPr>
      <w:r>
        <w:rPr>
          <w:rFonts w:ascii="Times New Roman" w:cs="Times New Roman" w:eastAsia="Times New Roman" w:hAnsi="Times New Roman"/>
          <w:sz w:val="20"/>
          <w:szCs w:val="20"/>
          <w:color w:val="auto"/>
        </w:rPr>
        <w:t>one of the independent directors, may be designated by the Board of Directors as lead independent director to serve until replaced by the Board of Directors (“</w:t>
      </w:r>
      <w:r>
        <w:rPr>
          <w:rFonts w:ascii="Times New Roman" w:cs="Times New Roman" w:eastAsia="Times New Roman" w:hAnsi="Times New Roman"/>
          <w:sz w:val="20"/>
          <w:szCs w:val="20"/>
          <w:b w:val="1"/>
          <w:bCs w:val="1"/>
          <w:i w:val="1"/>
          <w:iCs w:val="1"/>
          <w:color w:val="auto"/>
        </w:rPr>
        <w:t>Lead Independent Director</w:t>
      </w:r>
      <w:r>
        <w:rPr>
          <w:rFonts w:ascii="Times New Roman" w:cs="Times New Roman" w:eastAsia="Times New Roman" w:hAnsi="Times New Roman"/>
          <w:sz w:val="20"/>
          <w:szCs w:val="20"/>
          <w:color w:val="auto"/>
        </w:rPr>
        <w:t>”). The Lead Independent Director will preside over meetings of the independent directors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and perform such other duties as may be established or delegated by the Board of Directors and perform such other duties as may be established or delegated by the Chairperson of the Board of Directors.</w:t>
      </w:r>
    </w:p>
    <w:p>
      <w:pPr>
        <w:spacing w:after="0" w:line="14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13. Organization. </w:t>
      </w:r>
      <w:r>
        <w:rPr>
          <w:rFonts w:ascii="Times New Roman" w:cs="Times New Roman" w:eastAsia="Times New Roman" w:hAnsi="Times New Roman"/>
          <w:sz w:val="20"/>
          <w:szCs w:val="20"/>
          <w:color w:val="auto"/>
        </w:rPr>
        <w:t>At every meeting of the directors, the Chairperson of the Board of Directors, or, if a Chairperson has not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appointed or is absent, the Lead Independent Director, or if the Lead Independent Director has not been appointed or is absent, the Chief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w:t>
      </w:r>
    </w:p>
    <w:p>
      <w:pPr>
        <w:spacing w:after="0" w:line="228" w:lineRule="auto"/>
        <w:rPr>
          <w:sz w:val="20"/>
          <w:szCs w:val="20"/>
          <w:color w:val="auto"/>
        </w:rPr>
      </w:pPr>
      <w:r>
        <w:rPr>
          <w:rFonts w:ascii="Times New Roman" w:cs="Times New Roman" w:eastAsia="Times New Roman" w:hAnsi="Times New Roman"/>
          <w:sz w:val="20"/>
          <w:szCs w:val="20"/>
          <w:color w:val="auto"/>
        </w:rPr>
        <w:t>present, shall preside over the meeting. The Secretary, or in his or her absence, any Assistant Secretary or other officer, director or other person directed to do so by the person presiding over the meeting, shall act as secretary of the meeting.</w:t>
      </w:r>
    </w:p>
    <w:p>
      <w:pPr>
        <w:spacing w:after="0" w:line="145"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175"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0"/>
          <w:szCs w:val="20"/>
          <w:b w:val="1"/>
          <w:bCs w:val="1"/>
          <w:color w:val="auto"/>
        </w:rPr>
        <w:t>OFFICERS</w:t>
      </w:r>
    </w:p>
    <w:p>
      <w:pPr>
        <w:spacing w:after="0" w:line="17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 Officers Designated. </w:t>
      </w:r>
      <w:r>
        <w:rPr>
          <w:rFonts w:ascii="Times New Roman" w:cs="Times New Roman" w:eastAsia="Times New Roman" w:hAnsi="Times New Roman"/>
          <w:sz w:val="20"/>
          <w:szCs w:val="20"/>
          <w:color w:val="auto"/>
        </w:rPr>
        <w:t>The officers of the corporation shall include, if and when designated by the Board of Directors,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Chief Executive Officer, the President, one or more Vice Presidents, the Secretary, the Chief Financial Officer and the Treasurer. The Board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w:t>
      </w:r>
    </w:p>
    <w:p>
      <w:pPr>
        <w:spacing w:after="0" w:line="211" w:lineRule="auto"/>
        <w:rPr>
          <w:sz w:val="20"/>
          <w:szCs w:val="20"/>
          <w:color w:val="auto"/>
        </w:rPr>
      </w:pPr>
      <w:r>
        <w:rPr>
          <w:rFonts w:ascii="Times New Roman" w:cs="Times New Roman" w:eastAsia="Times New Roman" w:hAnsi="Times New Roman"/>
          <w:sz w:val="20"/>
          <w:szCs w:val="20"/>
          <w:color w:val="auto"/>
        </w:rPr>
        <w:t>it shall deem appropriate. Any one person may hold any number of offices of the corporation at any one time unless specifically prohibited</w:t>
      </w:r>
    </w:p>
    <w:p>
      <w:pPr>
        <w:spacing w:after="0" w:line="204" w:lineRule="auto"/>
        <w:rPr>
          <w:sz w:val="20"/>
          <w:szCs w:val="20"/>
          <w:color w:val="auto"/>
        </w:rPr>
      </w:pPr>
      <w:r>
        <w:rPr>
          <w:rFonts w:ascii="Times New Roman" w:cs="Times New Roman" w:eastAsia="Times New Roman" w:hAnsi="Times New Roman"/>
          <w:sz w:val="20"/>
          <w:szCs w:val="20"/>
          <w:color w:val="auto"/>
        </w:rPr>
        <w:t>therefrom by applicable law, the Certificate of Incorporation or the Bylaws. The salaries and other compensation of the officers of the corporation shall be fixed by or in the manner designated by the Board of Directors or by a committee thereof to which the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has delegated such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5" w:right="339" w:bottom="1440" w:gutter="0" w:footer="0" w:header="0"/>
        </w:sectPr>
      </w:pPr>
    </w:p>
    <w:bookmarkStart w:id="129" w:name="page130"/>
    <w:bookmarkEnd w:id="129"/>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Tenure and Duties of Officers.</w:t>
      </w:r>
    </w:p>
    <w:p>
      <w:pPr>
        <w:spacing w:after="0" w:line="189" w:lineRule="exact"/>
        <w:rPr>
          <w:sz w:val="20"/>
          <w:szCs w:val="20"/>
          <w:color w:val="auto"/>
        </w:rPr>
      </w:pPr>
    </w:p>
    <w:p>
      <w:pPr>
        <w:jc w:val="both"/>
        <w:ind w:firstLine="8"/>
        <w:spacing w:after="0" w:line="223" w:lineRule="auto"/>
        <w:tabs>
          <w:tab w:leader="none" w:pos="636"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All officers shall hold office at the pleasure of the Board of Directors and until their successors shall have been duly elected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144" w:lineRule="exact"/>
        <w:rPr>
          <w:rFonts w:ascii="Times New Roman" w:cs="Times New Roman" w:eastAsia="Times New Roman" w:hAnsi="Times New Roman"/>
          <w:sz w:val="20"/>
          <w:szCs w:val="20"/>
          <w:b w:val="1"/>
          <w:bCs w:val="1"/>
          <w:color w:val="auto"/>
        </w:rPr>
      </w:pPr>
    </w:p>
    <w:p>
      <w:pPr>
        <w:jc w:val="both"/>
        <w:ind w:firstLine="8"/>
        <w:spacing w:after="0" w:line="215" w:lineRule="auto"/>
        <w:tabs>
          <w:tab w:leader="none" w:pos="647"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of Chief Executive Officer. </w:t>
      </w:r>
      <w:r>
        <w:rPr>
          <w:rFonts w:ascii="Times New Roman" w:cs="Times New Roman" w:eastAsia="Times New Roman" w:hAnsi="Times New Roman"/>
          <w:sz w:val="20"/>
          <w:szCs w:val="20"/>
          <w:color w:val="auto"/>
        </w:rPr>
        <w:t>The Chief Executive Officer shall preside at all meetings of the stockholders and, if a director,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of President. </w:t>
      </w:r>
      <w:r>
        <w:rPr>
          <w:rFonts w:ascii="Times New Roman" w:cs="Times New Roman" w:eastAsia="Times New Roman" w:hAnsi="Times New Roman"/>
          <w:sz w:val="20"/>
          <w:szCs w:val="20"/>
          <w:color w:val="auto"/>
        </w:rPr>
        <w:t>The President shall preside at all meetings of the stockholders and, if a director, at all meetings of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147" w:lineRule="exact"/>
        <w:rPr>
          <w:rFonts w:ascii="Times New Roman" w:cs="Times New Roman" w:eastAsia="Times New Roman" w:hAnsi="Times New Roman"/>
          <w:sz w:val="20"/>
          <w:szCs w:val="20"/>
          <w:b w:val="1"/>
          <w:bCs w:val="1"/>
          <w:color w:val="auto"/>
        </w:rPr>
      </w:pPr>
    </w:p>
    <w:p>
      <w:pPr>
        <w:jc w:val="both"/>
        <w:ind w:firstLine="8"/>
        <w:spacing w:after="0" w:line="220" w:lineRule="auto"/>
        <w:tabs>
          <w:tab w:leader="none" w:pos="647"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of Vice Presidents. </w:t>
      </w:r>
      <w:r>
        <w:rPr>
          <w:rFonts w:ascii="Times New Roman" w:cs="Times New Roman" w:eastAsia="Times New Roman" w:hAnsi="Times New Roman"/>
          <w:sz w:val="20"/>
          <w:szCs w:val="20"/>
          <w:color w:val="auto"/>
        </w:rPr>
        <w:t>A Vice President may assume and perform the duties of the President in the absence or disability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3" w:lineRule="auto"/>
        <w:tabs>
          <w:tab w:leader="none" w:pos="638"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of Secretary and Assistant Secretary. </w:t>
      </w:r>
      <w:r>
        <w:rPr>
          <w:rFonts w:ascii="Times New Roman" w:cs="Times New Roman" w:eastAsia="Times New Roman" w:hAnsi="Times New Roman"/>
          <w:sz w:val="20"/>
          <w:szCs w:val="20"/>
          <w:color w:val="auto"/>
        </w:rPr>
        <w:t>The Secretary shall attend all meetings of the stockholders and of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and shall record all acts, votes and proceedings thereof in the minute books of the corporation. The Secretary shall give notice in conformity with the Bylaws of all meetings of the stockholders and of all meetings of the Board of Directors and any committee thereof requiring notice. The Secretary shall perform all other duties provided for in the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pacing w:after="0" w:line="145" w:lineRule="exact"/>
        <w:rPr>
          <w:rFonts w:ascii="Times New Roman" w:cs="Times New Roman" w:eastAsia="Times New Roman" w:hAnsi="Times New Roman"/>
          <w:sz w:val="20"/>
          <w:szCs w:val="20"/>
          <w:b w:val="1"/>
          <w:bCs w:val="1"/>
          <w:color w:val="auto"/>
        </w:rPr>
      </w:pPr>
    </w:p>
    <w:p>
      <w:pPr>
        <w:jc w:val="both"/>
        <w:ind w:firstLine="8"/>
        <w:spacing w:after="0" w:line="246" w:lineRule="auto"/>
        <w:tabs>
          <w:tab w:leader="none" w:pos="643"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Duties of Chief Financial Officer. </w:t>
      </w:r>
      <w:r>
        <w:rPr>
          <w:rFonts w:ascii="Times New Roman" w:cs="Times New Roman" w:eastAsia="Times New Roman" w:hAnsi="Times New Roman"/>
          <w:sz w:val="19"/>
          <w:szCs w:val="19"/>
          <w:color w:val="auto"/>
        </w:rPr>
        <w:t>The Chief Financial Officer shall keep or cause to be kept the books of account of the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color w:val="auto"/>
        </w:rPr>
        <w:t>Directors, shall have the custody of all funds and securities of the corporation. The Chief Financial Officer shall perform other duties</w:t>
      </w:r>
    </w:p>
    <w:p>
      <w:pPr>
        <w:spacing w:after="0" w:line="215" w:lineRule="auto"/>
        <w:rPr>
          <w:sz w:val="20"/>
          <w:szCs w:val="20"/>
          <w:color w:val="auto"/>
        </w:rPr>
      </w:pPr>
      <w:r>
        <w:rPr>
          <w:rFonts w:ascii="Times New Roman" w:cs="Times New Roman" w:eastAsia="Times New Roman" w:hAnsi="Times New Roman"/>
          <w:sz w:val="19"/>
          <w:szCs w:val="19"/>
          <w:color w:val="auto"/>
        </w:rPr>
        <w:t>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w:t>
      </w:r>
    </w:p>
    <w:p>
      <w:pPr>
        <w:spacing w:after="0" w:line="211" w:lineRule="auto"/>
        <w:rPr>
          <w:sz w:val="20"/>
          <w:szCs w:val="20"/>
          <w:color w:val="auto"/>
        </w:rPr>
      </w:pPr>
      <w:r>
        <w:rPr>
          <w:rFonts w:ascii="Times New Roman" w:cs="Times New Roman" w:eastAsia="Times New Roman" w:hAnsi="Times New Roman"/>
          <w:sz w:val="20"/>
          <w:szCs w:val="20"/>
          <w:color w:val="auto"/>
        </w:rPr>
        <w:t>Chief Financial Officer has been appointed and no Treasurer has been appointed, all references in the Bylaws to the Treasurer shall be</w:t>
      </w:r>
    </w:p>
    <w:p>
      <w:pPr>
        <w:spacing w:after="0" w:line="221" w:lineRule="auto"/>
        <w:rPr>
          <w:sz w:val="20"/>
          <w:szCs w:val="20"/>
          <w:color w:val="auto"/>
        </w:rPr>
      </w:pPr>
      <w:r>
        <w:rPr>
          <w:rFonts w:ascii="Times New Roman" w:cs="Times New Roman" w:eastAsia="Times New Roman" w:hAnsi="Times New Roman"/>
          <w:sz w:val="20"/>
          <w:szCs w:val="20"/>
          <w:color w:val="auto"/>
        </w:rPr>
        <w:t>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158" w:lineRule="exact"/>
        <w:rPr>
          <w:sz w:val="20"/>
          <w:szCs w:val="20"/>
          <w:color w:val="auto"/>
        </w:rPr>
      </w:pPr>
    </w:p>
    <w:p>
      <w:pPr>
        <w:jc w:val="both"/>
        <w:ind w:firstLine="8"/>
        <w:spacing w:after="0" w:line="211" w:lineRule="auto"/>
        <w:tabs>
          <w:tab w:leader="none" w:pos="636"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Duties of Treasurer and Assistant Treasurer. </w:t>
      </w:r>
      <w:r>
        <w:rPr>
          <w:rFonts w:ascii="Times New Roman" w:cs="Times New Roman" w:eastAsia="Times New Roman" w:hAnsi="Times New Roman"/>
          <w:sz w:val="20"/>
          <w:szCs w:val="20"/>
          <w:color w:val="auto"/>
        </w:rPr>
        <w:t>Unless another officer has been appointed Chief Financial Officer of the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6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Section 3. Delegation of Authority. </w:t>
      </w:r>
      <w:r>
        <w:rPr>
          <w:rFonts w:ascii="Times New Roman" w:cs="Times New Roman" w:eastAsia="Times New Roman" w:hAnsi="Times New Roman"/>
          <w:sz w:val="20"/>
          <w:szCs w:val="20"/>
          <w:color w:val="auto"/>
        </w:rPr>
        <w:t>The Board of Directors may from time to time delegate the powers or duties of any officer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officer or agent, notwithstanding any provision hereof.</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20"/>
          <w:szCs w:val="20"/>
          <w:b w:val="1"/>
          <w:bCs w:val="1"/>
          <w:color w:val="auto"/>
        </w:rPr>
        <w:t xml:space="preserve">Resignations. </w:t>
      </w:r>
      <w:r>
        <w:rPr>
          <w:rFonts w:ascii="Times New Roman" w:cs="Times New Roman" w:eastAsia="Times New Roman" w:hAnsi="Times New Roman"/>
          <w:sz w:val="20"/>
          <w:szCs w:val="20"/>
          <w:color w:val="auto"/>
        </w:rPr>
        <w:t>Any officer may resign at any time by giving notice in writing or by electronic transmission to the Board of</w:t>
      </w:r>
    </w:p>
    <w:p>
      <w:pPr>
        <w:spacing w:after="0" w:line="204" w:lineRule="auto"/>
        <w:rPr>
          <w:sz w:val="20"/>
          <w:szCs w:val="20"/>
          <w:color w:val="auto"/>
        </w:rPr>
      </w:pPr>
      <w:r>
        <w:rPr>
          <w:rFonts w:ascii="Times New Roman" w:cs="Times New Roman" w:eastAsia="Times New Roman" w:hAnsi="Times New Roman"/>
          <w:sz w:val="20"/>
          <w:szCs w:val="20"/>
          <w:color w:val="auto"/>
        </w:rPr>
        <w:t>Directors, the Chairperson of the Board of Directors, the Chief Executive Officer, the President or the Secretary. Any such resignation shall be effective when received by the person or persons to whom such notice is given, unless a later time is specified therein, in which event the</w:t>
      </w:r>
    </w:p>
    <w:p>
      <w:pPr>
        <w:spacing w:after="0" w:line="211" w:lineRule="auto"/>
        <w:rPr>
          <w:sz w:val="20"/>
          <w:szCs w:val="20"/>
          <w:color w:val="auto"/>
        </w:rPr>
      </w:pPr>
      <w:r>
        <w:rPr>
          <w:rFonts w:ascii="Times New Roman" w:cs="Times New Roman" w:eastAsia="Times New Roman" w:hAnsi="Times New Roman"/>
          <w:sz w:val="20"/>
          <w:szCs w:val="20"/>
          <w:color w:val="auto"/>
        </w:rPr>
        <w:t>resignation shall become effective at such later time. Unless otherwise specified in such notice, the acceptance of any such resignation shall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not be necessary to make it effective. Any resignation shall be without prejudice to the rights, if any, of the corporation under any contract with the resigning officer.</w:t>
      </w:r>
    </w:p>
    <w:p>
      <w:pPr>
        <w:spacing w:after="0" w:line="15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5. Removal. </w:t>
      </w:r>
      <w:r>
        <w:rPr>
          <w:rFonts w:ascii="Times New Roman" w:cs="Times New Roman" w:eastAsia="Times New Roman" w:hAnsi="Times New Roman"/>
          <w:sz w:val="20"/>
          <w:szCs w:val="20"/>
          <w:color w:val="auto"/>
        </w:rPr>
        <w:t>Any officer may be removed from office at any time, either with or without cause, by the Board of Directors,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any committee thereof or any superior officer upon whom such power of removal may have been conferred by the Board of Directors.</w:t>
      </w:r>
    </w:p>
    <w:p>
      <w:pPr>
        <w:spacing w:after="0" w:line="13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EXECUTION OF CORPORATE INSTRUMENTS AND VOTING OF SECURITIES OWNED BY THE CORPORATION</w:t>
      </w:r>
    </w:p>
    <w:p>
      <w:pPr>
        <w:spacing w:after="0" w:line="17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1. Execution of Corporate Instruments. </w:t>
      </w:r>
      <w:r>
        <w:rPr>
          <w:rFonts w:ascii="Times New Roman" w:cs="Times New Roman" w:eastAsia="Times New Roman" w:hAnsi="Times New Roman"/>
          <w:sz w:val="20"/>
          <w:szCs w:val="20"/>
          <w:color w:val="auto"/>
        </w:rPr>
        <w:t>The Board of Directors may, in its discretion, determine the method and designate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signatory officer or officers, or other person or persons, to execute, sign or endorse on behalf of the corporation any corporate instrument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document, or to sign on behalf of the corporation the corporate name without limitation, or to enter into contracts on behalf of the corporation, except where otherwise provided by applicable law or the Bylaws, and such execution or signature shall be binding upon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corporation.</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61"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Unless otherwise specifically determined by the Board of Directors or otherwise required by applicable law, the execution, signing or endorsement of any corporate instrument or document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94" w:right="339" w:bottom="1440" w:gutter="0" w:footer="0" w:header="0"/>
        </w:sectPr>
      </w:pPr>
    </w:p>
    <w:bookmarkStart w:id="131" w:name="page132"/>
    <w:bookmarkEnd w:id="131"/>
    <w:p>
      <w:pPr>
        <w:jc w:val="both"/>
        <w:spacing w:after="0"/>
        <w:rPr>
          <w:sz w:val="20"/>
          <w:szCs w:val="20"/>
          <w:color w:val="auto"/>
        </w:rPr>
      </w:pPr>
      <w:r>
        <w:rPr>
          <w:rFonts w:ascii="Times New Roman" w:cs="Times New Roman" w:eastAsia="Times New Roman" w:hAnsi="Times New Roman"/>
          <w:sz w:val="20"/>
          <w:szCs w:val="20"/>
          <w:color w:val="auto"/>
        </w:rPr>
        <w:t>effected manually, by facsimile or (to the extent permitted by applicable law and subject to such policies and procedures as the corporation may have in effect from time to time) by electronic signature.</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2. Voting of Securities Owned by the Corporation. </w:t>
      </w:r>
      <w:r>
        <w:rPr>
          <w:rFonts w:ascii="Times New Roman" w:cs="Times New Roman" w:eastAsia="Times New Roman" w:hAnsi="Times New Roman"/>
          <w:sz w:val="20"/>
          <w:szCs w:val="20"/>
          <w:color w:val="auto"/>
        </w:rPr>
        <w:t>All stock and other securities of or interests in other corporations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entities owned or held by the corporation for itself, or for other parties in any capacity, shall be voted, and all proxies with respect thereto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shall be executed, by the person authorized so to do by resolution of the Board of Directors, or, in the absence of such authorization, by the Chairperson of the Board of Directors, the Chief Executive Officer, the President, or any Vice President.</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16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SHARES OF STOCK</w:t>
      </w:r>
    </w:p>
    <w:p>
      <w:pPr>
        <w:spacing w:after="0" w:line="18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0"/>
          <w:szCs w:val="20"/>
          <w:b w:val="1"/>
          <w:bCs w:val="1"/>
          <w:color w:val="auto"/>
        </w:rPr>
        <w:t xml:space="preserve">Form and Execution of Certificates. </w:t>
      </w:r>
      <w:r>
        <w:rPr>
          <w:rFonts w:ascii="Times New Roman" w:cs="Times New Roman" w:eastAsia="Times New Roman" w:hAnsi="Times New Roman"/>
          <w:sz w:val="20"/>
          <w:szCs w:val="20"/>
          <w:color w:val="auto"/>
        </w:rPr>
        <w:t>The shares of the corporation shall be represented by certificates, or shall be</w:t>
      </w:r>
    </w:p>
    <w:p>
      <w:pPr>
        <w:jc w:val="both"/>
        <w:spacing w:after="0" w:line="204" w:lineRule="auto"/>
        <w:rPr>
          <w:sz w:val="20"/>
          <w:szCs w:val="20"/>
          <w:color w:val="auto"/>
        </w:rPr>
      </w:pPr>
      <w:r>
        <w:rPr>
          <w:rFonts w:ascii="Times New Roman" w:cs="Times New Roman" w:eastAsia="Times New Roman" w:hAnsi="Times New Roman"/>
          <w:sz w:val="20"/>
          <w:szCs w:val="20"/>
          <w:color w:val="auto"/>
        </w:rPr>
        <w:t>uncertificated if so provided by resolution or resolutions of the Board of Directors. Certificates for the shares of stock, if any, shall be in such form as is consistent with the Certificate of Incorporation and applicable law. Every holder of stock in the corporation represented by</w:t>
      </w:r>
    </w:p>
    <w:p>
      <w:pPr>
        <w:spacing w:after="0" w:line="223" w:lineRule="auto"/>
        <w:rPr>
          <w:sz w:val="20"/>
          <w:szCs w:val="20"/>
          <w:color w:val="auto"/>
        </w:rPr>
      </w:pPr>
      <w:r>
        <w:rPr>
          <w:rFonts w:ascii="Times New Roman" w:cs="Times New Roman" w:eastAsia="Times New Roman" w:hAnsi="Times New Roman"/>
          <w:sz w:val="19"/>
          <w:szCs w:val="19"/>
          <w:color w:val="auto"/>
        </w:rPr>
        <w:t>certificates shall be entitled to have a certificate signed by or in the name of the corporation by any two authorized officers of the corporation,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certifying the number, and the class or series, of shares owned by such holder in the corporation. Any or all of the signatures on the certificate may be facsimiles. In case any officer, transfer agent, or registrar who has signed or whose facsimile signature has been placed upon a</w:t>
      </w:r>
    </w:p>
    <w:p>
      <w:pPr>
        <w:jc w:val="both"/>
        <w:spacing w:after="0" w:line="221" w:lineRule="auto"/>
        <w:rPr>
          <w:sz w:val="20"/>
          <w:szCs w:val="20"/>
          <w:color w:val="auto"/>
        </w:rPr>
      </w:pPr>
      <w:r>
        <w:rPr>
          <w:rFonts w:ascii="Times New Roman" w:cs="Times New Roman" w:eastAsia="Times New Roman" w:hAnsi="Times New Roman"/>
          <w:sz w:val="20"/>
          <w:szCs w:val="20"/>
          <w:color w:val="auto"/>
        </w:rPr>
        <w:t>certificate shall have ceased to be such officer, transfer agent, or registrar before such certificate is issued, it may be issued with the same effect as if he were such officer, transfer agent, or registrar at the date of issue.</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 xml:space="preserve">Lost Certificates. </w:t>
      </w:r>
      <w:r>
        <w:rPr>
          <w:rFonts w:ascii="Times New Roman" w:cs="Times New Roman" w:eastAsia="Times New Roman" w:hAnsi="Times New Roman"/>
          <w:sz w:val="19"/>
          <w:szCs w:val="19"/>
          <w:color w:val="auto"/>
        </w:rPr>
        <w:t>A new certificate or certificates shall be issued in place of any certificate or certificates theretofore issued</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by the corporation alleged to have been lost, stolen, or destroyed, upon the making of an affidavit of that fact by the person claiming the certificate of stock to be lost, stolen, or destroyed. The corporation may require, as a condition precedent to the issuance of a new certificate</w:t>
      </w:r>
    </w:p>
    <w:p>
      <w:pPr>
        <w:spacing w:after="0" w:line="223" w:lineRule="auto"/>
        <w:rPr>
          <w:sz w:val="20"/>
          <w:szCs w:val="20"/>
          <w:color w:val="auto"/>
        </w:rPr>
      </w:pPr>
      <w:r>
        <w:rPr>
          <w:rFonts w:ascii="Times New Roman" w:cs="Times New Roman" w:eastAsia="Times New Roman" w:hAnsi="Times New Roman"/>
          <w:sz w:val="19"/>
          <w:szCs w:val="19"/>
          <w:color w:val="auto"/>
        </w:rPr>
        <w:t>or certificates, the owner of such lost, stolen, or destroyed certificate or certificates, or the owner’s legal representative, to agree to indemnify</w:t>
      </w:r>
    </w:p>
    <w:p>
      <w:pPr>
        <w:jc w:val="both"/>
        <w:spacing w:after="0" w:line="204" w:lineRule="auto"/>
        <w:rPr>
          <w:sz w:val="20"/>
          <w:szCs w:val="20"/>
          <w:color w:val="auto"/>
        </w:rPr>
      </w:pPr>
      <w:r>
        <w:rPr>
          <w:rFonts w:ascii="Times New Roman" w:cs="Times New Roman" w:eastAsia="Times New Roman" w:hAnsi="Times New Roman"/>
          <w:sz w:val="20"/>
          <w:szCs w:val="20"/>
          <w:color w:val="auto"/>
        </w:rPr>
        <w:t>the corporation in such manner as it shall require or to give the corporation a surety bond in such form and amount as it may direct as indemnity against any claim that may be made against the corporation with respect to the certificate alleged to have been lost, stolen,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destroyed.</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Transfers.</w:t>
      </w:r>
    </w:p>
    <w:p>
      <w:pPr>
        <w:spacing w:after="0" w:line="179" w:lineRule="exact"/>
        <w:rPr>
          <w:sz w:val="20"/>
          <w:szCs w:val="20"/>
          <w:color w:val="auto"/>
        </w:rPr>
      </w:pPr>
    </w:p>
    <w:p>
      <w:pPr>
        <w:jc w:val="both"/>
        <w:ind w:firstLine="8"/>
        <w:spacing w:after="0" w:line="230" w:lineRule="auto"/>
        <w:tabs>
          <w:tab w:leader="none" w:pos="63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48" w:lineRule="exact"/>
        <w:rPr>
          <w:rFonts w:ascii="Times New Roman" w:cs="Times New Roman" w:eastAsia="Times New Roman" w:hAnsi="Times New Roman"/>
          <w:sz w:val="20"/>
          <w:szCs w:val="20"/>
          <w:b w:val="1"/>
          <w:bCs w:val="1"/>
          <w:color w:val="auto"/>
        </w:rPr>
      </w:pPr>
    </w:p>
    <w:p>
      <w:pPr>
        <w:jc w:val="both"/>
        <w:ind w:firstLine="8"/>
        <w:spacing w:after="0" w:line="230" w:lineRule="auto"/>
        <w:tabs>
          <w:tab w:leader="none" w:pos="647"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Fixing Record Dates.</w:t>
      </w:r>
    </w:p>
    <w:p>
      <w:pPr>
        <w:spacing w:after="0" w:line="193" w:lineRule="exact"/>
        <w:rPr>
          <w:sz w:val="20"/>
          <w:szCs w:val="20"/>
          <w:color w:val="auto"/>
        </w:rPr>
      </w:pPr>
    </w:p>
    <w:p>
      <w:pPr>
        <w:jc w:val="both"/>
        <w:ind w:firstLine="8"/>
        <w:spacing w:after="0" w:line="222" w:lineRule="auto"/>
        <w:tabs>
          <w:tab w:leader="none" w:pos="636"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39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determining the stockholders entitled to notice of any meeting of stockholders, such date shall also be the record date for determining the</w:t>
      </w:r>
    </w:p>
    <w:p>
      <w:pPr>
        <w:spacing w:after="0" w:line="215" w:lineRule="auto"/>
        <w:rPr>
          <w:sz w:val="20"/>
          <w:szCs w:val="20"/>
          <w:color w:val="auto"/>
        </w:rPr>
      </w:pPr>
      <w:r>
        <w:rPr>
          <w:rFonts w:ascii="Times New Roman" w:cs="Times New Roman" w:eastAsia="Times New Roman" w:hAnsi="Times New Roman"/>
          <w:sz w:val="19"/>
          <w:szCs w:val="19"/>
          <w:color w:val="auto"/>
        </w:rPr>
        <w:t>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w:t>
      </w:r>
    </w:p>
    <w:p>
      <w:pPr>
        <w:spacing w:after="0" w:line="211" w:lineRule="auto"/>
        <w:rPr>
          <w:sz w:val="20"/>
          <w:szCs w:val="20"/>
          <w:color w:val="auto"/>
        </w:rPr>
      </w:pPr>
      <w:r>
        <w:rPr>
          <w:rFonts w:ascii="Times New Roman" w:cs="Times New Roman" w:eastAsia="Times New Roman" w:hAnsi="Times New Roman"/>
          <w:sz w:val="20"/>
          <w:szCs w:val="20"/>
          <w:color w:val="auto"/>
        </w:rPr>
        <w:t>the stockholders entitled to vote at such meeting. If no record date is fixed by the Board of Directors, the record date for determining</w:t>
      </w:r>
    </w:p>
    <w:p>
      <w:pPr>
        <w:spacing w:after="0" w:line="204" w:lineRule="auto"/>
        <w:rPr>
          <w:sz w:val="20"/>
          <w:szCs w:val="20"/>
          <w:color w:val="auto"/>
        </w:rPr>
      </w:pPr>
      <w:r>
        <w:rPr>
          <w:rFonts w:ascii="Times New Roman" w:cs="Times New Roman" w:eastAsia="Times New Roman" w:hAnsi="Times New Roman"/>
          <w:sz w:val="20"/>
          <w:szCs w:val="20"/>
          <w:color w:val="auto"/>
        </w:rPr>
        <w:t>stockholders entitled to notice of or to vote at a meeting of stockholders shall be at the close of business on the day immediately preceding the day on which notice is given, or if notice is waived, at the close of business on the day immediately preceding the day on which the</w:t>
      </w:r>
    </w:p>
    <w:p>
      <w:pPr>
        <w:spacing w:after="0" w:line="211" w:lineRule="auto"/>
        <w:rPr>
          <w:sz w:val="20"/>
          <w:szCs w:val="20"/>
          <w:color w:val="auto"/>
        </w:rPr>
      </w:pPr>
      <w:r>
        <w:rPr>
          <w:rFonts w:ascii="Times New Roman" w:cs="Times New Roman" w:eastAsia="Times New Roman" w:hAnsi="Times New Roman"/>
          <w:sz w:val="20"/>
          <w:szCs w:val="20"/>
          <w:color w:val="auto"/>
        </w:rPr>
        <w:t>meeting is held. A determination of stockholders of record entitled to notice of or to vote at a meeting of stockholders shall apply to any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Board of Directors may fix a new record date for the adjourned meeting in accordance with the provisions of this Section 39(a).</w:t>
      </w:r>
    </w:p>
    <w:p>
      <w:pPr>
        <w:spacing w:after="0" w:line="162" w:lineRule="exact"/>
        <w:rPr>
          <w:sz w:val="20"/>
          <w:szCs w:val="20"/>
          <w:color w:val="auto"/>
        </w:rPr>
      </w:pPr>
    </w:p>
    <w:p>
      <w:pPr>
        <w:jc w:val="both"/>
        <w:ind w:firstLine="8"/>
        <w:spacing w:after="0" w:line="216" w:lineRule="auto"/>
        <w:tabs>
          <w:tab w:leader="none" w:pos="647"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20"/>
          <w:szCs w:val="20"/>
          <w:b w:val="1"/>
          <w:bCs w:val="1"/>
          <w:color w:val="auto"/>
        </w:rPr>
        <w:t xml:space="preserve">Registered Stockholders. </w:t>
      </w:r>
      <w:r>
        <w:rPr>
          <w:rFonts w:ascii="Times New Roman" w:cs="Times New Roman" w:eastAsia="Times New Roman" w:hAnsi="Times New Roman"/>
          <w:sz w:val="20"/>
          <w:szCs w:val="20"/>
          <w:color w:val="auto"/>
        </w:rPr>
        <w:t>The corporation shall be entitled to recognize the exclusive right of a person registered on its</w:t>
      </w:r>
    </w:p>
    <w:p>
      <w:pPr>
        <w:spacing w:after="0" w:line="204" w:lineRule="auto"/>
        <w:rPr>
          <w:sz w:val="20"/>
          <w:szCs w:val="20"/>
          <w:color w:val="auto"/>
        </w:rPr>
      </w:pPr>
      <w:r>
        <w:rPr>
          <w:rFonts w:ascii="Times New Roman" w:cs="Times New Roman" w:eastAsia="Times New Roman" w:hAnsi="Times New Roman"/>
          <w:sz w:val="20"/>
          <w:szCs w:val="20"/>
          <w:color w:val="auto"/>
        </w:rPr>
        <w:t>books as the owner of shares to receive dividends, and to vote as such owner, and shall not be bound to recognize any equitable or other claim to or interest in such share or shares on the part of any other person whether or not it shall have express or other notice thereof, except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otherwise provided by the laws of Delaware.</w:t>
      </w:r>
    </w:p>
    <w:p>
      <w:pPr>
        <w:spacing w:after="0" w:line="149"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20"/>
          <w:szCs w:val="20"/>
          <w:b w:val="1"/>
          <w:bCs w:val="1"/>
          <w:color w:val="auto"/>
        </w:rPr>
        <w:t xml:space="preserve">Section 6. Additional Powers of the Board. </w:t>
      </w:r>
      <w:r>
        <w:rPr>
          <w:rFonts w:ascii="Times New Roman" w:cs="Times New Roman" w:eastAsia="Times New Roman" w:hAnsi="Times New Roman"/>
          <w:sz w:val="20"/>
          <w:szCs w:val="20"/>
          <w:color w:val="auto"/>
        </w:rPr>
        <w:t>In addition to, and without limiting, the powers set forth in the Bylaws, the Board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shall have power and authority to make all such rules and regulations as it shall deem expedient concerning the issue, transfer,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registration of certificates for shares of stock of the corporation, including the use of uncertificated shares of stock, subject to the provisions of the DGCL, other applicable law, the Certificate of Incorporation and the Bylaws. The Board of Directors may appoint and remove transfer</w:t>
      </w:r>
    </w:p>
    <w:p>
      <w:pPr>
        <w:spacing w:after="0" w:line="228" w:lineRule="auto"/>
        <w:rPr>
          <w:sz w:val="20"/>
          <w:szCs w:val="20"/>
          <w:color w:val="auto"/>
        </w:rPr>
      </w:pPr>
      <w:r>
        <w:rPr>
          <w:rFonts w:ascii="Times New Roman" w:cs="Times New Roman" w:eastAsia="Times New Roman" w:hAnsi="Times New Roman"/>
          <w:sz w:val="20"/>
          <w:szCs w:val="20"/>
          <w:color w:val="auto"/>
        </w:rPr>
        <w:t>agents and registrars of transfers, and may require all stock certificates to bear the signature of any such transfer agent and/or any such registrar of transfers.</w:t>
      </w:r>
    </w:p>
    <w:p>
      <w:pPr>
        <w:spacing w:after="0" w:line="1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17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OTHER SECURITIES OF THE CORPORATION</w:t>
      </w:r>
    </w:p>
    <w:p>
      <w:pPr>
        <w:spacing w:after="0" w:line="17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Section 1. Execution of Other Securities. </w:t>
      </w:r>
      <w:r>
        <w:rPr>
          <w:rFonts w:ascii="Times New Roman" w:cs="Times New Roman" w:eastAsia="Times New Roman" w:hAnsi="Times New Roman"/>
          <w:sz w:val="19"/>
          <w:szCs w:val="19"/>
          <w:color w:val="auto"/>
        </w:rPr>
        <w:t>All bonds, debentures and other corporate securities of the corporation, other than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certificates (covered in Section 36), may be signed by the Chairperson of the Board of Directors, the Chief Executive Officer, the President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any Vice President, or such other person as may be authorized by the Board of Directors;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where any such bond, debenture or other corporate security shall be authenticated by the manual signature, or where permissible facsimile signature, of a trustee</w:t>
      </w:r>
    </w:p>
    <w:p>
      <w:pPr>
        <w:spacing w:after="0" w:line="211" w:lineRule="auto"/>
        <w:rPr>
          <w:sz w:val="20"/>
          <w:szCs w:val="20"/>
          <w:color w:val="auto"/>
        </w:rPr>
      </w:pPr>
      <w:r>
        <w:rPr>
          <w:rFonts w:ascii="Times New Roman" w:cs="Times New Roman" w:eastAsia="Times New Roman" w:hAnsi="Times New Roman"/>
          <w:sz w:val="20"/>
          <w:szCs w:val="20"/>
          <w:color w:val="auto"/>
        </w:rPr>
        <w:t>under an indenture pursuant to which such bond, debenture or other corporate security shall be issued, the signatures of the persons signing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attesting the corporate seal on such bond, debenture or other corporate security may be the imprinted facsimile of the signatures of such persons. Interest coupons appertaining to any such bond, debenture or other corporate security, authenticated by a trustee as aforesaid, shall</w:t>
      </w:r>
    </w:p>
    <w:p>
      <w:pPr>
        <w:spacing w:after="0" w:line="211" w:lineRule="auto"/>
        <w:rPr>
          <w:sz w:val="20"/>
          <w:szCs w:val="20"/>
          <w:color w:val="auto"/>
        </w:rPr>
      </w:pPr>
      <w:r>
        <w:rPr>
          <w:rFonts w:ascii="Times New Roman" w:cs="Times New Roman" w:eastAsia="Times New Roman" w:hAnsi="Times New Roman"/>
          <w:sz w:val="20"/>
          <w:szCs w:val="20"/>
          <w:color w:val="auto"/>
        </w:rPr>
        <w:t>be signed by the Treasurer or an Assistant Treasurer of the corporation or such other person as may be authorized by the Board of Directors,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bear imprinted thereon the facsimile signature of such person. In case any officer who shall have signed or attested any bond, debenture or other corporate security, or whose facsimile signature shall appear thereon or on any such interest coupon, shall have ceased to be such</w:t>
      </w:r>
    </w:p>
    <w:p>
      <w:pPr>
        <w:spacing w:after="0" w:line="211" w:lineRule="auto"/>
        <w:rPr>
          <w:sz w:val="20"/>
          <w:szCs w:val="20"/>
          <w:color w:val="auto"/>
        </w:rPr>
      </w:pPr>
      <w:r>
        <w:rPr>
          <w:rFonts w:ascii="Times New Roman" w:cs="Times New Roman" w:eastAsia="Times New Roman" w:hAnsi="Times New Roman"/>
          <w:sz w:val="20"/>
          <w:szCs w:val="20"/>
          <w:color w:val="auto"/>
        </w:rPr>
        <w:t>officer before the bond, debenture or other corporate security so signed or attested shall have been delivered, such bond, debenture or other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94" w:right="339" w:bottom="1440" w:gutter="0" w:footer="0" w:header="0"/>
        </w:sectPr>
      </w:pPr>
    </w:p>
    <w:bookmarkStart w:id="133" w:name="page134"/>
    <w:bookmarkEnd w:id="133"/>
    <w:p>
      <w:pPr>
        <w:jc w:val="right"/>
        <w:ind w:right="510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162" w:lineRule="exact"/>
        <w:rPr>
          <w:sz w:val="20"/>
          <w:szCs w:val="20"/>
          <w:color w:val="auto"/>
        </w:rPr>
      </w:pPr>
    </w:p>
    <w:p>
      <w:pPr>
        <w:jc w:val="right"/>
        <w:ind w:right="506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 xml:space="preserve">Declaration of Dividends. </w:t>
      </w:r>
      <w:r>
        <w:rPr>
          <w:rFonts w:ascii="Times New Roman" w:cs="Times New Roman" w:eastAsia="Times New Roman" w:hAnsi="Times New Roman"/>
          <w:sz w:val="19"/>
          <w:szCs w:val="19"/>
          <w:color w:val="auto"/>
        </w:rPr>
        <w:t>Dividends upon the capital stock of the corporation, subject to the provisions of the Certificate of</w:t>
      </w:r>
    </w:p>
    <w:p>
      <w:pPr>
        <w:spacing w:after="0" w:line="221" w:lineRule="auto"/>
        <w:rPr>
          <w:sz w:val="20"/>
          <w:szCs w:val="20"/>
          <w:color w:val="auto"/>
        </w:rPr>
      </w:pPr>
      <w:r>
        <w:rPr>
          <w:rFonts w:ascii="Times New Roman" w:cs="Times New Roman" w:eastAsia="Times New Roman" w:hAnsi="Times New Roman"/>
          <w:sz w:val="20"/>
          <w:szCs w:val="20"/>
          <w:color w:val="auto"/>
        </w:rPr>
        <w:t>Incorporation and applicable law, if any, may be declared by the Board of Directors. Dividends may be paid in cash, in property, or in shares of the capital stock, subject to the provisions of the Certificate of Incorporation and applicable law.</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 xml:space="preserve">Dividend Reserve. </w:t>
      </w:r>
      <w:r>
        <w:rPr>
          <w:rFonts w:ascii="Times New Roman" w:cs="Times New Roman" w:eastAsia="Times New Roman" w:hAnsi="Times New Roman"/>
          <w:sz w:val="19"/>
          <w:szCs w:val="19"/>
          <w:color w:val="auto"/>
        </w:rPr>
        <w:t>Before payment of any dividend, there may be set aside out of any funds of the corporation available for</w:t>
      </w:r>
    </w:p>
    <w:p>
      <w:pPr>
        <w:spacing w:after="0" w:line="215" w:lineRule="auto"/>
        <w:rPr>
          <w:sz w:val="20"/>
          <w:szCs w:val="20"/>
          <w:color w:val="auto"/>
        </w:rPr>
      </w:pPr>
      <w:r>
        <w:rPr>
          <w:rFonts w:ascii="Times New Roman" w:cs="Times New Roman" w:eastAsia="Times New Roman" w:hAnsi="Times New Roman"/>
          <w:sz w:val="19"/>
          <w:szCs w:val="19"/>
          <w:color w:val="auto"/>
        </w:rPr>
        <w:t>dividends such sum or sums as the Board of Directors from time to time, in its absolute discretion, determines proper as a reserve or reserves to meet contingencies, or for equalizing dividends, or for repairing or maintaining any property of the corporation, or for such other purpose</w:t>
      </w:r>
    </w:p>
    <w:p>
      <w:pPr>
        <w:spacing w:after="0" w:line="228" w:lineRule="auto"/>
        <w:rPr>
          <w:sz w:val="20"/>
          <w:szCs w:val="20"/>
          <w:color w:val="auto"/>
        </w:rPr>
      </w:pPr>
      <w:r>
        <w:rPr>
          <w:rFonts w:ascii="Times New Roman" w:cs="Times New Roman" w:eastAsia="Times New Roman" w:hAnsi="Times New Roman"/>
          <w:sz w:val="20"/>
          <w:szCs w:val="20"/>
          <w:color w:val="auto"/>
        </w:rPr>
        <w:t>or purposes as the Board of Directors shall determine to be conducive to the interests of the corporation, and the Board of Directors may modify or abolish any such reserve in the manner in which it was created.</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1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FISCAL YEAR</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 xml:space="preserve">Fiscal Year. </w:t>
      </w:r>
      <w:r>
        <w:rPr>
          <w:rFonts w:ascii="Times New Roman" w:cs="Times New Roman" w:eastAsia="Times New Roman" w:hAnsi="Times New Roman"/>
          <w:sz w:val="19"/>
          <w:szCs w:val="19"/>
          <w:color w:val="auto"/>
        </w:rPr>
        <w:t>The fiscal year of the corporation shall be fixed by resolution of the Board of Directors.</w:t>
      </w:r>
    </w:p>
    <w:p>
      <w:pPr>
        <w:spacing w:after="0" w:line="1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Indemnification of Directors, Executive Officers, Employees and Other Agents.</w:t>
      </w:r>
    </w:p>
    <w:p>
      <w:pPr>
        <w:spacing w:after="0" w:line="175" w:lineRule="exact"/>
        <w:rPr>
          <w:sz w:val="20"/>
          <w:szCs w:val="20"/>
          <w:color w:val="auto"/>
        </w:rPr>
      </w:pPr>
    </w:p>
    <w:p>
      <w:pPr>
        <w:jc w:val="both"/>
        <w:ind w:firstLine="8"/>
        <w:spacing w:after="0" w:line="210" w:lineRule="auto"/>
        <w:tabs>
          <w:tab w:leader="none" w:pos="636"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Directors and Executive Officers. </w:t>
      </w:r>
      <w:r>
        <w:rPr>
          <w:rFonts w:ascii="Times New Roman" w:cs="Times New Roman" w:eastAsia="Times New Roman" w:hAnsi="Times New Roman"/>
          <w:sz w:val="20"/>
          <w:szCs w:val="20"/>
          <w:color w:val="auto"/>
        </w:rPr>
        <w:t>The corporation shall indemnify to the full extent permitted under and in any manner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Times New Roman" w:cs="Times New Roman" w:eastAsia="Times New Roman" w:hAnsi="Times New Roman"/>
          <w:sz w:val="20"/>
          <w:szCs w:val="20"/>
          <w:b w:val="1"/>
          <w:bCs w:val="1"/>
          <w:i w:val="1"/>
          <w:iCs w:val="1"/>
          <w:color w:val="auto"/>
        </w:rPr>
        <w:t>Another Enterprise</w:t>
      </w:r>
      <w:r>
        <w:rPr>
          <w:rFonts w:ascii="Times New Roman" w:cs="Times New Roman" w:eastAsia="Times New Roman" w:hAnsi="Times New Roman"/>
          <w:sz w:val="20"/>
          <w:szCs w:val="20"/>
          <w:color w:val="auto"/>
        </w:rPr>
        <w:t xml:space="preserv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20"/>
          <w:szCs w:val="20"/>
          <w:i w:val="1"/>
          <w:iCs w:val="1"/>
          <w:color w:val="auto"/>
        </w:rPr>
        <w:t xml:space="preserve">provided, however, </w:t>
      </w:r>
      <w:r>
        <w:rPr>
          <w:rFonts w:ascii="Times New Roman" w:cs="Times New Roman" w:eastAsia="Times New Roman" w:hAnsi="Times New Roman"/>
          <w:sz w:val="20"/>
          <w:szCs w:val="20"/>
          <w:color w:val="auto"/>
        </w:rPr>
        <w:t>that the corporation may modify the extent of such indemnification by individual contracts with its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executive officers;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(iii) such indemnification is provided by the corporation, in its sole discretion, pursuant to the powers vested in the corporation under the DGCL or any other applicable law or (iv) such indemnification is required to be made under subsection (d) of this Section 46.</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32" w:lineRule="auto"/>
        <w:tabs>
          <w:tab w:leader="none" w:pos="647"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Officers, Employees and Other Agents. </w:t>
      </w:r>
      <w:r>
        <w:rPr>
          <w:rFonts w:ascii="Times New Roman" w:cs="Times New Roman" w:eastAsia="Times New Roman" w:hAnsi="Times New Roman"/>
          <w:sz w:val="20"/>
          <w:szCs w:val="20"/>
          <w:color w:val="auto"/>
        </w:rPr>
        <w:t>The corporation shall have power to indemnify (including the power to advance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 a manner consistent with subsection (c) of this Section 46) its other officers, employees and other agents as set forth in the DGCL or any other applicable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9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Board of Directors shall have the power to delegate the determination of whether indemnification shall be given to any such person except executive officers to such officers or other persons as the Board of Directors shall determine.</w:t>
      </w:r>
    </w:p>
    <w:p>
      <w:pPr>
        <w:spacing w:after="0" w:line="144" w:lineRule="exact"/>
        <w:rPr>
          <w:sz w:val="20"/>
          <w:szCs w:val="20"/>
          <w:color w:val="auto"/>
        </w:rPr>
      </w:pPr>
    </w:p>
    <w:p>
      <w:pPr>
        <w:jc w:val="both"/>
        <w:ind w:firstLine="8"/>
        <w:spacing w:after="0" w:line="213" w:lineRule="auto"/>
        <w:tabs>
          <w:tab w:leader="none" w:pos="638"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Expenses. </w:t>
      </w:r>
      <w:r>
        <w:rPr>
          <w:rFonts w:ascii="Times New Roman" w:cs="Times New Roman" w:eastAsia="Times New Roman" w:hAnsi="Times New Roman"/>
          <w:sz w:val="20"/>
          <w:szCs w:val="20"/>
          <w:color w:val="auto"/>
        </w:rPr>
        <w:t>The corporation shall advance to any person who was or is a party or is threatened to be made a party to any threatened,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20"/>
          <w:szCs w:val="20"/>
          <w:b w:val="1"/>
          <w:bCs w:val="1"/>
          <w:i w:val="1"/>
          <w:iCs w:val="1"/>
          <w:color w:val="auto"/>
        </w:rPr>
        <w:t>undertaking</w:t>
      </w:r>
      <w:r>
        <w:rPr>
          <w:rFonts w:ascii="Times New Roman" w:cs="Times New Roman" w:eastAsia="Times New Roman" w:hAnsi="Times New Roman"/>
          <w:sz w:val="20"/>
          <w:szCs w:val="20"/>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20"/>
          <w:szCs w:val="20"/>
          <w:b w:val="1"/>
          <w:bCs w:val="1"/>
          <w:i w:val="1"/>
          <w:iCs w:val="1"/>
          <w:color w:val="auto"/>
        </w:rPr>
        <w:t>final adjudication</w:t>
      </w:r>
      <w:r>
        <w:rPr>
          <w:rFonts w:ascii="Times New Roman" w:cs="Times New Roman" w:eastAsia="Times New Roman" w:hAnsi="Times New Roman"/>
          <w:sz w:val="20"/>
          <w:szCs w:val="20"/>
          <w:color w:val="auto"/>
        </w:rPr>
        <w:t>”) that such indemnitee is not entitled to be indemnified for such expenses under this Section 46 or otherwise.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unless otherwise determined pursuant to paragraph (d) of this Section 46, no advance shall be made</w:t>
      </w:r>
    </w:p>
    <w:p>
      <w:pPr>
        <w:spacing w:after="0" w:line="215" w:lineRule="auto"/>
        <w:rPr>
          <w:sz w:val="20"/>
          <w:szCs w:val="20"/>
          <w:color w:val="auto"/>
        </w:rPr>
      </w:pPr>
      <w:r>
        <w:rPr>
          <w:rFonts w:ascii="Times New Roman" w:cs="Times New Roman" w:eastAsia="Times New Roman" w:hAnsi="Times New Roman"/>
          <w:sz w:val="19"/>
          <w:szCs w:val="19"/>
          <w:color w:val="auto"/>
        </w:rPr>
        <w:t>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w:t>
      </w:r>
    </w:p>
    <w:p>
      <w:pPr>
        <w:spacing w:after="0" w:line="211" w:lineRule="auto"/>
        <w:rPr>
          <w:sz w:val="20"/>
          <w:szCs w:val="20"/>
          <w:color w:val="auto"/>
        </w:rPr>
      </w:pPr>
      <w:r>
        <w:rPr>
          <w:rFonts w:ascii="Times New Roman" w:cs="Times New Roman" w:eastAsia="Times New Roman" w:hAnsi="Times New Roman"/>
          <w:sz w:val="20"/>
          <w:szCs w:val="20"/>
          <w:color w:val="auto"/>
        </w:rPr>
        <w:t>majority vote of directors who were not parties to the Proceeding, even if not a quorum, or (ii) by a committee of such directors designated</w:t>
      </w:r>
    </w:p>
    <w:p>
      <w:pPr>
        <w:spacing w:after="0" w:line="204" w:lineRule="auto"/>
        <w:rPr>
          <w:sz w:val="20"/>
          <w:szCs w:val="20"/>
          <w:color w:val="auto"/>
        </w:rPr>
      </w:pPr>
      <w:r>
        <w:rPr>
          <w:rFonts w:ascii="Times New Roman" w:cs="Times New Roman" w:eastAsia="Times New Roman" w:hAnsi="Times New Roman"/>
          <w:sz w:val="20"/>
          <w:szCs w:val="20"/>
          <w:color w:val="auto"/>
        </w:rPr>
        <w:t>by a majority vote of such directors, even though less than a quorum, or (iii) if there are no such directors, or such directors so direct, by independent legal counsel in a written opinion, that the facts known to the decision-making party at the time such determination is made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demonstrate clearly and convincingly that such person acted in bad faith or in a manner that such person did not believe to be in or not opposed to the best interests of the corporation.</w:t>
      </w:r>
    </w:p>
    <w:p>
      <w:pPr>
        <w:spacing w:after="0" w:line="158" w:lineRule="exact"/>
        <w:rPr>
          <w:sz w:val="20"/>
          <w:szCs w:val="20"/>
          <w:color w:val="auto"/>
        </w:rPr>
      </w:pPr>
    </w:p>
    <w:p>
      <w:pPr>
        <w:jc w:val="both"/>
        <w:ind w:firstLine="8"/>
        <w:spacing w:after="0" w:line="209" w:lineRule="auto"/>
        <w:tabs>
          <w:tab w:leader="none" w:pos="647"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Without the necessity of entering into an express contract, all rights to indemnification and advances to directors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officers under this Section 46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46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the director or executive officer is not entitled to be indemnified, or to such advancement of expenses, under this Section 46 or otherwise shall be on the corporation.</w:t>
      </w:r>
    </w:p>
    <w:p>
      <w:pPr>
        <w:spacing w:after="0" w:line="144" w:lineRule="exact"/>
        <w:rPr>
          <w:sz w:val="20"/>
          <w:szCs w:val="20"/>
          <w:color w:val="auto"/>
        </w:rPr>
      </w:pPr>
    </w:p>
    <w:p>
      <w:pPr>
        <w:jc w:val="both"/>
        <w:ind w:firstLine="8"/>
        <w:spacing w:after="0" w:line="232" w:lineRule="auto"/>
        <w:tabs>
          <w:tab w:leader="none" w:pos="638"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Non-Exclusivity of Rights. </w:t>
      </w:r>
      <w:r>
        <w:rPr>
          <w:rFonts w:ascii="Times New Roman" w:cs="Times New Roman" w:eastAsia="Times New Roman" w:hAnsi="Times New Roman"/>
          <w:sz w:val="19"/>
          <w:szCs w:val="19"/>
          <w:color w:val="auto"/>
        </w:rPr>
        <w:t>The rights conferred on any person by this Section 46 shall not be exclusive of any other right that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59" w:lineRule="exact"/>
        <w:rPr>
          <w:rFonts w:ascii="Times New Roman" w:cs="Times New Roman" w:eastAsia="Times New Roman" w:hAnsi="Times New Roman"/>
          <w:sz w:val="19"/>
          <w:szCs w:val="19"/>
          <w:b w:val="1"/>
          <w:bCs w:val="1"/>
          <w:color w:val="auto"/>
        </w:rPr>
      </w:pPr>
    </w:p>
    <w:p>
      <w:pPr>
        <w:ind w:firstLine="8"/>
        <w:spacing w:after="0" w:line="255" w:lineRule="auto"/>
        <w:tabs>
          <w:tab w:leader="none" w:pos="643"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Survival of Rights. </w:t>
      </w:r>
      <w:r>
        <w:rPr>
          <w:rFonts w:ascii="Times New Roman" w:cs="Times New Roman" w:eastAsia="Times New Roman" w:hAnsi="Times New Roman"/>
          <w:sz w:val="19"/>
          <w:szCs w:val="19"/>
          <w:color w:val="auto"/>
        </w:rPr>
        <w:t>The rights conferred on any person by this Bylaw shall continue as to a person who has ceased to be a director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executive officer or officer, employee or other agent and shall inure to the benefit of the heirs, executors and administrators of such a person.</w:t>
      </w:r>
    </w:p>
    <w:p>
      <w:pPr>
        <w:spacing w:after="0" w:line="143" w:lineRule="exact"/>
        <w:rPr>
          <w:rFonts w:ascii="Times New Roman" w:cs="Times New Roman" w:eastAsia="Times New Roman" w:hAnsi="Times New Roman"/>
          <w:sz w:val="19"/>
          <w:szCs w:val="19"/>
          <w:b w:val="1"/>
          <w:bCs w:val="1"/>
          <w:color w:val="auto"/>
        </w:rPr>
      </w:pPr>
    </w:p>
    <w:p>
      <w:pPr>
        <w:ind w:firstLine="8"/>
        <w:spacing w:after="0" w:line="270" w:lineRule="auto"/>
        <w:tabs>
          <w:tab w:leader="none" w:pos="636"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Insurance. </w:t>
      </w:r>
      <w:r>
        <w:rPr>
          <w:rFonts w:ascii="Times New Roman" w:cs="Times New Roman" w:eastAsia="Times New Roman" w:hAnsi="Times New Roman"/>
          <w:sz w:val="19"/>
          <w:szCs w:val="19"/>
          <w:color w:val="auto"/>
        </w:rPr>
        <w:t>To the fullest extent permitted by the DGCL or any other applicable law, the corporation, upon approval by the Board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Directors, may purchase and maintain insurance on behalf of any person required or permitted to be indemnified pursuant to this Section 46.</w:t>
      </w:r>
    </w:p>
    <w:p>
      <w:pPr>
        <w:spacing w:after="0" w:line="115" w:lineRule="exact"/>
        <w:rPr>
          <w:rFonts w:ascii="Times New Roman" w:cs="Times New Roman" w:eastAsia="Times New Roman" w:hAnsi="Times New Roman"/>
          <w:sz w:val="19"/>
          <w:szCs w:val="19"/>
          <w:b w:val="1"/>
          <w:bCs w:val="1"/>
          <w:color w:val="auto"/>
        </w:rPr>
      </w:pPr>
    </w:p>
    <w:p>
      <w:pPr>
        <w:jc w:val="both"/>
        <w:ind w:firstLine="8"/>
        <w:spacing w:after="0" w:line="232" w:lineRule="auto"/>
        <w:tabs>
          <w:tab w:leader="none" w:pos="647"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Amendments. </w:t>
      </w:r>
      <w:r>
        <w:rPr>
          <w:rFonts w:ascii="Times New Roman" w:cs="Times New Roman" w:eastAsia="Times New Roman" w:hAnsi="Times New Roman"/>
          <w:sz w:val="20"/>
          <w:szCs w:val="20"/>
          <w:color w:val="auto"/>
        </w:rPr>
        <w:t>Any repeal or modification of this Section 46 shall only be prospective and shall not affect the rights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46 as in effect at the time of the alleged occurrence of any action or omission to act that is the cause of any Proceeding against any agent of the corporation.</w:t>
      </w:r>
    </w:p>
    <w:p>
      <w:pPr>
        <w:spacing w:after="0" w:line="143" w:lineRule="exact"/>
        <w:rPr>
          <w:rFonts w:ascii="Times New Roman" w:cs="Times New Roman" w:eastAsia="Times New Roman" w:hAnsi="Times New Roman"/>
          <w:sz w:val="20"/>
          <w:szCs w:val="20"/>
          <w:b w:val="1"/>
          <w:bCs w:val="1"/>
          <w:color w:val="auto"/>
        </w:rPr>
      </w:pPr>
    </w:p>
    <w:p>
      <w:pPr>
        <w:jc w:val="both"/>
        <w:ind w:firstLine="8"/>
        <w:spacing w:after="0" w:line="220" w:lineRule="auto"/>
        <w:tabs>
          <w:tab w:leader="none" w:pos="646"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Saving Clause. </w:t>
      </w:r>
      <w:r>
        <w:rPr>
          <w:rFonts w:ascii="Times New Roman" w:cs="Times New Roman" w:eastAsia="Times New Roman" w:hAnsi="Times New Roman"/>
          <w:sz w:val="20"/>
          <w:szCs w:val="20"/>
          <w:color w:val="auto"/>
        </w:rPr>
        <w:t>If this Article XI or any portion hereof shall be invalidated on any ground by any court of competent jurisdiction,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then 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pacing w:after="0" w:line="147" w:lineRule="exact"/>
        <w:rPr>
          <w:rFonts w:ascii="Times New Roman" w:cs="Times New Roman" w:eastAsia="Times New Roman" w:hAnsi="Times New Roman"/>
          <w:sz w:val="20"/>
          <w:szCs w:val="20"/>
          <w:b w:val="1"/>
          <w:bCs w:val="1"/>
          <w:color w:val="auto"/>
        </w:rPr>
      </w:pPr>
    </w:p>
    <w:p>
      <w:pPr>
        <w:ind w:firstLine="8"/>
        <w:spacing w:after="0" w:line="245" w:lineRule="auto"/>
        <w:tabs>
          <w:tab w:leader="none" w:pos="643"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Certain Definitions and Construction of Terms. </w:t>
      </w:r>
      <w:r>
        <w:rPr>
          <w:rFonts w:ascii="Times New Roman" w:cs="Times New Roman" w:eastAsia="Times New Roman" w:hAnsi="Times New Roman"/>
          <w:sz w:val="20"/>
          <w:szCs w:val="20"/>
          <w:color w:val="auto"/>
        </w:rPr>
        <w:t>For the purposes of Article XI of the Bylaws, the following definitions and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construction shall apply:</w:t>
      </w:r>
    </w:p>
    <w:p>
      <w:pPr>
        <w:spacing w:after="0" w:line="151" w:lineRule="exact"/>
        <w:rPr>
          <w:sz w:val="20"/>
          <w:szCs w:val="20"/>
          <w:color w:val="auto"/>
        </w:rPr>
      </w:pPr>
    </w:p>
    <w:p>
      <w:pPr>
        <w:jc w:val="both"/>
        <w:ind w:firstLine="8"/>
        <w:spacing w:after="0" w:line="227" w:lineRule="auto"/>
        <w:tabs>
          <w:tab w:leader="none" w:pos="646"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57" w:lineRule="exact"/>
        <w:rPr>
          <w:rFonts w:ascii="Times New Roman" w:cs="Times New Roman" w:eastAsia="Times New Roman" w:hAnsi="Times New Roman"/>
          <w:sz w:val="20"/>
          <w:szCs w:val="20"/>
          <w:b w:val="1"/>
          <w:bCs w:val="1"/>
          <w:color w:val="auto"/>
        </w:rPr>
      </w:pPr>
    </w:p>
    <w:p>
      <w:pPr>
        <w:ind w:firstLine="8"/>
        <w:spacing w:after="0" w:line="255" w:lineRule="auto"/>
        <w:tabs>
          <w:tab w:leader="none" w:pos="647" w:val="left"/>
        </w:tabs>
        <w:numPr>
          <w:ilvl w:val="0"/>
          <w:numId w:val="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i w:val="1"/>
          <w:iCs w:val="1"/>
          <w:color w:val="auto"/>
        </w:rPr>
        <w:t>expenses</w:t>
      </w:r>
      <w:r>
        <w:rPr>
          <w:rFonts w:ascii="Times New Roman" w:cs="Times New Roman" w:eastAsia="Times New Roman" w:hAnsi="Times New Roman"/>
          <w:sz w:val="19"/>
          <w:szCs w:val="19"/>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43" w:lineRule="exact"/>
        <w:rPr>
          <w:rFonts w:ascii="Times New Roman" w:cs="Times New Roman" w:eastAsia="Times New Roman" w:hAnsi="Times New Roman"/>
          <w:sz w:val="19"/>
          <w:szCs w:val="19"/>
          <w:b w:val="1"/>
          <w:bCs w:val="1"/>
          <w:color w:val="auto"/>
        </w:rPr>
      </w:pPr>
    </w:p>
    <w:p>
      <w:pPr>
        <w:jc w:val="both"/>
        <w:ind w:firstLine="8"/>
        <w:spacing w:after="0" w:line="216" w:lineRule="auto"/>
        <w:tabs>
          <w:tab w:leader="none" w:pos="648"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term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46 with respect to the resulting or surviving corporation as he would have with respect to such constituent corporation if its separate existence had continued.</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27" w:lineRule="auto"/>
        <w:tabs>
          <w:tab w:leader="none" w:pos="637"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References to a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99" w:right="339" w:bottom="1440" w:gutter="0" w:footer="0" w:header="0"/>
        </w:sectPr>
      </w:pPr>
    </w:p>
    <w:bookmarkStart w:id="136" w:name="page137"/>
    <w:bookmarkEnd w:id="136"/>
    <w:p>
      <w:pPr>
        <w:jc w:val="both"/>
        <w:ind w:firstLine="8"/>
        <w:spacing w:after="0" w:line="217" w:lineRule="auto"/>
        <w:tabs>
          <w:tab w:leader="none" w:pos="636"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i w:val="1"/>
          <w:iCs w:val="1"/>
          <w:color w:val="auto"/>
        </w:rPr>
        <w:t>Another Enterprise</w:t>
      </w:r>
      <w:r>
        <w:rPr>
          <w:rFonts w:ascii="Times New Roman" w:cs="Times New Roman" w:eastAsia="Times New Roman" w:hAnsi="Times New Roman"/>
          <w:sz w:val="20"/>
          <w:szCs w:val="20"/>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46.</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NOTICES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189" w:lineRule="exact"/>
        <w:rPr>
          <w:sz w:val="20"/>
          <w:szCs w:val="20"/>
          <w:color w:val="auto"/>
        </w:rPr>
      </w:pPr>
    </w:p>
    <w:p>
      <w:pPr>
        <w:jc w:val="both"/>
        <w:ind w:firstLine="8"/>
        <w:spacing w:after="0" w:line="223" w:lineRule="auto"/>
        <w:tabs>
          <w:tab w:leader="none" w:pos="636"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to Stockholders. </w:t>
      </w:r>
      <w:r>
        <w:rPr>
          <w:rFonts w:ascii="Times New Roman" w:cs="Times New Roman" w:eastAsia="Times New Roman" w:hAnsi="Times New Roman"/>
          <w:sz w:val="20"/>
          <w:szCs w:val="20"/>
          <w:color w:val="auto"/>
        </w:rPr>
        <w:t>Notice to stockholders of stockholder meetings shall be given as provided in Section 7. Without limiting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144" w:lineRule="exact"/>
        <w:rPr>
          <w:rFonts w:ascii="Times New Roman" w:cs="Times New Roman" w:eastAsia="Times New Roman" w:hAnsi="Times New Roman"/>
          <w:sz w:val="20"/>
          <w:szCs w:val="20"/>
          <w:b w:val="1"/>
          <w:bCs w:val="1"/>
          <w:color w:val="auto"/>
        </w:rPr>
      </w:pPr>
    </w:p>
    <w:p>
      <w:pPr>
        <w:jc w:val="both"/>
        <w:ind w:firstLine="8"/>
        <w:spacing w:after="0" w:line="223" w:lineRule="auto"/>
        <w:tabs>
          <w:tab w:leader="none" w:pos="647"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to Directors. </w:t>
      </w:r>
      <w:r>
        <w:rPr>
          <w:rFonts w:ascii="Times New Roman" w:cs="Times New Roman" w:eastAsia="Times New Roman" w:hAnsi="Times New Roman"/>
          <w:sz w:val="20"/>
          <w:szCs w:val="20"/>
          <w:color w:val="auto"/>
        </w:rPr>
        <w:t>Any notice required to be given to any director may be given by the method stated in subsection (a),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provided in the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post office address of such director.</w:t>
      </w:r>
    </w:p>
    <w:p>
      <w:pPr>
        <w:spacing w:after="0" w:line="157" w:lineRule="exact"/>
        <w:rPr>
          <w:rFonts w:ascii="Times New Roman" w:cs="Times New Roman" w:eastAsia="Times New Roman" w:hAnsi="Times New Roman"/>
          <w:sz w:val="20"/>
          <w:szCs w:val="20"/>
          <w:b w:val="1"/>
          <w:bCs w:val="1"/>
          <w:color w:val="auto"/>
        </w:rPr>
      </w:pPr>
    </w:p>
    <w:p>
      <w:pPr>
        <w:jc w:val="both"/>
        <w:ind w:firstLine="8"/>
        <w:spacing w:after="0" w:line="223" w:lineRule="auto"/>
        <w:tabs>
          <w:tab w:leader="none" w:pos="638"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Affidavit of Mailing. </w:t>
      </w:r>
      <w:r>
        <w:rPr>
          <w:rFonts w:ascii="Times New Roman" w:cs="Times New Roman" w:eastAsia="Times New Roman" w:hAnsi="Times New Roman"/>
          <w:sz w:val="20"/>
          <w:szCs w:val="20"/>
          <w:color w:val="auto"/>
        </w:rPr>
        <w:t>An affidavit of mailing, executed by a duly authorized and competent employee of the corporation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44" w:lineRule="exact"/>
        <w:rPr>
          <w:rFonts w:ascii="Times New Roman" w:cs="Times New Roman" w:eastAsia="Times New Roman" w:hAnsi="Times New Roman"/>
          <w:sz w:val="20"/>
          <w:szCs w:val="20"/>
          <w:b w:val="1"/>
          <w:bCs w:val="1"/>
          <w:color w:val="auto"/>
        </w:rPr>
      </w:pPr>
    </w:p>
    <w:p>
      <w:pPr>
        <w:jc w:val="both"/>
        <w:ind w:firstLine="8"/>
        <w:spacing w:after="0" w:line="232" w:lineRule="auto"/>
        <w:tabs>
          <w:tab w:leader="none" w:pos="647"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Methods of Notice. </w:t>
      </w:r>
      <w:r>
        <w:rPr>
          <w:rFonts w:ascii="Times New Roman" w:cs="Times New Roman" w:eastAsia="Times New Roman" w:hAnsi="Times New Roman"/>
          <w:sz w:val="20"/>
          <w:szCs w:val="20"/>
          <w:color w:val="auto"/>
        </w:rPr>
        <w:t>It shall not be necessary that the same method of giving notice be employed in respect of all recipients of notice,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one permissible method may be employed in respect of any one or more, and any other permissible method or methods may be employed in respect of any other or others.</w:t>
      </w:r>
    </w:p>
    <w:p>
      <w:pPr>
        <w:spacing w:after="0" w:line="143" w:lineRule="exact"/>
        <w:rPr>
          <w:rFonts w:ascii="Times New Roman" w:cs="Times New Roman" w:eastAsia="Times New Roman" w:hAnsi="Times New Roman"/>
          <w:sz w:val="20"/>
          <w:szCs w:val="20"/>
          <w:b w:val="1"/>
          <w:bCs w:val="1"/>
          <w:color w:val="auto"/>
        </w:rPr>
      </w:pPr>
    </w:p>
    <w:p>
      <w:pPr>
        <w:jc w:val="both"/>
        <w:ind w:firstLine="8"/>
        <w:spacing w:after="0" w:line="215" w:lineRule="auto"/>
        <w:tabs>
          <w:tab w:leader="none" w:pos="638"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to Person with Whom Communication is Unlawful. </w:t>
      </w:r>
      <w:r>
        <w:rPr>
          <w:rFonts w:ascii="Times New Roman" w:cs="Times New Roman" w:eastAsia="Times New Roman" w:hAnsi="Times New Roman"/>
          <w:sz w:val="20"/>
          <w:szCs w:val="20"/>
          <w:color w:val="auto"/>
        </w:rPr>
        <w:t>Whenever notice is required to be given, under applicable law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60" w:lineRule="exact"/>
        <w:rPr>
          <w:rFonts w:ascii="Times New Roman" w:cs="Times New Roman" w:eastAsia="Times New Roman" w:hAnsi="Times New Roman"/>
          <w:sz w:val="20"/>
          <w:szCs w:val="20"/>
          <w:b w:val="1"/>
          <w:bCs w:val="1"/>
          <w:color w:val="auto"/>
        </w:rPr>
      </w:pPr>
    </w:p>
    <w:p>
      <w:pPr>
        <w:jc w:val="both"/>
        <w:ind w:firstLine="8"/>
        <w:spacing w:after="0" w:line="218" w:lineRule="auto"/>
        <w:tabs>
          <w:tab w:leader="none" w:pos="643"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 to Stockholders Sharing an Address. </w:t>
      </w:r>
      <w:r>
        <w:rPr>
          <w:rFonts w:ascii="Times New Roman" w:cs="Times New Roman" w:eastAsia="Times New Roman" w:hAnsi="Times New Roman"/>
          <w:sz w:val="20"/>
          <w:szCs w:val="20"/>
          <w:color w:val="auto"/>
        </w:rPr>
        <w:t>Except as otherwise prohibited under the DGCL, any notice given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5" w:right="339" w:bottom="1440" w:gutter="0" w:footer="0" w:header="0"/>
        </w:sectPr>
      </w:pPr>
    </w:p>
    <w:bookmarkStart w:id="137" w:name="page138"/>
    <w:bookmarkEnd w:id="137"/>
    <w:p>
      <w:pPr>
        <w:ind w:left="4660"/>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16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AMENDMENTS</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20"/>
          <w:szCs w:val="20"/>
          <w:b w:val="1"/>
          <w:bCs w:val="1"/>
          <w:color w:val="auto"/>
        </w:rPr>
        <w:t xml:space="preserve">Amendments. </w:t>
      </w:r>
      <w:r>
        <w:rPr>
          <w:rFonts w:ascii="Times New Roman" w:cs="Times New Roman" w:eastAsia="Times New Roman" w:hAnsi="Times New Roman"/>
          <w:sz w:val="20"/>
          <w:szCs w:val="20"/>
          <w:color w:val="auto"/>
        </w:rPr>
        <w:t>Subject to the limitations set forth in Section 46(h) or the provisions of the Certificate of Incorporation, the</w:t>
      </w:r>
    </w:p>
    <w:p>
      <w:pPr>
        <w:spacing w:after="0" w:line="204" w:lineRule="auto"/>
        <w:rPr>
          <w:sz w:val="20"/>
          <w:szCs w:val="20"/>
          <w:color w:val="auto"/>
        </w:rPr>
      </w:pPr>
      <w:r>
        <w:rPr>
          <w:rFonts w:ascii="Times New Roman" w:cs="Times New Roman" w:eastAsia="Times New Roman" w:hAnsi="Times New Roman"/>
          <w:sz w:val="20"/>
          <w:szCs w:val="20"/>
          <w:color w:val="auto"/>
        </w:rPr>
        <w:t>Board of Directors is expressly empowered to adopt, amend or repeal the Bylaws of the corporation. Any adoption, amendment or repeal of the Bylaws of the corporation by the Board of Directors shall require the approval of a majority of the authorized number of directors.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stockholders also shall have power to adopt, amend or repeal the Bylaws of the corporation;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in addition to any vote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the holders of any class or series of stock of the corporation required by applicable law or by the Certificate of Incorporation, such action by stockholders shall require the affirmative vote of the holders of at least 66-2/3% of the voting power of all of the then-outstanding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capital stock of the corporation entitled to vote generally in the election of directors, voting together as a single class.</w:t>
      </w:r>
    </w:p>
    <w:p>
      <w:pPr>
        <w:spacing w:after="0" w:line="16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LOANS TO OFFICERS</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Section 1. Loans to Officers. </w:t>
      </w:r>
      <w:r>
        <w:rPr>
          <w:rFonts w:ascii="Times New Roman" w:cs="Times New Roman" w:eastAsia="Times New Roman" w:hAnsi="Times New Roman"/>
          <w:sz w:val="20"/>
          <w:szCs w:val="20"/>
          <w:color w:val="auto"/>
        </w:rPr>
        <w:t>Except as otherwise prohibited by applicable law, the corporation may lend money to, or guarantee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of, or otherwise assist any officer or other employee of the corporation or of its subsidiaries, including any officer or employee</w:t>
      </w:r>
    </w:p>
    <w:p>
      <w:pPr>
        <w:spacing w:after="0" w:line="213" w:lineRule="auto"/>
        <w:rPr>
          <w:sz w:val="20"/>
          <w:szCs w:val="20"/>
          <w:color w:val="auto"/>
        </w:rPr>
      </w:pPr>
      <w:r>
        <w:rPr>
          <w:rFonts w:ascii="Times New Roman" w:cs="Times New Roman" w:eastAsia="Times New Roman" w:hAnsi="Times New Roman"/>
          <w:sz w:val="20"/>
          <w:szCs w:val="20"/>
          <w:color w:val="auto"/>
        </w:rPr>
        <w:t>who is a director of the corporation or its subsidiaries, whenever, in the judgment of the Board of Directors, such loan, guarantee or</w:t>
      </w:r>
    </w:p>
    <w:p>
      <w:pPr>
        <w:spacing w:after="0" w:line="215" w:lineRule="auto"/>
        <w:rPr>
          <w:sz w:val="20"/>
          <w:szCs w:val="20"/>
          <w:color w:val="auto"/>
        </w:rPr>
      </w:pPr>
      <w:r>
        <w:rPr>
          <w:rFonts w:ascii="Times New Roman" w:cs="Times New Roman" w:eastAsia="Times New Roman" w:hAnsi="Times New Roman"/>
          <w:sz w:val="19"/>
          <w:szCs w:val="19"/>
          <w:color w:val="auto"/>
        </w:rPr>
        <w:t>assistance may reasonably be expected to benefit the corporation. The loan, guarantee or other assistance may be with or without interest and may be unsecured, or secured in such manner as the Board of Directors shall approve, including, without limitation, a pledge of shares of</w:t>
      </w:r>
    </w:p>
    <w:p>
      <w:pPr>
        <w:spacing w:after="0" w:line="221" w:lineRule="auto"/>
        <w:rPr>
          <w:sz w:val="20"/>
          <w:szCs w:val="20"/>
          <w:color w:val="auto"/>
        </w:rPr>
      </w:pPr>
      <w:r>
        <w:rPr>
          <w:rFonts w:ascii="Times New Roman" w:cs="Times New Roman" w:eastAsia="Times New Roman" w:hAnsi="Times New Roman"/>
          <w:sz w:val="20"/>
          <w:szCs w:val="20"/>
          <w:color w:val="auto"/>
        </w:rPr>
        <w:t>stock of the corporation. Nothing in the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5" w:right="339" w:bottom="1440" w:gutter="0" w:footer="0" w:header="0"/>
        </w:sectPr>
      </w:pPr>
    </w:p>
    <w:bookmarkStart w:id="138" w:name="page139"/>
    <w:bookmarkEnd w:id="138"/>
    <w:p>
      <w:pPr>
        <w:spacing w:after="0" w:line="39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5"/>
          <w:szCs w:val="25"/>
          <w:b w:val="1"/>
          <w:bCs w:val="1"/>
          <w:color w:val="auto"/>
        </w:rPr>
        <w:t>CERTIFICATION OF AMENDED AND RESTATED BYLAWS</w:t>
      </w:r>
    </w:p>
    <w:p>
      <w:pPr>
        <w:ind w:left="5420"/>
        <w:spacing w:after="0" w:line="205" w:lineRule="auto"/>
        <w:rPr>
          <w:sz w:val="20"/>
          <w:szCs w:val="20"/>
          <w:color w:val="auto"/>
        </w:rPr>
      </w:pPr>
      <w:r>
        <w:rPr>
          <w:rFonts w:ascii="Times New Roman" w:cs="Times New Roman" w:eastAsia="Times New Roman" w:hAnsi="Times New Roman"/>
          <w:sz w:val="25"/>
          <w:szCs w:val="25"/>
          <w:b w:val="1"/>
          <w:bCs w:val="1"/>
          <w:color w:val="auto"/>
        </w:rPr>
        <w:t>OF</w:t>
      </w:r>
    </w:p>
    <w:p>
      <w:pPr>
        <w:jc w:val="center"/>
        <w:spacing w:after="0"/>
        <w:rPr>
          <w:sz w:val="20"/>
          <w:szCs w:val="20"/>
          <w:color w:val="auto"/>
        </w:rPr>
      </w:pPr>
      <w:r>
        <w:rPr>
          <w:rFonts w:ascii="Times New Roman" w:cs="Times New Roman" w:eastAsia="Times New Roman" w:hAnsi="Times New Roman"/>
          <w:sz w:val="25"/>
          <w:szCs w:val="25"/>
          <w:b w:val="1"/>
          <w:bCs w:val="1"/>
          <w:color w:val="auto"/>
        </w:rPr>
        <w:t>THE HONEST COMPANY, INC.</w:t>
      </w:r>
    </w:p>
    <w:p>
      <w:pPr>
        <w:spacing w:after="0" w:line="200" w:lineRule="exact"/>
        <w:rPr>
          <w:sz w:val="20"/>
          <w:szCs w:val="20"/>
          <w:color w:val="auto"/>
        </w:rPr>
      </w:pPr>
    </w:p>
    <w:p>
      <w:pPr>
        <w:spacing w:after="0" w:line="3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355" w:lineRule="exact"/>
        <w:rPr>
          <w:sz w:val="20"/>
          <w:szCs w:val="20"/>
          <w:color w:val="auto"/>
        </w:rPr>
      </w:pPr>
    </w:p>
    <w:p>
      <w:pPr>
        <w:jc w:val="both"/>
        <w:ind w:firstLine="648"/>
        <w:spacing w:after="0" w:line="483" w:lineRule="auto"/>
        <w:rPr>
          <w:sz w:val="20"/>
          <w:szCs w:val="20"/>
          <w:color w:val="auto"/>
        </w:rPr>
      </w:pPr>
      <w:r>
        <w:rPr>
          <w:rFonts w:ascii="Times New Roman" w:cs="Times New Roman" w:eastAsia="Times New Roman" w:hAnsi="Times New Roman"/>
          <w:sz w:val="22"/>
          <w:szCs w:val="22"/>
          <w:color w:val="auto"/>
        </w:rPr>
        <w:t>I, Brendan Sheehey, certify that I am Secretary of The Honest Company, Inc.,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that I am duly authorized to make and deliver this certification, and that the attached Amended and Restated Bylaws are a true and complete copy of the Amended and Restated Bylaws of the Corporation in effect as of the date of this certificate.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13, 2023</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Brendan Sheehey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2642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Brendan Sheehey,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u w:val="single" w:color="auto"/>
          <w:color w:val="auto"/>
        </w:rPr>
        <w:t>AMENDMENT TWENTY-TWO TO THE LOGISTICS SERVICES</w:t>
      </w:r>
    </w:p>
    <w:p>
      <w:pPr>
        <w:ind w:left="2680"/>
        <w:spacing w:after="0"/>
        <w:rPr>
          <w:sz w:val="20"/>
          <w:szCs w:val="20"/>
          <w:color w:val="auto"/>
        </w:rPr>
      </w:pPr>
      <w:r>
        <w:rPr>
          <w:rFonts w:ascii="Times New Roman" w:cs="Times New Roman" w:eastAsia="Times New Roman" w:hAnsi="Times New Roman"/>
          <w:sz w:val="20"/>
          <w:szCs w:val="20"/>
          <w:b w:val="1"/>
          <w:bCs w:val="1"/>
          <w:u w:val="single" w:color="auto"/>
          <w:color w:val="auto"/>
        </w:rPr>
        <w:t>AGREEMENT</w:t>
      </w:r>
    </w:p>
    <w:p>
      <w:pPr>
        <w:spacing w:after="0" w:line="26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This Amendment Twenty-Two to the Logistics Services Agreement (“</w:t>
      </w:r>
      <w:r>
        <w:rPr>
          <w:rFonts w:ascii="Times New Roman" w:cs="Times New Roman" w:eastAsia="Times New Roman" w:hAnsi="Times New Roman"/>
          <w:sz w:val="20"/>
          <w:szCs w:val="20"/>
          <w:b w:val="1"/>
          <w:bCs w:val="1"/>
          <w:color w:val="auto"/>
        </w:rPr>
        <w:t>Overflow Amendment</w:t>
      </w:r>
      <w:r>
        <w:rPr>
          <w:rFonts w:ascii="Times New Roman" w:cs="Times New Roman" w:eastAsia="Times New Roman" w:hAnsi="Times New Roman"/>
          <w:sz w:val="20"/>
          <w:szCs w:val="20"/>
          <w:color w:val="auto"/>
        </w:rPr>
        <w:t>”) is entered into as of December</w:t>
      </w:r>
    </w:p>
    <w:p>
      <w:pPr>
        <w:ind w:left="200" w:right="200"/>
        <w:spacing w:after="0" w:line="215" w:lineRule="auto"/>
        <w:rPr>
          <w:sz w:val="20"/>
          <w:szCs w:val="20"/>
          <w:color w:val="auto"/>
        </w:rPr>
      </w:pPr>
      <w:r>
        <w:rPr>
          <w:rFonts w:ascii="Times New Roman" w:cs="Times New Roman" w:eastAsia="Times New Roman" w:hAnsi="Times New Roman"/>
          <w:sz w:val="19"/>
          <w:szCs w:val="19"/>
          <w:color w:val="auto"/>
        </w:rPr>
        <w:t>8, 2022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and amends the Logistics Services Agreement (defined below) by and between GEODIS Logistics LLC, formerly known as Ozburn-Hessey Logistics, LLC (“</w:t>
      </w:r>
      <w:r>
        <w:rPr>
          <w:rFonts w:ascii="Times New Roman" w:cs="Times New Roman" w:eastAsia="Times New Roman" w:hAnsi="Times New Roman"/>
          <w:sz w:val="19"/>
          <w:szCs w:val="19"/>
          <w:b w:val="1"/>
          <w:bCs w:val="1"/>
          <w:color w:val="auto"/>
        </w:rPr>
        <w:t>GEODIS</w:t>
      </w:r>
      <w:r>
        <w:rPr>
          <w:rFonts w:ascii="Times New Roman" w:cs="Times New Roman" w:eastAsia="Times New Roman" w:hAnsi="Times New Roman"/>
          <w:sz w:val="19"/>
          <w:szCs w:val="19"/>
          <w:color w:val="auto"/>
        </w:rPr>
        <w:t>”), and The Honest Company (“</w:t>
      </w:r>
      <w:r>
        <w:rPr>
          <w:rFonts w:ascii="Times New Roman" w:cs="Times New Roman" w:eastAsia="Times New Roman" w:hAnsi="Times New Roman"/>
          <w:sz w:val="19"/>
          <w:szCs w:val="19"/>
          <w:b w:val="1"/>
          <w:bCs w:val="1"/>
          <w:color w:val="auto"/>
        </w:rPr>
        <w:t>Client</w:t>
      </w:r>
      <w:r>
        <w:rPr>
          <w:rFonts w:ascii="Times New Roman" w:cs="Times New Roman" w:eastAsia="Times New Roman" w:hAnsi="Times New Roman"/>
          <w:sz w:val="19"/>
          <w:szCs w:val="19"/>
          <w:color w:val="auto"/>
        </w:rPr>
        <w:t>”, and together with GEODIS, the</w:t>
      </w:r>
    </w:p>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ind w:left="840" w:hanging="311"/>
        <w:spacing w:after="0"/>
        <w:tabs>
          <w:tab w:leader="none" w:pos="84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GEODIS and Client entered into that certain Logistics Services Agreement, dated January 27, 2014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860" w:right="200" w:hanging="330"/>
        <w:spacing w:after="0"/>
        <w:tabs>
          <w:tab w:leader="none" w:pos="852"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the Agreement, GEODIS provides logistics and warehousing services for Client in a warehouse space located at 5550 Donovan Way, Las Vegas, NV (the “</w:t>
      </w:r>
      <w:r>
        <w:rPr>
          <w:rFonts w:ascii="Times New Roman" w:cs="Times New Roman" w:eastAsia="Times New Roman" w:hAnsi="Times New Roman"/>
          <w:sz w:val="20"/>
          <w:szCs w:val="20"/>
          <w:b w:val="1"/>
          <w:bCs w:val="1"/>
          <w:color w:val="auto"/>
        </w:rPr>
        <w:t>Main Facility</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b w:val="1"/>
          <w:bCs w:val="1"/>
          <w:color w:val="auto"/>
        </w:rPr>
      </w:pPr>
    </w:p>
    <w:p>
      <w:pPr>
        <w:jc w:val="both"/>
        <w:ind w:left="860" w:right="200" w:hanging="331"/>
        <w:spacing w:after="0" w:line="230" w:lineRule="auto"/>
        <w:tabs>
          <w:tab w:leader="none" w:pos="85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Client requires additional overflow warehouse space and GEODIS has agreed to provide additional warehouse space and services within the facility located at </w:t>
      </w:r>
      <w:r>
        <w:rPr>
          <w:rFonts w:ascii="Times New Roman" w:cs="Times New Roman" w:eastAsia="Times New Roman" w:hAnsi="Times New Roman"/>
          <w:sz w:val="17"/>
          <w:szCs w:val="17"/>
          <w:color w:val="auto"/>
        </w:rPr>
        <w:t>is</w:t>
      </w:r>
      <w:r>
        <w:rPr>
          <w:rFonts w:ascii="Times New Roman" w:cs="Times New Roman" w:eastAsia="Times New Roman" w:hAnsi="Times New Roman"/>
          <w:sz w:val="20"/>
          <w:szCs w:val="20"/>
          <w:color w:val="auto"/>
        </w:rPr>
        <w:t xml:space="preserve"> 13053 San Bernardino Ave., Fontana, CA 92335 (the “</w:t>
      </w:r>
      <w:r>
        <w:rPr>
          <w:rFonts w:ascii="Times New Roman" w:cs="Times New Roman" w:eastAsia="Times New Roman" w:hAnsi="Times New Roman"/>
          <w:sz w:val="20"/>
          <w:szCs w:val="20"/>
          <w:b w:val="1"/>
          <w:bCs w:val="1"/>
          <w:color w:val="auto"/>
        </w:rPr>
        <w:t>Overflow Warehouse</w:t>
      </w:r>
      <w:r>
        <w:rPr>
          <w:rFonts w:ascii="Times New Roman" w:cs="Times New Roman" w:eastAsia="Times New Roman" w:hAnsi="Times New Roman"/>
          <w:sz w:val="20"/>
          <w:szCs w:val="20"/>
          <w:color w:val="auto"/>
        </w:rPr>
        <w:t>”), as further described herein.</w:t>
      </w:r>
    </w:p>
    <w:p>
      <w:pPr>
        <w:spacing w:after="0" w:line="122" w:lineRule="exact"/>
        <w:rPr>
          <w:sz w:val="20"/>
          <w:szCs w:val="20"/>
          <w:color w:val="auto"/>
        </w:rPr>
      </w:pPr>
    </w:p>
    <w:p>
      <w:pPr>
        <w:ind w:left="200" w:right="200" w:firstLine="648"/>
        <w:spacing w:after="0" w:line="254" w:lineRule="auto"/>
        <w:rPr>
          <w:sz w:val="20"/>
          <w:szCs w:val="20"/>
          <w:color w:val="auto"/>
        </w:rPr>
      </w:pPr>
      <w:r>
        <w:rPr>
          <w:rFonts w:ascii="Times New Roman" w:cs="Times New Roman" w:eastAsia="Times New Roman" w:hAnsi="Times New Roman"/>
          <w:sz w:val="19"/>
          <w:szCs w:val="19"/>
          <w:color w:val="auto"/>
        </w:rPr>
        <w:t>NOW, THEREFORE, in consideration of the mutual covenants and agreements set forth in the Agreement and this Overflow Amendment, and subject to the terms and conditions of the Agreement, with the exceptions defined below,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78053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6780530" cy="163195"/>
                    </a:xfrm>
                    <a:prstGeom prst="rect">
                      <a:avLst/>
                    </a:prstGeom>
                    <a:noFill/>
                  </pic:spPr>
                </pic:pic>
              </a:graphicData>
            </a:graphic>
          </wp:anchor>
        </w:drawing>
      </w:r>
    </w:p>
    <w:p>
      <w:pPr>
        <w:ind w:left="4020"/>
        <w:spacing w:after="0"/>
        <w:tabs>
          <w:tab w:leader="none" w:pos="4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Services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GEODIS will provide Client warehouse handling and storage services, specifically including the unloading of inbound containers,</w:t>
      </w:r>
    </w:p>
    <w:p>
      <w:pPr>
        <w:ind w:left="200" w:right="200"/>
        <w:spacing w:after="0" w:line="221" w:lineRule="auto"/>
        <w:rPr>
          <w:sz w:val="20"/>
          <w:szCs w:val="20"/>
          <w:color w:val="auto"/>
        </w:rPr>
      </w:pPr>
      <w:r>
        <w:rPr>
          <w:rFonts w:ascii="Times New Roman" w:cs="Times New Roman" w:eastAsia="Times New Roman" w:hAnsi="Times New Roman"/>
          <w:sz w:val="20"/>
          <w:szCs w:val="20"/>
          <w:color w:val="auto"/>
        </w:rPr>
        <w:t>inbound put-away, storage, adding corner board and wrapping outbound for pallet pick and outbound loading of trailers (the “</w:t>
      </w:r>
      <w:r>
        <w:rPr>
          <w:rFonts w:ascii="Times New Roman" w:cs="Times New Roman" w:eastAsia="Times New Roman" w:hAnsi="Times New Roman"/>
          <w:sz w:val="20"/>
          <w:szCs w:val="20"/>
          <w:b w:val="1"/>
          <w:bCs w:val="1"/>
          <w:color w:val="auto"/>
        </w:rPr>
        <w:t>Overflow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Services</w:t>
      </w:r>
      <w:r>
        <w:rPr>
          <w:rFonts w:ascii="Times New Roman" w:cs="Times New Roman" w:eastAsia="Times New Roman" w:hAnsi="Times New Roman"/>
          <w:sz w:val="20"/>
          <w:szCs w:val="20"/>
          <w:color w:val="auto"/>
        </w:rPr>
        <w:t>”) at the Overflow Warehouse.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terms and conditions set forth in the Agreement shall apply only to the Overflow Services contemplated hereunder; provided that,</w:t>
      </w:r>
    </w:p>
    <w:p>
      <w:pPr>
        <w:ind w:left="200" w:right="200"/>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(TERM),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(TERMINATION), and the Agreement exhibits (and language referencing such exhibits) shall not apply to the Overflow Services set forth herein and such terms shall be governed by this Overflow Amendment exclusively. The term</w:t>
      </w:r>
    </w:p>
    <w:p>
      <w:pPr>
        <w:jc w:val="center"/>
        <w:spacing w:after="0" w:line="211" w:lineRule="auto"/>
        <w:rPr>
          <w:sz w:val="20"/>
          <w:szCs w:val="20"/>
          <w:color w:val="auto"/>
        </w:rPr>
      </w:pPr>
      <w:r>
        <w:rPr>
          <w:rFonts w:ascii="Times New Roman" w:cs="Times New Roman" w:eastAsia="Times New Roman" w:hAnsi="Times New Roman"/>
          <w:sz w:val="20"/>
          <w:szCs w:val="20"/>
          <w:color w:val="auto"/>
        </w:rPr>
        <w:t>“Warehouse” in the Agreement shall be understood to mean the Overflow Warehouse specified herein as it relates to this Overflow</w:t>
      </w:r>
    </w:p>
    <w:p>
      <w:pPr>
        <w:spacing w:after="0" w:line="1" w:lineRule="exact"/>
        <w:rPr>
          <w:sz w:val="20"/>
          <w:szCs w:val="20"/>
          <w:color w:val="auto"/>
        </w:rPr>
      </w:pPr>
    </w:p>
    <w:p>
      <w:pPr>
        <w:ind w:left="200" w:right="200"/>
        <w:spacing w:after="0" w:line="204" w:lineRule="auto"/>
        <w:rPr>
          <w:sz w:val="20"/>
          <w:szCs w:val="20"/>
          <w:color w:val="auto"/>
        </w:rPr>
      </w:pPr>
      <w:r>
        <w:rPr>
          <w:rFonts w:ascii="Times New Roman" w:cs="Times New Roman" w:eastAsia="Times New Roman" w:hAnsi="Times New Roman"/>
          <w:sz w:val="20"/>
          <w:szCs w:val="20"/>
          <w:color w:val="auto"/>
        </w:rPr>
        <w:t>Amendment. Should the Agreement be terminated or expire during the Term of this Overflow Agreement, the terms and conditions therein shall continue to govern these Overflow Services until the Parties execute a new master agreement that expressly governs these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Overflow Services.</w:t>
      </w:r>
    </w:p>
    <w:p>
      <w:pPr>
        <w:spacing w:after="0" w:line="194" w:lineRule="exact"/>
        <w:rPr>
          <w:sz w:val="20"/>
          <w:szCs w:val="20"/>
          <w:color w:val="auto"/>
        </w:rPr>
      </w:pPr>
    </w:p>
    <w:p>
      <w:pPr>
        <w:ind w:left="200" w:right="200"/>
        <w:spacing w:after="0" w:line="233" w:lineRule="auto"/>
        <w:rPr>
          <w:sz w:val="20"/>
          <w:szCs w:val="20"/>
          <w:color w:val="auto"/>
        </w:rPr>
      </w:pPr>
      <w:r>
        <w:rPr>
          <w:rFonts w:ascii="Times New Roman" w:cs="Times New Roman" w:eastAsia="Times New Roman" w:hAnsi="Times New Roman"/>
          <w:sz w:val="20"/>
          <w:szCs w:val="20"/>
          <w:color w:val="auto"/>
        </w:rPr>
        <w:t>Should there be any other conflicts or inconsistencies between this Overflow Amendment and the Agreement, the provisions of this Overflow Amendment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866255"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6866255" cy="162560"/>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18"/>
          <w:szCs w:val="18"/>
          <w:b w:val="1"/>
          <w:bCs w:val="1"/>
          <w:color w:val="auto"/>
        </w:rPr>
        <w:t>2. Term of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term for the Overflow Services is to begin December 8, 2022 and expire on February 28, 2023 (the “Initial Term”). After such time,</w:t>
      </w:r>
    </w:p>
    <w:p>
      <w:pPr>
        <w:ind w:left="200" w:right="200"/>
        <w:spacing w:after="0" w:line="204" w:lineRule="auto"/>
        <w:rPr>
          <w:sz w:val="20"/>
          <w:szCs w:val="20"/>
          <w:color w:val="auto"/>
        </w:rPr>
      </w:pPr>
      <w:r>
        <w:rPr>
          <w:rFonts w:ascii="Times New Roman" w:cs="Times New Roman" w:eastAsia="Times New Roman" w:hAnsi="Times New Roman"/>
          <w:sz w:val="20"/>
          <w:szCs w:val="20"/>
          <w:color w:val="auto"/>
        </w:rPr>
        <w:t>upon written agreement by both Parties, the Overflow Services may renew each month in successive one (1) month periods (each a “Renewal Term,” collectively with the Initial Term, the “Term”). Following the Initial Term, either Party may terminate the Overflow</w:t>
      </w:r>
    </w:p>
    <w:p>
      <w:pPr>
        <w:spacing w:after="0" w:line="1" w:lineRule="exact"/>
        <w:rPr>
          <w:sz w:val="20"/>
          <w:szCs w:val="20"/>
          <w:color w:val="auto"/>
        </w:rPr>
      </w:pPr>
    </w:p>
    <w:p>
      <w:pPr>
        <w:ind w:left="200" w:right="200"/>
        <w:spacing w:after="0" w:line="228" w:lineRule="auto"/>
        <w:rPr>
          <w:sz w:val="20"/>
          <w:szCs w:val="20"/>
          <w:color w:val="auto"/>
        </w:rPr>
      </w:pPr>
      <w:r>
        <w:rPr>
          <w:rFonts w:ascii="Times New Roman" w:cs="Times New Roman" w:eastAsia="Times New Roman" w:hAnsi="Times New Roman"/>
          <w:sz w:val="20"/>
          <w:szCs w:val="20"/>
          <w:color w:val="auto"/>
        </w:rPr>
        <w:t>Services under this Overflow Amendment for any reason whatsoever, in whole or in part, upon thirty (30) days’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00" w:right="33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08088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236" w:lineRule="exact"/>
        <w:rPr>
          <w:sz w:val="20"/>
          <w:szCs w:val="20"/>
          <w:color w:val="auto"/>
        </w:rPr>
      </w:pPr>
    </w:p>
    <w:p>
      <w:pPr>
        <w:ind w:left="3680" w:hanging="201"/>
        <w:spacing w:after="0"/>
        <w:tabs>
          <w:tab w:leader="none" w:pos="3680"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 Facts and Operating Parameters</w:t>
      </w:r>
    </w:p>
    <w:p>
      <w:pPr>
        <w:spacing w:after="0" w:line="194" w:lineRule="exact"/>
        <w:rPr>
          <w:rFonts w:ascii="Arial" w:cs="Arial" w:eastAsia="Arial" w:hAnsi="Arial"/>
          <w:sz w:val="18"/>
          <w:szCs w:val="18"/>
          <w:b w:val="1"/>
          <w:bCs w:val="1"/>
          <w:color w:val="auto"/>
        </w:rPr>
      </w:pPr>
    </w:p>
    <w:p>
      <w:pPr>
        <w:ind w:left="1160" w:hanging="307"/>
        <w:spacing w:after="0"/>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GEODIS to receive full pallets quantities for Client at the Overflow Warehouse</w:t>
      </w:r>
    </w:p>
    <w:p>
      <w:pPr>
        <w:spacing w:after="0" w:line="7" w:lineRule="exact"/>
        <w:rPr>
          <w:rFonts w:ascii="Arial" w:cs="Arial" w:eastAsia="Arial" w:hAnsi="Arial"/>
          <w:sz w:val="20"/>
          <w:szCs w:val="20"/>
          <w:color w:val="auto"/>
        </w:rPr>
      </w:pPr>
    </w:p>
    <w:p>
      <w:pPr>
        <w:ind w:left="1160" w:hanging="307"/>
        <w:spacing w:after="0" w:line="224"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GEODIS’ standard operating hours are 7:00 AM - 3:30 PM local time, Monday - Friday</w:t>
      </w:r>
    </w:p>
    <w:p>
      <w:pPr>
        <w:ind w:left="1180" w:right="420" w:hanging="327"/>
        <w:spacing w:after="0" w:line="210" w:lineRule="auto"/>
        <w:tabs>
          <w:tab w:leader="none" w:pos="1167"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At the full pallet level, GEODIS will provide unloading of trailers, inbound putaway, storage, outbound pallet pick, and outbound loading.</w:t>
      </w:r>
    </w:p>
    <w:p>
      <w:pPr>
        <w:spacing w:after="0" w:line="1" w:lineRule="exact"/>
        <w:rPr>
          <w:rFonts w:ascii="Arial" w:cs="Arial" w:eastAsia="Arial" w:hAnsi="Arial"/>
          <w:sz w:val="20"/>
          <w:szCs w:val="20"/>
          <w:color w:val="auto"/>
        </w:rPr>
      </w:pPr>
    </w:p>
    <w:p>
      <w:pPr>
        <w:ind w:left="1160" w:hanging="307"/>
        <w:spacing w:after="0" w:line="224"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Product: Personal Care</w:t>
      </w:r>
    </w:p>
    <w:p>
      <w:pPr>
        <w:ind w:left="1160" w:hanging="307"/>
        <w:spacing w:after="0" w:line="210"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SKUs: less than 100 SKUs</w:t>
      </w:r>
    </w:p>
    <w:p>
      <w:pPr>
        <w:ind w:left="1160" w:hanging="307"/>
        <w:spacing w:after="0" w:line="224"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Bulk storage: Floor storage – double stacked</w:t>
      </w:r>
    </w:p>
    <w:p>
      <w:pPr>
        <w:ind w:left="1160" w:hanging="307"/>
        <w:spacing w:after="0" w:line="224"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Minimum square footage allocation: 5,000 square feet*</w:t>
      </w:r>
    </w:p>
    <w:p>
      <w:pPr>
        <w:ind w:left="1160" w:hanging="306"/>
        <w:spacing w:after="0" w:line="210"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Maximum square footage allocation: 100,000 square feet</w:t>
      </w:r>
    </w:p>
    <w:p>
      <w:pPr>
        <w:ind w:left="1160" w:hanging="306"/>
        <w:spacing w:after="0" w:line="224" w:lineRule="auto"/>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Temperature controlled space: Ambient</w:t>
      </w:r>
    </w:p>
    <w:p>
      <w:pPr>
        <w:ind w:left="1160" w:hanging="306"/>
        <w:spacing w:after="0"/>
        <w:tabs>
          <w:tab w:leader="none" w:pos="1160" w:val="left"/>
        </w:tabs>
        <w:numPr>
          <w:ilvl w:val="0"/>
          <w:numId w:val="95"/>
        </w:numPr>
        <w:rPr>
          <w:rFonts w:ascii="Arial" w:cs="Arial" w:eastAsia="Arial" w:hAnsi="Arial"/>
          <w:sz w:val="20"/>
          <w:szCs w:val="20"/>
          <w:color w:val="auto"/>
        </w:rPr>
      </w:pPr>
      <w:r>
        <w:rPr>
          <w:rFonts w:ascii="Times New Roman" w:cs="Times New Roman" w:eastAsia="Times New Roman" w:hAnsi="Times New Roman"/>
          <w:sz w:val="20"/>
          <w:szCs w:val="20"/>
          <w:color w:val="auto"/>
        </w:rPr>
        <w:t>Hazmat or OTC SKUs in scope: Not in scope</w:t>
      </w:r>
    </w:p>
    <w:p>
      <w:pPr>
        <w:spacing w:after="0" w:line="152" w:lineRule="exact"/>
        <w:rPr>
          <w:sz w:val="20"/>
          <w:szCs w:val="20"/>
          <w:color w:val="auto"/>
        </w:rPr>
      </w:pPr>
    </w:p>
    <w:p>
      <w:pPr>
        <w:ind w:left="200"/>
        <w:spacing w:after="0" w:line="233" w:lineRule="auto"/>
        <w:rPr>
          <w:sz w:val="20"/>
          <w:szCs w:val="20"/>
          <w:color w:val="auto"/>
        </w:rPr>
      </w:pPr>
      <w:r>
        <w:rPr>
          <w:rFonts w:ascii="Times New Roman" w:cs="Times New Roman" w:eastAsia="Times New Roman" w:hAnsi="Times New Roman"/>
          <w:sz w:val="20"/>
          <w:szCs w:val="20"/>
          <w:color w:val="auto"/>
        </w:rPr>
        <w:t>*In the event Client requires more than 5,000 square feet of storage space, Client may assume additional square footage in 5,000 square foot increments, and Client shall be billed for the maximum square footage amount in use during the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96912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6969125" cy="163195"/>
                    </a:xfrm>
                    <a:prstGeom prst="rect">
                      <a:avLst/>
                    </a:prstGeom>
                    <a:noFill/>
                  </pic:spPr>
                </pic:pic>
              </a:graphicData>
            </a:graphic>
          </wp:anchor>
        </w:drawing>
      </w: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4. Rates and Invoicing</w:t>
      </w:r>
    </w:p>
    <w:p>
      <w:pPr>
        <w:spacing w:after="0" w:line="177" w:lineRule="exact"/>
        <w:rPr>
          <w:sz w:val="20"/>
          <w:szCs w:val="20"/>
          <w:color w:val="auto"/>
        </w:rPr>
      </w:pPr>
    </w:p>
    <w:p>
      <w:pPr>
        <w:ind w:left="200"/>
        <w:spacing w:after="0" w:line="217" w:lineRule="auto"/>
        <w:rPr>
          <w:sz w:val="20"/>
          <w:szCs w:val="20"/>
          <w:color w:val="auto"/>
        </w:rPr>
      </w:pPr>
      <w:r>
        <w:rPr>
          <w:rFonts w:ascii="Times New Roman" w:cs="Times New Roman" w:eastAsia="Times New Roman" w:hAnsi="Times New Roman"/>
          <w:sz w:val="20"/>
          <w:szCs w:val="20"/>
          <w:color w:val="auto"/>
        </w:rPr>
        <w:t>In consideration for the Overflow Services, Client shall pay GEODIS the fees and charges (“</w:t>
      </w:r>
      <w:r>
        <w:rPr>
          <w:rFonts w:ascii="Times New Roman" w:cs="Times New Roman" w:eastAsia="Times New Roman" w:hAnsi="Times New Roman"/>
          <w:sz w:val="20"/>
          <w:szCs w:val="20"/>
          <w:b w:val="1"/>
          <w:bCs w:val="1"/>
          <w:color w:val="auto"/>
        </w:rPr>
        <w:t>Rates</w:t>
      </w:r>
      <w:r>
        <w:rPr>
          <w:rFonts w:ascii="Times New Roman" w:cs="Times New Roman" w:eastAsia="Times New Roman" w:hAnsi="Times New Roman"/>
          <w:sz w:val="20"/>
          <w:szCs w:val="20"/>
          <w:color w:val="auto"/>
        </w:rPr>
        <w:t xml:space="preserve">”) set forth below. The Rates were determined in reliance on the operational parameters set forth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above, as well as other data, projections or information</w:t>
      </w:r>
    </w:p>
    <w:p>
      <w:pPr>
        <w:ind w:left="200"/>
        <w:spacing w:after="0" w:line="213" w:lineRule="auto"/>
        <w:rPr>
          <w:sz w:val="20"/>
          <w:szCs w:val="20"/>
          <w:color w:val="auto"/>
        </w:rPr>
      </w:pPr>
      <w:r>
        <w:rPr>
          <w:rFonts w:ascii="Times New Roman" w:cs="Times New Roman" w:eastAsia="Times New Roman" w:hAnsi="Times New Roman"/>
          <w:sz w:val="20"/>
          <w:szCs w:val="20"/>
          <w:color w:val="auto"/>
        </w:rPr>
        <w:t xml:space="preserve">provided to GEODIS by or on behalf of Client. Any variances or changes to (i) the operational parameters or forecasts in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(ii)</w:t>
      </w:r>
    </w:p>
    <w:p>
      <w:pPr>
        <w:ind w:left="200"/>
        <w:spacing w:after="0" w:line="221" w:lineRule="auto"/>
        <w:rPr>
          <w:sz w:val="20"/>
          <w:szCs w:val="20"/>
          <w:color w:val="auto"/>
        </w:rPr>
      </w:pPr>
      <w:r>
        <w:rPr>
          <w:rFonts w:ascii="Times New Roman" w:cs="Times New Roman" w:eastAsia="Times New Roman" w:hAnsi="Times New Roman"/>
          <w:sz w:val="20"/>
          <w:szCs w:val="20"/>
          <w:color w:val="auto"/>
        </w:rPr>
        <w:t>any other data, projections or information provided to GEODIS by or on behalf of Client, or (iii) the scope of Overflow Services from the Year One baseline values may result in additional costs or impact timelines and project plans.</w:t>
      </w:r>
    </w:p>
    <w:p>
      <w:pPr>
        <w:spacing w:after="0" w:line="198" w:lineRule="exact"/>
        <w:rPr>
          <w:sz w:val="20"/>
          <w:szCs w:val="20"/>
          <w:color w:val="auto"/>
        </w:rPr>
      </w:pPr>
    </w:p>
    <w:p>
      <w:pPr>
        <w:ind w:left="200"/>
        <w:spacing w:after="0" w:line="217" w:lineRule="auto"/>
        <w:rPr>
          <w:sz w:val="20"/>
          <w:szCs w:val="20"/>
          <w:color w:val="auto"/>
        </w:rPr>
      </w:pPr>
      <w:r>
        <w:rPr>
          <w:rFonts w:ascii="Times New Roman" w:cs="Times New Roman" w:eastAsia="Times New Roman" w:hAnsi="Times New Roman"/>
          <w:sz w:val="20"/>
          <w:szCs w:val="20"/>
          <w:b w:val="1"/>
          <w:bCs w:val="1"/>
          <w:u w:val="single" w:color="auto"/>
          <w:color w:val="auto"/>
        </w:rPr>
        <w:t>Pricing</w:t>
      </w:r>
      <w:r>
        <w:rPr>
          <w:rFonts w:ascii="Times New Roman" w:cs="Times New Roman" w:eastAsia="Times New Roman" w:hAnsi="Times New Roman"/>
          <w:sz w:val="20"/>
          <w:szCs w:val="20"/>
          <w:color w:val="auto"/>
        </w:rPr>
        <w:t>. Client and GEODIS agree to the fixed cost table below, wherein Client agrees to pay the expenses for the Overflow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plus an applicable mark-up, discussed herein. The fixed space rate costs include rent, CAM, and insurance related to the Overflow</w:t>
      </w:r>
    </w:p>
    <w:p>
      <w:pPr>
        <w:spacing w:after="0" w:line="2" w:lineRule="exact"/>
        <w:rPr>
          <w:sz w:val="20"/>
          <w:szCs w:val="20"/>
          <w:color w:val="auto"/>
        </w:rPr>
      </w:pPr>
    </w:p>
    <w:p>
      <w:pPr>
        <w:ind w:left="200"/>
        <w:spacing w:after="0" w:line="228" w:lineRule="auto"/>
        <w:rPr>
          <w:sz w:val="20"/>
          <w:szCs w:val="20"/>
          <w:color w:val="auto"/>
        </w:rPr>
      </w:pPr>
      <w:r>
        <w:rPr>
          <w:rFonts w:ascii="Times New Roman" w:cs="Times New Roman" w:eastAsia="Times New Roman" w:hAnsi="Times New Roman"/>
          <w:sz w:val="20"/>
          <w:szCs w:val="20"/>
          <w:color w:val="auto"/>
        </w:rPr>
        <w:t>Warehouse. The variable costs include, but are not limited to, direct hourly labor, indirect hourly labor, supplies, miscellaneous costs, salary labor, utilities, building repairs, maintenance, equipment, and systems cost.</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40"/>
          </w:cols>
          <w:pgMar w:left="320" w:top="1440" w:right="539" w:bottom="1440" w:gutter="0" w:footer="0" w:header="0"/>
        </w:sectPr>
      </w:pPr>
    </w:p>
    <w:bookmarkStart w:id="141" w:name="page142"/>
    <w:bookmarkEnd w:id="141"/>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1022985</wp:posOffset>
            </wp:positionV>
            <wp:extent cx="705485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jc w:val="center"/>
        <w:ind w:right="-379"/>
        <w:spacing w:after="0"/>
        <w:rPr>
          <w:sz w:val="20"/>
          <w:szCs w:val="20"/>
          <w:color w:val="auto"/>
        </w:rPr>
      </w:pPr>
      <w:r>
        <w:rPr>
          <w:rFonts w:ascii="Arial" w:cs="Arial" w:eastAsia="Arial" w:hAnsi="Arial"/>
          <w:sz w:val="18"/>
          <w:szCs w:val="18"/>
          <w:b w:val="1"/>
          <w:bCs w:val="1"/>
          <w:color w:val="auto"/>
        </w:rPr>
        <w:t>5. Separate Agreement</w:t>
      </w:r>
    </w:p>
    <w:p>
      <w:pPr>
        <w:sectPr>
          <w:pgSz w:w="11900" w:h="16838" w:orient="portrait"/>
          <w:cols w:equalWidth="0" w:num="1">
            <w:col w:w="10740"/>
          </w:cols>
          <w:pgMar w:left="320" w:top="1440" w:right="8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200" w:right="700"/>
        <w:spacing w:after="0"/>
        <w:rPr>
          <w:sz w:val="20"/>
          <w:szCs w:val="20"/>
          <w:color w:val="auto"/>
        </w:rPr>
      </w:pPr>
      <w:r>
        <w:rPr>
          <w:rFonts w:ascii="Times New Roman" w:cs="Times New Roman" w:eastAsia="Times New Roman" w:hAnsi="Times New Roman"/>
          <w:sz w:val="20"/>
          <w:szCs w:val="20"/>
          <w:color w:val="auto"/>
        </w:rPr>
        <w:t>Any termination, expiration, or breach of this Overflow Amendment shall have no bearing or effect on any other contractual relationships between the Parties.</w:t>
      </w:r>
    </w:p>
    <w:p>
      <w:pPr>
        <w:spacing w:after="0" w:line="188" w:lineRule="exact"/>
        <w:rPr>
          <w:sz w:val="20"/>
          <w:szCs w:val="20"/>
          <w:color w:val="auto"/>
        </w:rPr>
      </w:pPr>
    </w:p>
    <w:p>
      <w:pPr>
        <w:ind w:left="200" w:firstLine="647"/>
        <w:spacing w:after="0" w:line="233" w:lineRule="auto"/>
        <w:rPr>
          <w:sz w:val="20"/>
          <w:szCs w:val="20"/>
          <w:color w:val="auto"/>
        </w:rPr>
      </w:pPr>
      <w:r>
        <w:rPr>
          <w:rFonts w:ascii="Times New Roman" w:cs="Times New Roman" w:eastAsia="Times New Roman" w:hAnsi="Times New Roman"/>
          <w:sz w:val="20"/>
          <w:szCs w:val="20"/>
          <w:color w:val="auto"/>
        </w:rPr>
        <w:t>IN WITNESS WHEREOF, the Parties hereto have caused this Overflow Amendment to be executed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HONEST COMPANY, INC.</w:t>
            </w:r>
          </w:p>
        </w:tc>
        <w:tc>
          <w:tcPr>
            <w:tcW w:w="4460" w:type="dxa"/>
            <w:vAlign w:val="bottom"/>
            <w:gridSpan w:val="3"/>
          </w:tcPr>
          <w:p>
            <w:pPr>
              <w:ind w:left="2080"/>
              <w:spacing w:after="0"/>
              <w:rPr>
                <w:sz w:val="20"/>
                <w:szCs w:val="20"/>
                <w:color w:val="auto"/>
              </w:rPr>
            </w:pPr>
            <w:r>
              <w:rPr>
                <w:rFonts w:ascii="Times New Roman" w:cs="Times New Roman" w:eastAsia="Times New Roman" w:hAnsi="Times New Roman"/>
                <w:sz w:val="20"/>
                <w:szCs w:val="20"/>
                <w:b w:val="1"/>
                <w:bCs w:val="1"/>
                <w:color w:val="auto"/>
                <w:w w:val="98"/>
              </w:rPr>
              <w:t>GEODIS LOGISTICS LLC</w:t>
            </w:r>
          </w:p>
        </w:tc>
      </w:tr>
      <w:tr>
        <w:trPr>
          <w:trHeight w:val="212"/>
        </w:trPr>
        <w:tc>
          <w:tcPr>
            <w:tcW w:w="494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By: /s/ Kelly Kennedy</w:t>
            </w:r>
          </w:p>
        </w:tc>
        <w:tc>
          <w:tcPr>
            <w:tcW w:w="4460" w:type="dxa"/>
            <w:vAlign w:val="bottom"/>
            <w:gridSpan w:val="3"/>
          </w:tcPr>
          <w:p>
            <w:pPr>
              <w:ind w:left="2080"/>
              <w:spacing w:after="0" w:line="212" w:lineRule="exact"/>
              <w:rPr>
                <w:sz w:val="20"/>
                <w:szCs w:val="20"/>
                <w:color w:val="auto"/>
              </w:rPr>
            </w:pPr>
            <w:r>
              <w:rPr>
                <w:rFonts w:ascii="Times New Roman" w:cs="Times New Roman" w:eastAsia="Times New Roman" w:hAnsi="Times New Roman"/>
                <w:sz w:val="20"/>
                <w:szCs w:val="20"/>
                <w:color w:val="auto"/>
              </w:rPr>
              <w:t>By: /s/ Anthony Jordan</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1"/>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Kelly Kennedy</w:t>
            </w:r>
          </w:p>
        </w:tc>
        <w:tc>
          <w:tcPr>
            <w:tcW w:w="4460" w:type="dxa"/>
            <w:vAlign w:val="bottom"/>
            <w:gridSpan w:val="3"/>
          </w:tcPr>
          <w:p>
            <w:pPr>
              <w:ind w:left="2080"/>
              <w:spacing w:after="0"/>
              <w:rPr>
                <w:sz w:val="20"/>
                <w:szCs w:val="20"/>
                <w:color w:val="auto"/>
              </w:rPr>
            </w:pPr>
            <w:r>
              <w:rPr>
                <w:rFonts w:ascii="Times New Roman" w:cs="Times New Roman" w:eastAsia="Times New Roman" w:hAnsi="Times New Roman"/>
                <w:sz w:val="20"/>
                <w:szCs w:val="20"/>
                <w:color w:val="auto"/>
              </w:rPr>
              <w:t>Name: Anthony Jordan</w:t>
            </w:r>
          </w:p>
        </w:tc>
      </w:tr>
      <w:tr>
        <w:trPr>
          <w:trHeight w:val="258"/>
        </w:trPr>
        <w:tc>
          <w:tcPr>
            <w:tcW w:w="4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4460" w:type="dxa"/>
            <w:vAlign w:val="bottom"/>
            <w:gridSpan w:val="3"/>
          </w:tcPr>
          <w:p>
            <w:pPr>
              <w:ind w:left="2080"/>
              <w:spacing w:after="0"/>
              <w:rPr>
                <w:sz w:val="20"/>
                <w:szCs w:val="20"/>
                <w:color w:val="auto"/>
              </w:rPr>
            </w:pPr>
            <w:r>
              <w:rPr>
                <w:rFonts w:ascii="Times New Roman" w:cs="Times New Roman" w:eastAsia="Times New Roman" w:hAnsi="Times New Roman"/>
                <w:sz w:val="20"/>
                <w:szCs w:val="20"/>
                <w:color w:val="auto"/>
                <w:w w:val="98"/>
              </w:rPr>
              <w:t>Title: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40"/>
          </w:cols>
          <w:pgMar w:left="320" w:top="1440" w:right="83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51515"/>
        </w:rPr>
        <w:t>AMENDMENT TWENTY–THREE</w:t>
      </w:r>
    </w:p>
    <w:p>
      <w:pPr>
        <w:jc w:val="center"/>
        <w:spacing w:after="0"/>
        <w:rPr>
          <w:sz w:val="20"/>
          <w:szCs w:val="20"/>
          <w:color w:val="auto"/>
        </w:rPr>
      </w:pPr>
      <w:r>
        <w:rPr>
          <w:rFonts w:ascii="Times New Roman" w:cs="Times New Roman" w:eastAsia="Times New Roman" w:hAnsi="Times New Roman"/>
          <w:sz w:val="22"/>
          <w:szCs w:val="22"/>
          <w:b w:val="1"/>
          <w:bCs w:val="1"/>
          <w:color w:val="151515"/>
        </w:rPr>
        <w:t>TO THE LOGISTICS SERVICES AGREEMENT</w:t>
      </w:r>
    </w:p>
    <w:p>
      <w:pPr>
        <w:spacing w:after="0" w:line="1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151515"/>
        </w:rPr>
        <w:t xml:space="preserve">This </w:t>
      </w:r>
      <w:r>
        <w:rPr>
          <w:rFonts w:ascii="Times New Roman" w:cs="Times New Roman" w:eastAsia="Times New Roman" w:hAnsi="Times New Roman"/>
          <w:sz w:val="22"/>
          <w:szCs w:val="22"/>
          <w:b w:val="1"/>
          <w:bCs w:val="1"/>
          <w:color w:val="151515"/>
        </w:rPr>
        <w:t>AMENDMENT TWENTY–THREE TO THE LOGISTICS SERVICES</w:t>
      </w:r>
    </w:p>
    <w:p>
      <w:pPr>
        <w:jc w:val="both"/>
        <w:ind w:left="100" w:right="180"/>
        <w:spacing w:after="0" w:line="218" w:lineRule="auto"/>
        <w:rPr>
          <w:sz w:val="20"/>
          <w:szCs w:val="20"/>
          <w:color w:val="auto"/>
        </w:rPr>
      </w:pPr>
      <w:r>
        <w:rPr>
          <w:rFonts w:ascii="Times New Roman" w:cs="Times New Roman" w:eastAsia="Times New Roman" w:hAnsi="Times New Roman"/>
          <w:sz w:val="22"/>
          <w:szCs w:val="22"/>
          <w:b w:val="1"/>
          <w:bCs w:val="1"/>
          <w:color w:val="151515"/>
        </w:rPr>
        <w:t xml:space="preserve">AGREEMENT </w:t>
      </w:r>
      <w:r>
        <w:rPr>
          <w:rFonts w:ascii="Times New Roman" w:cs="Times New Roman" w:eastAsia="Times New Roman" w:hAnsi="Times New Roman"/>
          <w:sz w:val="22"/>
          <w:szCs w:val="22"/>
          <w:color w:val="151515"/>
        </w:rPr>
        <w:t>(the “</w:t>
      </w:r>
      <w:r>
        <w:rPr>
          <w:rFonts w:ascii="Times New Roman" w:cs="Times New Roman" w:eastAsia="Times New Roman" w:hAnsi="Times New Roman"/>
          <w:sz w:val="22"/>
          <w:szCs w:val="22"/>
          <w:b w:val="1"/>
          <w:bCs w:val="1"/>
          <w:color w:val="151515"/>
        </w:rPr>
        <w:t>Amendment</w:t>
      </w:r>
      <w:r>
        <w:rPr>
          <w:rFonts w:ascii="Times New Roman" w:cs="Times New Roman" w:eastAsia="Times New Roman" w:hAnsi="Times New Roman"/>
          <w:sz w:val="22"/>
          <w:szCs w:val="22"/>
          <w:color w:val="151515"/>
        </w:rPr>
        <w:t>”) is entered into as of December 30, 2022 (the “</w:t>
      </w:r>
      <w:r>
        <w:rPr>
          <w:rFonts w:ascii="Times New Roman" w:cs="Times New Roman" w:eastAsia="Times New Roman" w:hAnsi="Times New Roman"/>
          <w:sz w:val="22"/>
          <w:szCs w:val="22"/>
          <w:b w:val="1"/>
          <w:bCs w:val="1"/>
          <w:color w:val="151515"/>
        </w:rPr>
        <w:t>Amendment Date</w:t>
      </w:r>
      <w:r>
        <w:rPr>
          <w:rFonts w:ascii="Times New Roman" w:cs="Times New Roman" w:eastAsia="Times New Roman" w:hAnsi="Times New Roman"/>
          <w:sz w:val="22"/>
          <w:szCs w:val="22"/>
          <w:color w:val="151515"/>
        </w:rPr>
        <w:t>”), by and between The</w:t>
      </w:r>
      <w:r>
        <w:rPr>
          <w:rFonts w:ascii="Times New Roman" w:cs="Times New Roman" w:eastAsia="Times New Roman" w:hAnsi="Times New Roman"/>
          <w:sz w:val="22"/>
          <w:szCs w:val="22"/>
          <w:b w:val="1"/>
          <w:bCs w:val="1"/>
          <w:color w:val="151515"/>
        </w:rPr>
        <w:t xml:space="preserve"> </w:t>
      </w:r>
      <w:r>
        <w:rPr>
          <w:rFonts w:ascii="Times New Roman" w:cs="Times New Roman" w:eastAsia="Times New Roman" w:hAnsi="Times New Roman"/>
          <w:sz w:val="22"/>
          <w:szCs w:val="22"/>
          <w:color w:val="151515"/>
        </w:rPr>
        <w:t>Honest Company, Inc. (“</w:t>
      </w:r>
      <w:r>
        <w:rPr>
          <w:rFonts w:ascii="Times New Roman" w:cs="Times New Roman" w:eastAsia="Times New Roman" w:hAnsi="Times New Roman"/>
          <w:sz w:val="22"/>
          <w:szCs w:val="22"/>
          <w:b w:val="1"/>
          <w:bCs w:val="1"/>
          <w:color w:val="151515"/>
        </w:rPr>
        <w:t>CLIENT</w:t>
      </w:r>
      <w:r>
        <w:rPr>
          <w:rFonts w:ascii="Times New Roman" w:cs="Times New Roman" w:eastAsia="Times New Roman" w:hAnsi="Times New Roman"/>
          <w:sz w:val="22"/>
          <w:szCs w:val="22"/>
          <w:color w:val="151515"/>
        </w:rPr>
        <w:t>”) and GEODIS Logistics LLC (“</w:t>
      </w:r>
      <w:r>
        <w:rPr>
          <w:rFonts w:ascii="Times New Roman" w:cs="Times New Roman" w:eastAsia="Times New Roman" w:hAnsi="Times New Roman"/>
          <w:sz w:val="22"/>
          <w:szCs w:val="22"/>
          <w:b w:val="1"/>
          <w:bCs w:val="1"/>
          <w:color w:val="151515"/>
        </w:rPr>
        <w:t>GEODIS</w:t>
      </w:r>
      <w:r>
        <w:rPr>
          <w:rFonts w:ascii="Times New Roman" w:cs="Times New Roman" w:eastAsia="Times New Roman" w:hAnsi="Times New Roman"/>
          <w:sz w:val="22"/>
          <w:szCs w:val="22"/>
          <w:color w:val="151515"/>
        </w:rPr>
        <w:t>,” collectively referred to as the “</w:t>
      </w:r>
      <w:r>
        <w:rPr>
          <w:rFonts w:ascii="Times New Roman" w:cs="Times New Roman" w:eastAsia="Times New Roman" w:hAnsi="Times New Roman"/>
          <w:sz w:val="22"/>
          <w:szCs w:val="22"/>
          <w:b w:val="1"/>
          <w:bCs w:val="1"/>
          <w:color w:val="151515"/>
        </w:rPr>
        <w:t>Parties</w:t>
      </w:r>
      <w:r>
        <w:rPr>
          <w:rFonts w:ascii="Times New Roman" w:cs="Times New Roman" w:eastAsia="Times New Roman" w:hAnsi="Times New Roman"/>
          <w:sz w:val="22"/>
          <w:szCs w:val="22"/>
          <w:color w:val="151515"/>
        </w:rPr>
        <w:t>,” and each a “</w:t>
      </w:r>
      <w:r>
        <w:rPr>
          <w:rFonts w:ascii="Times New Roman" w:cs="Times New Roman" w:eastAsia="Times New Roman" w:hAnsi="Times New Roman"/>
          <w:sz w:val="22"/>
          <w:szCs w:val="22"/>
          <w:b w:val="1"/>
          <w:bCs w:val="1"/>
          <w:color w:val="151515"/>
        </w:rPr>
        <w:t>Party</w:t>
      </w:r>
      <w:r>
        <w:rPr>
          <w:rFonts w:ascii="Times New Roman" w:cs="Times New Roman" w:eastAsia="Times New Roman" w:hAnsi="Times New Roman"/>
          <w:sz w:val="22"/>
          <w:szCs w:val="22"/>
          <w:color w:val="151515"/>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51515"/>
        </w:rPr>
        <w:t>RECITALS:</w:t>
      </w:r>
    </w:p>
    <w:p>
      <w:pPr>
        <w:spacing w:after="0" w:line="210" w:lineRule="exact"/>
        <w:rPr>
          <w:sz w:val="20"/>
          <w:szCs w:val="20"/>
          <w:color w:val="auto"/>
        </w:rPr>
      </w:pPr>
    </w:p>
    <w:p>
      <w:pPr>
        <w:ind w:left="740" w:right="180" w:hanging="318"/>
        <w:spacing w:after="0" w:line="236" w:lineRule="auto"/>
        <w:tabs>
          <w:tab w:leader="none" w:pos="734" w:val="left"/>
        </w:tabs>
        <w:numPr>
          <w:ilvl w:val="0"/>
          <w:numId w:val="96"/>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The Parties entered into that certain Logistics Services Agreement dated January 27, 2014, as amended from time-to-time (the “</w:t>
      </w:r>
      <w:r>
        <w:rPr>
          <w:rFonts w:ascii="Times New Roman" w:cs="Times New Roman" w:eastAsia="Times New Roman" w:hAnsi="Times New Roman"/>
          <w:sz w:val="22"/>
          <w:szCs w:val="22"/>
          <w:b w:val="1"/>
          <w:bCs w:val="1"/>
          <w:color w:val="151515"/>
        </w:rPr>
        <w:t>Agreement</w:t>
      </w:r>
      <w:r>
        <w:rPr>
          <w:rFonts w:ascii="Times New Roman" w:cs="Times New Roman" w:eastAsia="Times New Roman" w:hAnsi="Times New Roman"/>
          <w:sz w:val="22"/>
          <w:szCs w:val="22"/>
          <w:color w:val="151515"/>
        </w:rPr>
        <w:t>”);</w:t>
      </w:r>
    </w:p>
    <w:p>
      <w:pPr>
        <w:spacing w:after="0" w:line="177" w:lineRule="exact"/>
        <w:rPr>
          <w:rFonts w:ascii="Times New Roman" w:cs="Times New Roman" w:eastAsia="Times New Roman" w:hAnsi="Times New Roman"/>
          <w:sz w:val="22"/>
          <w:szCs w:val="22"/>
          <w:b w:val="1"/>
          <w:bCs w:val="1"/>
          <w:color w:val="151515"/>
        </w:rPr>
      </w:pPr>
    </w:p>
    <w:p>
      <w:pPr>
        <w:ind w:left="740" w:right="180" w:hanging="318"/>
        <w:spacing w:after="0" w:line="236" w:lineRule="auto"/>
        <w:tabs>
          <w:tab w:leader="none" w:pos="736" w:val="left"/>
        </w:tabs>
        <w:numPr>
          <w:ilvl w:val="0"/>
          <w:numId w:val="96"/>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Pursuant to the Agreement, GEODIS provides logistics and warehousing services for CLIENT at the facility located at 5550 Donovan Way, Las Vegas, NV 89081(the “</w:t>
      </w:r>
      <w:r>
        <w:rPr>
          <w:rFonts w:ascii="Times New Roman" w:cs="Times New Roman" w:eastAsia="Times New Roman" w:hAnsi="Times New Roman"/>
          <w:sz w:val="22"/>
          <w:szCs w:val="22"/>
          <w:b w:val="1"/>
          <w:bCs w:val="1"/>
          <w:color w:val="151515"/>
        </w:rPr>
        <w:t>Las Vegas Facility</w:t>
      </w:r>
      <w:r>
        <w:rPr>
          <w:rFonts w:ascii="Times New Roman" w:cs="Times New Roman" w:eastAsia="Times New Roman" w:hAnsi="Times New Roman"/>
          <w:sz w:val="22"/>
          <w:szCs w:val="22"/>
          <w:color w:val="151515"/>
        </w:rPr>
        <w:t>”);</w:t>
      </w:r>
    </w:p>
    <w:p>
      <w:pPr>
        <w:spacing w:after="0" w:line="177" w:lineRule="exact"/>
        <w:rPr>
          <w:rFonts w:ascii="Times New Roman" w:cs="Times New Roman" w:eastAsia="Times New Roman" w:hAnsi="Times New Roman"/>
          <w:sz w:val="22"/>
          <w:szCs w:val="22"/>
          <w:b w:val="1"/>
          <w:bCs w:val="1"/>
          <w:color w:val="151515"/>
        </w:rPr>
      </w:pPr>
    </w:p>
    <w:p>
      <w:pPr>
        <w:ind w:left="740" w:right="180" w:hanging="318"/>
        <w:spacing w:after="0" w:line="236" w:lineRule="auto"/>
        <w:tabs>
          <w:tab w:leader="none" w:pos="734" w:val="left"/>
        </w:tabs>
        <w:numPr>
          <w:ilvl w:val="0"/>
          <w:numId w:val="96"/>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Pursuant to the Agreement, GEODIS provides logistics and warehousing services for CLIENT at the facility located at 651 Boulder Drive, Breinigsville, PA 18031 (the “</w:t>
      </w:r>
      <w:r>
        <w:rPr>
          <w:rFonts w:ascii="Times New Roman" w:cs="Times New Roman" w:eastAsia="Times New Roman" w:hAnsi="Times New Roman"/>
          <w:sz w:val="22"/>
          <w:szCs w:val="22"/>
          <w:b w:val="1"/>
          <w:bCs w:val="1"/>
          <w:color w:val="151515"/>
        </w:rPr>
        <w:t>PA Facility</w:t>
      </w:r>
      <w:r>
        <w:rPr>
          <w:rFonts w:ascii="Times New Roman" w:cs="Times New Roman" w:eastAsia="Times New Roman" w:hAnsi="Times New Roman"/>
          <w:sz w:val="22"/>
          <w:szCs w:val="22"/>
          <w:color w:val="151515"/>
        </w:rPr>
        <w:t>”) and</w:t>
      </w:r>
    </w:p>
    <w:p>
      <w:pPr>
        <w:spacing w:after="0" w:line="177" w:lineRule="exact"/>
        <w:rPr>
          <w:rFonts w:ascii="Times New Roman" w:cs="Times New Roman" w:eastAsia="Times New Roman" w:hAnsi="Times New Roman"/>
          <w:sz w:val="22"/>
          <w:szCs w:val="22"/>
          <w:b w:val="1"/>
          <w:bCs w:val="1"/>
          <w:color w:val="151515"/>
        </w:rPr>
      </w:pPr>
    </w:p>
    <w:p>
      <w:pPr>
        <w:ind w:left="740" w:hanging="319"/>
        <w:spacing w:after="0"/>
        <w:tabs>
          <w:tab w:leader="none" w:pos="740" w:val="left"/>
        </w:tabs>
        <w:numPr>
          <w:ilvl w:val="0"/>
          <w:numId w:val="96"/>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The Parties desire to amend Agreement as set forth herein.</w:t>
      </w:r>
    </w:p>
    <w:p>
      <w:pPr>
        <w:spacing w:after="0" w:line="202" w:lineRule="exact"/>
        <w:rPr>
          <w:sz w:val="20"/>
          <w:szCs w:val="20"/>
          <w:color w:val="auto"/>
        </w:rPr>
      </w:pPr>
    </w:p>
    <w:p>
      <w:pPr>
        <w:ind w:left="100" w:right="1160" w:firstLine="647"/>
        <w:spacing w:after="0" w:line="238" w:lineRule="auto"/>
        <w:rPr>
          <w:sz w:val="20"/>
          <w:szCs w:val="20"/>
          <w:color w:val="auto"/>
        </w:rPr>
      </w:pPr>
      <w:r>
        <w:rPr>
          <w:rFonts w:ascii="Times New Roman" w:cs="Times New Roman" w:eastAsia="Times New Roman" w:hAnsi="Times New Roman"/>
          <w:sz w:val="22"/>
          <w:szCs w:val="22"/>
          <w:b w:val="1"/>
          <w:bCs w:val="1"/>
          <w:color w:val="151515"/>
        </w:rPr>
        <w:t>NOW THEREFORE</w:t>
      </w:r>
      <w:r>
        <w:rPr>
          <w:rFonts w:ascii="Times New Roman" w:cs="Times New Roman" w:eastAsia="Times New Roman" w:hAnsi="Times New Roman"/>
          <w:sz w:val="22"/>
          <w:szCs w:val="22"/>
          <w:color w:val="151515"/>
        </w:rPr>
        <w:t>, for good and valuable consideration, the receipt and sufficiency of which are hereby</w:t>
      </w:r>
      <w:r>
        <w:rPr>
          <w:rFonts w:ascii="Times New Roman" w:cs="Times New Roman" w:eastAsia="Times New Roman" w:hAnsi="Times New Roman"/>
          <w:sz w:val="22"/>
          <w:szCs w:val="22"/>
          <w:b w:val="1"/>
          <w:bCs w:val="1"/>
          <w:color w:val="151515"/>
        </w:rPr>
        <w:t xml:space="preserve"> </w:t>
      </w:r>
      <w:r>
        <w:rPr>
          <w:rFonts w:ascii="Times New Roman" w:cs="Times New Roman" w:eastAsia="Times New Roman" w:hAnsi="Times New Roman"/>
          <w:sz w:val="22"/>
          <w:szCs w:val="22"/>
          <w:color w:val="151515"/>
        </w:rPr>
        <w:t>acknowledged, the Parties agree to amend the Agreement as follows:</w:t>
      </w:r>
    </w:p>
    <w:p>
      <w:pPr>
        <w:spacing w:after="0" w:line="177" w:lineRule="exact"/>
        <w:rPr>
          <w:sz w:val="20"/>
          <w:szCs w:val="20"/>
          <w:color w:val="auto"/>
        </w:rPr>
      </w:pPr>
    </w:p>
    <w:p>
      <w:pPr>
        <w:ind w:left="480" w:hanging="382"/>
        <w:spacing w:after="0"/>
        <w:tabs>
          <w:tab w:leader="none" w:pos="480" w:val="left"/>
        </w:tabs>
        <w:numPr>
          <w:ilvl w:val="0"/>
          <w:numId w:val="97"/>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u w:val="single" w:color="auto"/>
          <w:color w:val="151515"/>
        </w:rPr>
        <w:t>Section 1 – Term</w:t>
      </w:r>
      <w:r>
        <w:rPr>
          <w:rFonts w:ascii="Times New Roman" w:cs="Times New Roman" w:eastAsia="Times New Roman" w:hAnsi="Times New Roman"/>
          <w:sz w:val="22"/>
          <w:szCs w:val="22"/>
          <w:color w:val="151515"/>
        </w:rPr>
        <w:t xml:space="preserve"> of the Agreement shall be deleted in its entirety and replaced with the following:</w:t>
      </w:r>
    </w:p>
    <w:p>
      <w:pPr>
        <w:spacing w:after="0" w:line="202" w:lineRule="exact"/>
        <w:rPr>
          <w:rFonts w:ascii="Times New Roman" w:cs="Times New Roman" w:eastAsia="Times New Roman" w:hAnsi="Times New Roman"/>
          <w:sz w:val="22"/>
          <w:szCs w:val="22"/>
          <w:color w:val="151515"/>
        </w:rPr>
      </w:pPr>
    </w:p>
    <w:p>
      <w:pPr>
        <w:ind w:left="640" w:hanging="218"/>
        <w:spacing w:after="0"/>
        <w:tabs>
          <w:tab w:leader="none" w:pos="640" w:val="left"/>
        </w:tabs>
        <w:numPr>
          <w:ilvl w:val="1"/>
          <w:numId w:val="97"/>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b w:val="1"/>
          <w:bCs w:val="1"/>
          <w:color w:val="151515"/>
        </w:rPr>
        <w:t>TERM</w:t>
      </w:r>
    </w:p>
    <w:p>
      <w:pPr>
        <w:spacing w:after="0" w:line="224" w:lineRule="exact"/>
        <w:rPr>
          <w:sz w:val="20"/>
          <w:szCs w:val="20"/>
          <w:color w:val="auto"/>
        </w:rPr>
      </w:pPr>
    </w:p>
    <w:p>
      <w:pPr>
        <w:ind w:left="420" w:right="180"/>
        <w:spacing w:after="0" w:line="236" w:lineRule="auto"/>
        <w:rPr>
          <w:sz w:val="20"/>
          <w:szCs w:val="20"/>
          <w:color w:val="auto"/>
        </w:rPr>
      </w:pPr>
      <w:r>
        <w:rPr>
          <w:rFonts w:ascii="Times New Roman" w:cs="Times New Roman" w:eastAsia="Times New Roman" w:hAnsi="Times New Roman"/>
          <w:sz w:val="22"/>
          <w:szCs w:val="22"/>
          <w:color w:val="151515"/>
        </w:rPr>
        <w:t>This Agreement shall become effective on January 27, 2014 (the “Commencement Date”) and shall continue in full force and effect so long as GEODIS is providing Services to CLIENT at a Warehouse under the Agreement.</w:t>
      </w:r>
    </w:p>
    <w:p>
      <w:pPr>
        <w:spacing w:after="0" w:line="173" w:lineRule="exact"/>
        <w:rPr>
          <w:sz w:val="20"/>
          <w:szCs w:val="20"/>
          <w:color w:val="auto"/>
        </w:rPr>
      </w:pPr>
    </w:p>
    <w:p>
      <w:pPr>
        <w:ind w:left="420" w:right="180"/>
        <w:spacing w:after="0" w:line="238" w:lineRule="auto"/>
        <w:rPr>
          <w:sz w:val="20"/>
          <w:szCs w:val="20"/>
          <w:color w:val="auto"/>
        </w:rPr>
      </w:pPr>
      <w:r>
        <w:rPr>
          <w:rFonts w:ascii="Times New Roman" w:cs="Times New Roman" w:eastAsia="Times New Roman" w:hAnsi="Times New Roman"/>
          <w:sz w:val="22"/>
          <w:szCs w:val="22"/>
          <w:color w:val="151515"/>
        </w:rPr>
        <w:t>The Services at the Las Vegas Facility shall become effective on November 5, 2018 (the “</w:t>
      </w:r>
      <w:r>
        <w:rPr>
          <w:rFonts w:ascii="Times New Roman" w:cs="Times New Roman" w:eastAsia="Times New Roman" w:hAnsi="Times New Roman"/>
          <w:sz w:val="22"/>
          <w:szCs w:val="22"/>
          <w:b w:val="1"/>
          <w:bCs w:val="1"/>
          <w:color w:val="151515"/>
        </w:rPr>
        <w:t>Las Vegas Effective Date</w:t>
      </w:r>
      <w:r>
        <w:rPr>
          <w:rFonts w:ascii="Times New Roman" w:cs="Times New Roman" w:eastAsia="Times New Roman" w:hAnsi="Times New Roman"/>
          <w:sz w:val="22"/>
          <w:szCs w:val="22"/>
          <w:color w:val="151515"/>
        </w:rPr>
        <w:t>”) and shall continue until February 28, 2023 (the “</w:t>
      </w:r>
      <w:r>
        <w:rPr>
          <w:rFonts w:ascii="Times New Roman" w:cs="Times New Roman" w:eastAsia="Times New Roman" w:hAnsi="Times New Roman"/>
          <w:sz w:val="22"/>
          <w:szCs w:val="22"/>
          <w:b w:val="1"/>
          <w:bCs w:val="1"/>
          <w:color w:val="151515"/>
        </w:rPr>
        <w:t>Las Vegas Term</w:t>
      </w:r>
      <w:r>
        <w:rPr>
          <w:rFonts w:ascii="Times New Roman" w:cs="Times New Roman" w:eastAsia="Times New Roman" w:hAnsi="Times New Roman"/>
          <w:sz w:val="22"/>
          <w:szCs w:val="22"/>
          <w:color w:val="151515"/>
        </w:rPr>
        <w:t>”).</w:t>
      </w:r>
    </w:p>
    <w:p>
      <w:pPr>
        <w:spacing w:after="0" w:line="173" w:lineRule="exact"/>
        <w:rPr>
          <w:sz w:val="20"/>
          <w:szCs w:val="20"/>
          <w:color w:val="auto"/>
        </w:rPr>
      </w:pPr>
    </w:p>
    <w:p>
      <w:pPr>
        <w:ind w:left="420" w:right="180"/>
        <w:spacing w:after="0" w:line="238" w:lineRule="auto"/>
        <w:rPr>
          <w:sz w:val="20"/>
          <w:szCs w:val="20"/>
          <w:color w:val="auto"/>
        </w:rPr>
      </w:pPr>
      <w:r>
        <w:rPr>
          <w:rFonts w:ascii="Times New Roman" w:cs="Times New Roman" w:eastAsia="Times New Roman" w:hAnsi="Times New Roman"/>
          <w:sz w:val="22"/>
          <w:szCs w:val="22"/>
          <w:color w:val="151515"/>
        </w:rPr>
        <w:t>The Services at the PA Facility shall become effective on November 1, 2019 (the “</w:t>
      </w:r>
      <w:r>
        <w:rPr>
          <w:rFonts w:ascii="Times New Roman" w:cs="Times New Roman" w:eastAsia="Times New Roman" w:hAnsi="Times New Roman"/>
          <w:sz w:val="22"/>
          <w:szCs w:val="22"/>
          <w:b w:val="1"/>
          <w:bCs w:val="1"/>
          <w:color w:val="151515"/>
        </w:rPr>
        <w:t>PA Effective Date</w:t>
      </w:r>
      <w:r>
        <w:rPr>
          <w:rFonts w:ascii="Times New Roman" w:cs="Times New Roman" w:eastAsia="Times New Roman" w:hAnsi="Times New Roman"/>
          <w:sz w:val="22"/>
          <w:szCs w:val="22"/>
          <w:color w:val="151515"/>
        </w:rPr>
        <w:t>”) and shall continue until February 28, 2023 (the “</w:t>
      </w:r>
      <w:r>
        <w:rPr>
          <w:rFonts w:ascii="Times New Roman" w:cs="Times New Roman" w:eastAsia="Times New Roman" w:hAnsi="Times New Roman"/>
          <w:sz w:val="22"/>
          <w:szCs w:val="22"/>
          <w:b w:val="1"/>
          <w:bCs w:val="1"/>
          <w:color w:val="151515"/>
        </w:rPr>
        <w:t>PA Term</w:t>
      </w:r>
      <w:r>
        <w:rPr>
          <w:rFonts w:ascii="Times New Roman" w:cs="Times New Roman" w:eastAsia="Times New Roman" w:hAnsi="Times New Roman"/>
          <w:sz w:val="22"/>
          <w:szCs w:val="22"/>
          <w:color w:val="151515"/>
        </w:rPr>
        <w:t>,” collectively with the Las Vegas Term, the “</w:t>
      </w:r>
      <w:r>
        <w:rPr>
          <w:rFonts w:ascii="Times New Roman" w:cs="Times New Roman" w:eastAsia="Times New Roman" w:hAnsi="Times New Roman"/>
          <w:sz w:val="22"/>
          <w:szCs w:val="22"/>
          <w:b w:val="1"/>
          <w:bCs w:val="1"/>
          <w:color w:val="151515"/>
        </w:rPr>
        <w:t>Term</w:t>
      </w:r>
      <w:r>
        <w:rPr>
          <w:rFonts w:ascii="Times New Roman" w:cs="Times New Roman" w:eastAsia="Times New Roman" w:hAnsi="Times New Roman"/>
          <w:sz w:val="22"/>
          <w:szCs w:val="22"/>
          <w:color w:val="151515"/>
        </w:rPr>
        <w:t>”).</w:t>
      </w:r>
    </w:p>
    <w:p>
      <w:pPr>
        <w:spacing w:after="0" w:line="177" w:lineRule="exact"/>
        <w:rPr>
          <w:sz w:val="20"/>
          <w:szCs w:val="20"/>
          <w:color w:val="auto"/>
        </w:rPr>
      </w:pPr>
    </w:p>
    <w:p>
      <w:pPr>
        <w:ind w:left="420" w:right="200"/>
        <w:spacing w:after="0" w:line="236" w:lineRule="auto"/>
        <w:rPr>
          <w:sz w:val="20"/>
          <w:szCs w:val="20"/>
          <w:color w:val="auto"/>
        </w:rPr>
      </w:pPr>
      <w:r>
        <w:rPr>
          <w:rFonts w:ascii="Times New Roman" w:cs="Times New Roman" w:eastAsia="Times New Roman" w:hAnsi="Times New Roman"/>
          <w:sz w:val="22"/>
          <w:szCs w:val="22"/>
          <w:color w:val="151515"/>
        </w:rPr>
        <w:t>The Parties may extend the Term of the Services at either Warehouse upon mutual written agreement prior to the termination of the Warehouse’s respective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143" w:name="page144"/>
    <w:bookmarkEnd w:id="143"/>
    <w:p>
      <w:pPr>
        <w:jc w:val="both"/>
        <w:ind w:left="420" w:hanging="322"/>
        <w:spacing w:after="0" w:line="231" w:lineRule="auto"/>
        <w:tabs>
          <w:tab w:leader="none" w:pos="420" w:val="left"/>
        </w:tabs>
        <w:numPr>
          <w:ilvl w:val="0"/>
          <w:numId w:val="98"/>
        </w:numPr>
        <w:rPr>
          <w:rFonts w:ascii="Times New Roman" w:cs="Times New Roman" w:eastAsia="Times New Roman" w:hAnsi="Times New Roman"/>
          <w:sz w:val="21"/>
          <w:szCs w:val="21"/>
          <w:color w:val="151515"/>
        </w:rPr>
      </w:pPr>
      <w:r>
        <w:rPr>
          <w:rFonts w:ascii="Times New Roman" w:cs="Times New Roman" w:eastAsia="Times New Roman" w:hAnsi="Times New Roman"/>
          <w:sz w:val="21"/>
          <w:szCs w:val="21"/>
          <w:color w:val="151515"/>
        </w:rPr>
        <w:t xml:space="preserve">or the elimination of doubt, with respect to the Services at the Las Vegas Facility and PA Facility, all references to the “Term,” “Initial Term,” or “Renewal Term” and any extensions thereof throughout the Agreement and related amendments are hereby struck and deleted in their entirety and superseded with the Term as defined in this Amendment’s </w:t>
      </w:r>
      <w:r>
        <w:rPr>
          <w:rFonts w:ascii="Times New Roman" w:cs="Times New Roman" w:eastAsia="Times New Roman" w:hAnsi="Times New Roman"/>
          <w:sz w:val="21"/>
          <w:szCs w:val="21"/>
          <w:u w:val="single" w:color="auto"/>
          <w:color w:val="151515"/>
        </w:rPr>
        <w:t>Section 1</w:t>
      </w:r>
      <w:r>
        <w:rPr>
          <w:rFonts w:ascii="Times New Roman" w:cs="Times New Roman" w:eastAsia="Times New Roman" w:hAnsi="Times New Roman"/>
          <w:sz w:val="21"/>
          <w:szCs w:val="21"/>
          <w:color w:val="151515"/>
        </w:rPr>
        <w:t>. In the event of a conflict between the Agreement, as amended, and this Amendment, this Amendment shall control.</w:t>
      </w:r>
    </w:p>
    <w:p>
      <w:pPr>
        <w:spacing w:after="0" w:line="177" w:lineRule="exact"/>
        <w:rPr>
          <w:rFonts w:ascii="Times New Roman" w:cs="Times New Roman" w:eastAsia="Times New Roman" w:hAnsi="Times New Roman"/>
          <w:sz w:val="21"/>
          <w:szCs w:val="21"/>
          <w:color w:val="151515"/>
        </w:rPr>
      </w:pPr>
    </w:p>
    <w:p>
      <w:pPr>
        <w:jc w:val="both"/>
        <w:ind w:left="420" w:hanging="322"/>
        <w:spacing w:after="0" w:line="220" w:lineRule="auto"/>
        <w:tabs>
          <w:tab w:leader="none" w:pos="420" w:val="left"/>
        </w:tabs>
        <w:numPr>
          <w:ilvl w:val="0"/>
          <w:numId w:val="98"/>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Effective January 1, 2023, the Parties agree that the hourly rates paid to GEODIS personnel at the Las Vegas Facility shall be increased in accordance with Table 1 – Las Vegas Wage Rates below, and the Parties agree that the hourly rates below are before the addition of the labor benefits and margin set forth in the Pricing Section of Exhibit B – Rates as attached to Amendment Ten.</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u w:val="single" w:color="auto"/>
          <w:color w:val="151515"/>
        </w:rPr>
        <w:t>Table 1 – Las Vegas Wage Rates</w:t>
      </w:r>
    </w:p>
    <w:p>
      <w:pPr>
        <w:spacing w:after="0" w:line="1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both"/>
        <w:ind w:left="420" w:hanging="322"/>
        <w:spacing w:after="0" w:line="220" w:lineRule="auto"/>
        <w:tabs>
          <w:tab w:leader="none" w:pos="420" w:val="left"/>
        </w:tabs>
        <w:numPr>
          <w:ilvl w:val="0"/>
          <w:numId w:val="99"/>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Any capitalized terms not defined herein shall have the meanings set forth in the Agreement.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320" w:top="1381" w:right="519" w:bottom="1440" w:gutter="0" w:footer="0" w:header="0"/>
        </w:sectPr>
      </w:pPr>
    </w:p>
    <w:bookmarkStart w:id="144" w:name="page145"/>
    <w:bookmarkEnd w:id="144"/>
    <w:p>
      <w:pPr>
        <w:spacing w:after="0" w:line="180" w:lineRule="exact"/>
        <w:rPr>
          <w:sz w:val="20"/>
          <w:szCs w:val="20"/>
          <w:color w:val="auto"/>
        </w:rPr>
      </w:pPr>
    </w:p>
    <w:p>
      <w:pPr>
        <w:ind w:left="100" w:firstLine="647"/>
        <w:spacing w:after="0" w:line="238" w:lineRule="auto"/>
        <w:rPr>
          <w:sz w:val="20"/>
          <w:szCs w:val="20"/>
          <w:color w:val="auto"/>
        </w:rPr>
      </w:pPr>
      <w:r>
        <w:rPr>
          <w:rFonts w:ascii="Times New Roman" w:cs="Times New Roman" w:eastAsia="Times New Roman" w:hAnsi="Times New Roman"/>
          <w:sz w:val="22"/>
          <w:szCs w:val="22"/>
          <w:b w:val="1"/>
          <w:bCs w:val="1"/>
          <w:color w:val="151515"/>
        </w:rPr>
        <w:t>IN WITNESS WHEREOF</w:t>
      </w:r>
      <w:r>
        <w:rPr>
          <w:rFonts w:ascii="Times New Roman" w:cs="Times New Roman" w:eastAsia="Times New Roman" w:hAnsi="Times New Roman"/>
          <w:sz w:val="22"/>
          <w:szCs w:val="22"/>
          <w:color w:val="151515"/>
        </w:rPr>
        <w:t>, the Parties have caused this Amendment to be executed by their duly authorized</w:t>
      </w:r>
      <w:r>
        <w:rPr>
          <w:rFonts w:ascii="Times New Roman" w:cs="Times New Roman" w:eastAsia="Times New Roman" w:hAnsi="Times New Roman"/>
          <w:sz w:val="22"/>
          <w:szCs w:val="22"/>
          <w:b w:val="1"/>
          <w:bCs w:val="1"/>
          <w:color w:val="151515"/>
        </w:rPr>
        <w:t xml:space="preserve"> </w:t>
      </w:r>
      <w:r>
        <w:rPr>
          <w:rFonts w:ascii="Times New Roman" w:cs="Times New Roman" w:eastAsia="Times New Roman" w:hAnsi="Times New Roman"/>
          <w:sz w:val="22"/>
          <w:szCs w:val="22"/>
          <w:color w:val="151515"/>
        </w:rPr>
        <w:t>representatives as of the Amendment Date set forth above.</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THE HONEST COMPANY, INC.</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b w:val="1"/>
                <w:bCs w:val="1"/>
                <w:color w:val="auto"/>
                <w:w w:val="98"/>
              </w:rPr>
              <w:t>GEODIS LOGISTICS LLC</w:t>
            </w:r>
          </w:p>
        </w:tc>
      </w:tr>
      <w:tr>
        <w:trPr>
          <w:trHeight w:val="212"/>
        </w:trPr>
        <w:tc>
          <w:tcPr>
            <w:tcW w:w="502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auto"/>
              </w:rPr>
              <w:t>By: /s/ Kelly Kennedy</w:t>
            </w:r>
          </w:p>
        </w:tc>
        <w:tc>
          <w:tcPr>
            <w:tcW w:w="4540" w:type="dxa"/>
            <w:vAlign w:val="bottom"/>
            <w:gridSpan w:val="3"/>
          </w:tcPr>
          <w:p>
            <w:pPr>
              <w:ind w:left="2160"/>
              <w:spacing w:after="0" w:line="212" w:lineRule="exact"/>
              <w:rPr>
                <w:sz w:val="20"/>
                <w:szCs w:val="20"/>
                <w:color w:val="auto"/>
              </w:rPr>
            </w:pPr>
            <w:r>
              <w:rPr>
                <w:rFonts w:ascii="Times New Roman" w:cs="Times New Roman" w:eastAsia="Times New Roman" w:hAnsi="Times New Roman"/>
                <w:sz w:val="20"/>
                <w:szCs w:val="20"/>
                <w:color w:val="auto"/>
              </w:rPr>
              <w:t>By: /s/ Anthony Jordan</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81"/>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Kelly Kennedy</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rPr>
              <w:t>Name: Anthony Jordan</w:t>
            </w:r>
          </w:p>
        </w:tc>
      </w:tr>
      <w:tr>
        <w:trPr>
          <w:trHeight w:val="257"/>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w w:val="98"/>
              </w:rPr>
              <w:t>Title: Chief Operating Officer</w:t>
            </w:r>
          </w:p>
        </w:tc>
      </w:tr>
      <w:tr>
        <w:trPr>
          <w:trHeight w:val="258"/>
        </w:trPr>
        <w:tc>
          <w:tcPr>
            <w:tcW w:w="50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12/30/2022</w:t>
            </w:r>
          </w:p>
        </w:tc>
        <w:tc>
          <w:tcPr>
            <w:tcW w:w="4540" w:type="dxa"/>
            <w:vAlign w:val="bottom"/>
            <w:gridSpan w:val="3"/>
          </w:tcPr>
          <w:p>
            <w:pPr>
              <w:ind w:left="2160"/>
              <w:spacing w:after="0"/>
              <w:rPr>
                <w:sz w:val="20"/>
                <w:szCs w:val="20"/>
                <w:color w:val="auto"/>
              </w:rPr>
            </w:pPr>
            <w:r>
              <w:rPr>
                <w:rFonts w:ascii="Times New Roman" w:cs="Times New Roman" w:eastAsia="Times New Roman" w:hAnsi="Times New Roman"/>
                <w:sz w:val="20"/>
                <w:szCs w:val="20"/>
                <w:color w:val="auto"/>
              </w:rPr>
              <w:t>Date: 1/2/2023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40"/>
          </w:cols>
          <w:pgMar w:left="320" w:top="1440" w:right="1339" w:bottom="1440" w:gutter="0" w:footer="0" w:header="0"/>
        </w:sectPr>
      </w:pPr>
    </w:p>
    <w:bookmarkStart w:id="145" w:name="page146"/>
    <w:bookmarkEnd w:id="145"/>
    <w:p>
      <w:pPr>
        <w:ind w:left="10120"/>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SEPARATION AGREEMENT</w:t>
      </w:r>
    </w:p>
    <w:p>
      <w:pPr>
        <w:ind w:left="4660"/>
        <w:spacing w:after="0"/>
        <w:rPr>
          <w:sz w:val="20"/>
          <w:szCs w:val="20"/>
          <w:color w:val="auto"/>
        </w:rPr>
      </w:pPr>
      <w:r>
        <w:rPr>
          <w:rFonts w:ascii="Times New Roman" w:cs="Times New Roman" w:eastAsia="Times New Roman" w:hAnsi="Times New Roman"/>
          <w:sz w:val="20"/>
          <w:szCs w:val="20"/>
          <w:b w:val="1"/>
          <w:bCs w:val="1"/>
          <w:u w:val="single" w:color="auto"/>
          <w:color w:val="auto"/>
        </w:rPr>
        <w:t>AND RELEASE OF CLAIMS</w:t>
      </w:r>
    </w:p>
    <w:p>
      <w:pPr>
        <w:spacing w:after="0" w:line="200" w:lineRule="exact"/>
        <w:rPr>
          <w:sz w:val="20"/>
          <w:szCs w:val="20"/>
          <w:color w:val="auto"/>
        </w:rPr>
      </w:pP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 xml:space="preserve">THIS SEPARATION AGREEMENT AND RELEASE OF CLAIMS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January 10, 2023,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and between The Honest Company,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Nikolas Vlahos (“</w:t>
      </w:r>
      <w:r>
        <w:rPr>
          <w:rFonts w:ascii="Times New Roman" w:cs="Times New Roman" w:eastAsia="Times New Roman" w:hAnsi="Times New Roman"/>
          <w:sz w:val="19"/>
          <w:szCs w:val="19"/>
          <w:u w:val="single" w:color="auto"/>
          <w:color w:val="auto"/>
        </w:rPr>
        <w:t>you</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your</w:t>
      </w:r>
      <w:r>
        <w:rPr>
          <w:rFonts w:ascii="Times New Roman" w:cs="Times New Roman" w:eastAsia="Times New Roman" w:hAnsi="Times New Roman"/>
          <w:sz w:val="19"/>
          <w:szCs w:val="19"/>
          <w:color w:val="auto"/>
        </w:rPr>
        <w:t>”) (each individually a “</w:t>
      </w:r>
      <w:r>
        <w:rPr>
          <w:rFonts w:ascii="Times New Roman" w:cs="Times New Roman" w:eastAsia="Times New Roman" w:hAnsi="Times New Roman"/>
          <w:sz w:val="19"/>
          <w:szCs w:val="19"/>
          <w:u w:val="single" w:color="auto"/>
          <w:color w:val="auto"/>
        </w:rPr>
        <w:t>Party</w:t>
      </w:r>
      <w:r>
        <w:rPr>
          <w:rFonts w:ascii="Times New Roman" w:cs="Times New Roman" w:eastAsia="Times New Roman" w:hAnsi="Times New Roman"/>
          <w:sz w:val="19"/>
          <w:szCs w:val="19"/>
          <w:color w:val="auto"/>
        </w:rPr>
        <w:t>” and together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in consideration for and as a condition to the Company’s agreement to provide you certain Severance Benefits (defined below) to which you are not otherwise entitled.</w:t>
      </w:r>
    </w:p>
    <w:p>
      <w:pPr>
        <w:spacing w:after="0" w:line="162" w:lineRule="exact"/>
        <w:rPr>
          <w:sz w:val="20"/>
          <w:szCs w:val="20"/>
          <w:color w:val="auto"/>
        </w:rPr>
      </w:pPr>
    </w:p>
    <w:p>
      <w:pPr>
        <w:jc w:val="both"/>
        <w:ind w:firstLine="656"/>
        <w:spacing w:after="0" w:line="216" w:lineRule="auto"/>
        <w:tabs>
          <w:tab w:leader="none" w:pos="129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Your employment with the Company will terminate on January 10, 2023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as an “Involuntary Termination” without “Cause,” as such terms are defined and set forth in the Employment Agreement between you and the Company, dated April 24, 2021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Your employment will terminate on the Termination Date regardless of whether you sign this Agreement or agree to the following terms and conditions. You understand that, except as otherwise provided in this Agreement, you are not entitled to anything further from the Company, including reinstatement by the Company, or any compensation or benefits of any kind, for any reason, after the Termination Date.</w:t>
      </w:r>
    </w:p>
    <w:p>
      <w:pPr>
        <w:spacing w:after="0" w:line="189"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Service</w:t>
      </w:r>
      <w:r>
        <w:rPr>
          <w:rFonts w:ascii="Times New Roman" w:cs="Times New Roman" w:eastAsia="Times New Roman" w:hAnsi="Times New Roman"/>
          <w:sz w:val="20"/>
          <w:szCs w:val="20"/>
          <w:color w:val="auto"/>
        </w:rPr>
        <w:t>. Notwithstanding the termination of your employment, you will continue to hold a position as a member of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and effective as of the Termination Date, you shall be eligible to participate in and receive any applicable compensation provided for under the Company’s Non-Employee Director Compensation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subject to the terms and conditions of the Policy.</w:t>
      </w:r>
    </w:p>
    <w:p>
      <w:pPr>
        <w:spacing w:after="0" w:line="161" w:lineRule="exact"/>
        <w:rPr>
          <w:rFonts w:ascii="Times New Roman" w:cs="Times New Roman" w:eastAsia="Times New Roman" w:hAnsi="Times New Roman"/>
          <w:sz w:val="20"/>
          <w:szCs w:val="20"/>
          <w:color w:val="auto"/>
        </w:rPr>
      </w:pPr>
    </w:p>
    <w:p>
      <w:pPr>
        <w:jc w:val="both"/>
        <w:ind w:firstLine="656"/>
        <w:spacing w:after="0" w:line="216" w:lineRule="auto"/>
        <w:tabs>
          <w:tab w:leader="none" w:pos="1296"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Compensation</w:t>
      </w:r>
      <w:r>
        <w:rPr>
          <w:rFonts w:ascii="Times New Roman" w:cs="Times New Roman" w:eastAsia="Times New Roman" w:hAnsi="Times New Roman"/>
          <w:sz w:val="20"/>
          <w:szCs w:val="20"/>
          <w:color w:val="auto"/>
        </w:rPr>
        <w:t>. On the Termination Date, the Company will provide you with a final paycheck that will fully compensate you for all earned wages, including your customary wages and benefits through the Termination Date, less applicable taxes and withholdings. Additionally, and notwithstanding the termination of your employment, you shall remain eligible to receive an “Annual Bonus” for 2022, as defined and set forth in your Employment Agreement, payable at the same time as bonuses are paid to other Company executives (but in any event no later than March 15, 2023). The Severance Benefits described in Section 4 below is in addition to these amounts.</w:t>
      </w:r>
    </w:p>
    <w:p>
      <w:pPr>
        <w:spacing w:after="0" w:line="148" w:lineRule="exact"/>
        <w:rPr>
          <w:rFonts w:ascii="Times New Roman" w:cs="Times New Roman" w:eastAsia="Times New Roman" w:hAnsi="Times New Roman"/>
          <w:sz w:val="20"/>
          <w:szCs w:val="20"/>
          <w:color w:val="auto"/>
        </w:rPr>
      </w:pPr>
    </w:p>
    <w:p>
      <w:pPr>
        <w:jc w:val="both"/>
        <w:ind w:firstLine="656"/>
        <w:spacing w:after="0" w:line="234" w:lineRule="auto"/>
        <w:tabs>
          <w:tab w:leader="none" w:pos="1296"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 In consideration for entering into this Agreement, and provided that you have (</w:t>
      </w:r>
      <w:r>
        <w:rPr>
          <w:rFonts w:ascii="Times New Roman" w:cs="Times New Roman" w:eastAsia="Times New Roman" w:hAnsi="Times New Roman"/>
          <w:sz w:val="19"/>
          <w:szCs w:val="19"/>
          <w:color w:val="1A1A1A"/>
        </w:rPr>
        <w:t>a) executed and returned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1A1A1A"/>
        </w:rPr>
        <w:t>this Agreement to the Company and not revoked it and allowed it to become effective on or before sixty (60) days after the Termination Date,</w:t>
      </w:r>
    </w:p>
    <w:p>
      <w:pPr>
        <w:jc w:val="both"/>
        <w:ind w:firstLine="8"/>
        <w:spacing w:after="0" w:line="213" w:lineRule="auto"/>
        <w:tabs>
          <w:tab w:leader="none" w:pos="307" w:val="left"/>
        </w:tabs>
        <w:numPr>
          <w:ilvl w:val="0"/>
          <w:numId w:val="101"/>
        </w:numPr>
        <w:rPr>
          <w:rFonts w:ascii="Times New Roman" w:cs="Times New Roman" w:eastAsia="Times New Roman" w:hAnsi="Times New Roman"/>
          <w:sz w:val="20"/>
          <w:szCs w:val="20"/>
          <w:color w:val="1A1A1A"/>
        </w:rPr>
      </w:pPr>
      <w:r>
        <w:rPr>
          <w:rFonts w:ascii="Times New Roman" w:cs="Times New Roman" w:eastAsia="Times New Roman" w:hAnsi="Times New Roman"/>
          <w:sz w:val="20"/>
          <w:szCs w:val="20"/>
          <w:color w:val="auto"/>
        </w:rPr>
        <w:t>delivered to the Company all Company property, and (c) have otherwise complied with the terms and conditions set forth in this Agreement</w:t>
      </w:r>
      <w:r>
        <w:rPr>
          <w:rFonts w:ascii="Times New Roman" w:cs="Times New Roman" w:eastAsia="Times New Roman" w:hAnsi="Times New Roman"/>
          <w:sz w:val="20"/>
          <w:szCs w:val="20"/>
          <w:color w:val="1A1A1A"/>
        </w:rPr>
        <w:t>,</w:t>
      </w:r>
      <w:r>
        <w:rPr>
          <w:rFonts w:ascii="Times New Roman" w:cs="Times New Roman" w:eastAsia="Times New Roman" w:hAnsi="Times New Roman"/>
          <w:sz w:val="20"/>
          <w:szCs w:val="20"/>
          <w:color w:val="auto"/>
        </w:rPr>
        <w:t xml:space="preserve"> the Company will provide you with the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xml:space="preserve">,” as defined and set forth in your Employment Agreement. The Company will tender the Severance Benefits to you at the time and in the form provided in your Employment Agreement;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and notwithstanding anything to the contrary in the Employment Agreement, any “</w:t>
      </w:r>
      <w:r>
        <w:rPr>
          <w:rFonts w:ascii="Times New Roman" w:cs="Times New Roman" w:eastAsia="Times New Roman" w:hAnsi="Times New Roman"/>
          <w:sz w:val="20"/>
          <w:szCs w:val="20"/>
          <w:u w:val="single" w:color="auto"/>
          <w:color w:val="auto"/>
        </w:rPr>
        <w:t>Pro Rata Bonus</w:t>
      </w:r>
      <w:r>
        <w:rPr>
          <w:rFonts w:ascii="Times New Roman" w:cs="Times New Roman" w:eastAsia="Times New Roman" w:hAnsi="Times New Roman"/>
          <w:sz w:val="20"/>
          <w:szCs w:val="20"/>
          <w:color w:val="auto"/>
        </w:rPr>
        <w:t xml:space="preserve">,” as defined and set forth in the Employment Agreement, shall be paid to you in 2024 </w:t>
      </w:r>
      <w:r>
        <w:rPr>
          <w:rFonts w:ascii="Times New Roman" w:cs="Times New Roman" w:eastAsia="Times New Roman" w:hAnsi="Times New Roman"/>
          <w:sz w:val="21"/>
          <w:szCs w:val="21"/>
          <w:color w:val="auto"/>
        </w:rPr>
        <w:t>at the same time as bonuses are paid to other Company executives (but in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event no later than March 15, 2024). </w:t>
      </w:r>
      <w:r>
        <w:rPr>
          <w:rFonts w:ascii="Times New Roman" w:cs="Times New Roman" w:eastAsia="Times New Roman" w:hAnsi="Times New Roman"/>
          <w:sz w:val="19"/>
          <w:szCs w:val="19"/>
          <w:color w:val="auto"/>
        </w:rPr>
        <w:t>You acknowledge that the Company has no duty or obligation to provide you the Severance Benefits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absent your execution of this Agreement. The Company will also reimburse you for the reasonable attorneys’ fees incurred by you in connection with the negotiation and documentation of this Agreement and any related agreements.</w:t>
      </w:r>
    </w:p>
    <w:p>
      <w:pPr>
        <w:spacing w:after="0" w:line="187" w:lineRule="exact"/>
        <w:rPr>
          <w:rFonts w:ascii="Times New Roman" w:cs="Times New Roman" w:eastAsia="Times New Roman" w:hAnsi="Times New Roman"/>
          <w:sz w:val="20"/>
          <w:szCs w:val="20"/>
          <w:color w:val="1A1A1A"/>
        </w:rPr>
      </w:pPr>
    </w:p>
    <w:p>
      <w:pPr>
        <w:jc w:val="both"/>
        <w:ind w:firstLine="656"/>
        <w:spacing w:after="0" w:line="226" w:lineRule="auto"/>
        <w:tabs>
          <w:tab w:leader="none" w:pos="1296"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w:t>
      </w:r>
      <w:r>
        <w:rPr>
          <w:rFonts w:ascii="Times New Roman" w:cs="Times New Roman" w:eastAsia="Times New Roman" w:hAnsi="Times New Roman"/>
          <w:sz w:val="20"/>
          <w:szCs w:val="20"/>
          <w:color w:val="auto"/>
        </w:rPr>
        <w:t xml:space="preserve"> Your entitlement to and under any outstanding equity awards, if any, shall be governed by the terms of the stock plan governing such awards, the documents by which such awards were granted to you, along with any amendments thereto, and the Employment Agreement, as applicable.</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Consulting Relationship.</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 you timely sign, date, and return this Agreement to the Company and allow all of the releases contained herein to become effective and (ii) you comply with all of your obligations to the Company hereunder; then the Company will retain you as a consultant under the terms specified below. The consulting relationship will commence on the Termination Date and continue through May 31, 2023, unless terminated earlier pursuant to the terms set forth below or extended by mutual written</w:t>
      </w:r>
    </w:p>
    <w:p>
      <w:pPr>
        <w:sectPr>
          <w:pgSz w:w="11900" w:h="16838" w:orient="portrait"/>
          <w:cols w:equalWidth="0" w:num="1">
            <w:col w:w="11240"/>
          </w:cols>
          <w:pgMar w:left="320" w:top="9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u w:val="single" w:color="auto"/>
          <w:color w:val="auto"/>
        </w:rPr>
        <w:t>Consulting Period</w:t>
      </w:r>
      <w:r>
        <w:rPr>
          <w:rFonts w:ascii="Times New Roman" w:cs="Times New Roman" w:eastAsia="Times New Roman" w:hAnsi="Times New Roman"/>
          <w:sz w:val="20"/>
          <w:szCs w:val="20"/>
          <w:color w:val="auto"/>
        </w:rPr>
        <w:t>”). You acknowledge and agree that prior to entering into this Agreement, the Company is under no legal</w:t>
      </w:r>
    </w:p>
    <w:p>
      <w:pPr>
        <w:ind w:right="20"/>
        <w:spacing w:after="0" w:line="221" w:lineRule="auto"/>
        <w:rPr>
          <w:sz w:val="20"/>
          <w:szCs w:val="20"/>
          <w:color w:val="auto"/>
        </w:rPr>
      </w:pPr>
      <w:r>
        <w:rPr>
          <w:rFonts w:ascii="Times New Roman" w:cs="Times New Roman" w:eastAsia="Times New Roman" w:hAnsi="Times New Roman"/>
          <w:sz w:val="20"/>
          <w:szCs w:val="20"/>
          <w:color w:val="auto"/>
        </w:rPr>
        <w:t>obligation to retain your services as a consultant after the Termination Date and therefore this Consulting Period constitutes consideration for your obligations as specified herein.</w:t>
      </w:r>
    </w:p>
    <w:p>
      <w:pPr>
        <w:spacing w:after="0" w:line="162" w:lineRule="exact"/>
        <w:rPr>
          <w:sz w:val="20"/>
          <w:szCs w:val="20"/>
          <w:color w:val="auto"/>
        </w:rPr>
      </w:pPr>
    </w:p>
    <w:p>
      <w:pPr>
        <w:jc w:val="both"/>
        <w:ind w:firstLine="1304"/>
        <w:spacing w:after="0" w:line="213" w:lineRule="auto"/>
        <w:tabs>
          <w:tab w:leader="none" w:pos="193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Consulting Period, you will use your best efforts to provide consulting services as may be requested by the Company from time to time in the areas of your experience and expertise, which shall include (without limitation) providing assistance and support to transition your work duties and responsibilities and assistance with respect to the Company’s current litigation and regulatory proceedings (the “</w:t>
      </w:r>
      <w:r>
        <w:rPr>
          <w:rFonts w:ascii="Times New Roman" w:cs="Times New Roman" w:eastAsia="Times New Roman" w:hAnsi="Times New Roman"/>
          <w:sz w:val="20"/>
          <w:szCs w:val="20"/>
          <w:u w:val="single" w:color="auto"/>
          <w:color w:val="auto"/>
        </w:rPr>
        <w:t>Consulting Services</w:t>
      </w:r>
      <w:r>
        <w:rPr>
          <w:rFonts w:ascii="Times New Roman" w:cs="Times New Roman" w:eastAsia="Times New Roman" w:hAnsi="Times New Roman"/>
          <w:sz w:val="20"/>
          <w:szCs w:val="20"/>
          <w:color w:val="auto"/>
        </w:rPr>
        <w:t>”). The Company anticipates that you will provide services at the request of, and subject to the direction of, the Company’s Chief Executive Officer or such other Company executive as the Chief Executive Officer may designate but no more than 20 percent of the average level of bona fide services you performed over the immediately preceding 36-month period. You agree to exercise the highest degree of professionalism and utilize your expertise and creative talents in performing these services. You will not be required to report to the Company’s offices during the Consulting Period, except as specifically requested by the Company. When providing such services, you shall abide by the Company’s policies and procedures.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pay you a one-time lump sum cash amount of </w:t>
      </w:r>
      <w:r>
        <w:rPr>
          <w:rFonts w:ascii="Times New Roman" w:cs="Times New Roman" w:eastAsia="Times New Roman" w:hAnsi="Times New Roman"/>
          <w:sz w:val="17"/>
          <w:szCs w:val="17"/>
          <w:color w:val="auto"/>
        </w:rPr>
        <w:t>$1,644,876.58</w:t>
      </w:r>
      <w:r>
        <w:rPr>
          <w:rFonts w:ascii="Times New Roman" w:cs="Times New Roman" w:eastAsia="Times New Roman" w:hAnsi="Times New Roman"/>
          <w:sz w:val="20"/>
          <w:szCs w:val="20"/>
          <w:color w:val="auto"/>
        </w:rPr>
        <w:t>, for the Consulting Services on the first payroll cycle following the effective date of this Agreement (the “</w:t>
      </w:r>
      <w:r>
        <w:rPr>
          <w:rFonts w:ascii="Times New Roman" w:cs="Times New Roman" w:eastAsia="Times New Roman" w:hAnsi="Times New Roman"/>
          <w:sz w:val="20"/>
          <w:szCs w:val="20"/>
          <w:u w:val="single" w:color="auto"/>
          <w:color w:val="auto"/>
        </w:rPr>
        <w:t>Consulting Fee</w:t>
      </w:r>
      <w:r>
        <w:rPr>
          <w:rFonts w:ascii="Times New Roman" w:cs="Times New Roman" w:eastAsia="Times New Roman" w:hAnsi="Times New Roman"/>
          <w:sz w:val="20"/>
          <w:szCs w:val="20"/>
          <w:color w:val="auto"/>
        </w:rPr>
        <w:t>”). At the same time that the Consulting Fee is paid to you, the Company will also provide you with an additional cash payment (the “</w:t>
      </w:r>
      <w:r>
        <w:rPr>
          <w:rFonts w:ascii="Times New Roman" w:cs="Times New Roman" w:eastAsia="Times New Roman" w:hAnsi="Times New Roman"/>
          <w:sz w:val="20"/>
          <w:szCs w:val="20"/>
          <w:u w:val="single" w:color="auto"/>
          <w:color w:val="auto"/>
        </w:rPr>
        <w:t>Tax Gross-Up Payment</w:t>
      </w:r>
      <w:r>
        <w:rPr>
          <w:rFonts w:ascii="Times New Roman" w:cs="Times New Roman" w:eastAsia="Times New Roman" w:hAnsi="Times New Roman"/>
          <w:sz w:val="20"/>
          <w:szCs w:val="20"/>
          <w:color w:val="auto"/>
        </w:rPr>
        <w:t>”) intended to offset taxes, including, without limitation, any U.S. federal or state and local income tax and any self-employment taxes (collectively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you are required to pay in connection with the receipt of the Consulting Fee. The Tax Gross-Up Payment shall be in an amount such that after payment by you of all Taxes imposed upon you with respect to the receipt of the Tax Gross-Up Payment (computed at the highest applicable marginal rate), you shall retain an amount equal to the full amount of the Taxes imposed upon you with respect to the receipt of the Consulting Fee (computed at the highest applicable marginal rate). Unless required by law as reasonably determined by the Company, the Company will not make any withholdings or deductions, and will issue you an IRS Form 1099, with respect to any Consulting Fee paid to you.</w:t>
      </w:r>
    </w:p>
    <w:p>
      <w:pPr>
        <w:spacing w:after="0" w:line="161"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relationship with the Company as a consultant will be that of an independent contractor only, and nothing herein is intended to, or should be construed to, create a partnership, agency, joint venture or employment relationship between the Company and you. As an independent contractor, you will not be entitled to any of the benefits that the Company may make available to its employees generally, including but not limited to group health or life insurance, profit-sharing or retirement benefits. During the Consulting Period, you will have no responsibilities or authority as a consultant to the Company other than as provided above. You will have no authority to bind the Company to any contractual obligations, whether written, oral or implied, except with the prior written authorization of an officer of the Company. You agree not to represent or purport to represent the Company in any manner whatsoever to any third party unless authorized in advance by the Company, in writing, to do so. Throughout the Consulting Period, you shall have the right to engage in employment, consulting, or other work relationships in addition to your work for the Company, provided that such activities do not unreasonably interfere with your obligations under this Agreement, and in any event, unless otherwise waived in writing by the Company, do not compete or otherwise conflict with, directly or indirectly, the business, operations and interests of the Company. You further acknowledge and reaffirm your continuing obligations, both during the Consulting Period and thereafter (as applicable), under the Employee Confidential Information and Inventions Assignment Agreement (“</w:t>
      </w:r>
      <w:r>
        <w:rPr>
          <w:rFonts w:ascii="Times New Roman" w:cs="Times New Roman" w:eastAsia="Times New Roman" w:hAnsi="Times New Roman"/>
          <w:sz w:val="20"/>
          <w:szCs w:val="20"/>
          <w:u w:val="single" w:color="auto"/>
          <w:color w:val="auto"/>
        </w:rPr>
        <w:t>CIIAA</w:t>
      </w:r>
      <w:r>
        <w:rPr>
          <w:rFonts w:ascii="Times New Roman" w:cs="Times New Roman" w:eastAsia="Times New Roman" w:hAnsi="Times New Roman"/>
          <w:sz w:val="20"/>
          <w:szCs w:val="20"/>
          <w:color w:val="auto"/>
        </w:rPr>
        <w:t>”) you previously entered into with the Company and which is incorporated herein by reference.</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Consulting Period shall end on the earliest to occur of the following: (i) May 31, 2023, unless the Consulting Period is extended by mutual agreement of the parties; and (ii) immediately upon the Company’s written notice to you that you have materially breached any of your obligations hereunder or have materially breached any of your obligations under your Confidential Information and Inventions Assignment Agreement.</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4" w:right="339" w:bottom="1440" w:gutter="0" w:footer="0" w:header="0"/>
        </w:sectPr>
      </w:pPr>
    </w:p>
    <w:bookmarkStart w:id="147" w:name="page148"/>
    <w:bookmarkEnd w:id="147"/>
    <w:p>
      <w:pPr>
        <w:jc w:val="both"/>
        <w:ind w:firstLine="1304"/>
        <w:spacing w:after="0" w:line="208" w:lineRule="auto"/>
        <w:tabs>
          <w:tab w:leader="none" w:pos="193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the Severance Benefits set forth in Section 4 above, you and anyone and any entity claiming through you, including but not limited to, your heirs, administrators, successors in interest, assigns and agents, hereby release and forever discharge the Company and each of its respective past, present and future employees, officers, directors, members, agents, trustees, administrators, representatives, owners, shareholders, partners, insurers, fiduciaries, attorneys, subsidiaries, parent companies, affiliates, related entities, assigns, predecessors and successors in interest, as well as each of their past, present and future employees, officers, directors, members, agents, trustees, administrators, representatives, owners, shareholders, partners, insurers, fiduciaries, attorneys, subsidiaries, parent companies, affiliates, related entities, assigns, predecessors and successors in interest, jointly and severally, (referred to collectively hereafter as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from any and all liabilities, claims, causes of action, charges, complaints, obligations, costs, losses, damages, injuries, penalties, interest, attorneys’ fees, and other legal responsibilities, of any form whatsoever, whether known or unknown, unforeseen, unanticipated, unsuspected or latent (referred to collectively hereafter as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which you have at any time owned or held up to and including the date you sign this Agreement including, and without limiting the generality of the foregoing, any and all Claims arising out of, connected with, or relating to: (i) your employment or termination of employment with the Company; (ii) any act or omission by or on the part of any of the Releasees; (iii) any Claim for violation of any federal, state or local law or regulation prohibiting discrimination, failure to prevent discrimination, harassment or retaliation of any kind; (iv) any alleged violation of the California Labor Code, applicable California Wage Order, Age Discrimination in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xml:space="preserve">”), Fair Labor Standards Act or the Consolidated Omnibus Budget Reconciliation Act (COBRA), as amended; (v) breach of any express or implied employment contract or agreement, wrongful discharge, breach of the implied covenant of good faith and fair dealing, intentional or negligent infliction of emotional distress, fraud, misrepresentation, defamation, trespass, conversion, interference with prospective economic advantage, invasion of privacy; (vi) any federal, state or local law regulating compensation, wages, hours, bonuses, commissions, overtime, benefits, monies, pay, allowances, benefits, sick pay, severance pay, retention pay or benefits, paid leave benefits, vacation pay, paid time off (PTO), penalties, interest or damages; and (vii) except as provided in Section 4 above, any Claim for attorneys’ fees, costs or expenses. The foregoing release does not apply to (x) any Claim to enforce this Agreement, (y) any Claim for indemnification and directors and officers liability insurance coverage under Section 13 of your Employment Agreement, or (z) any Claim that cannot be released as a matter of law. </w:t>
      </w:r>
      <w:r>
        <w:rPr>
          <w:rFonts w:ascii="Times New Roman" w:cs="Times New Roman" w:eastAsia="Times New Roman" w:hAnsi="Times New Roman"/>
          <w:sz w:val="20"/>
          <w:szCs w:val="20"/>
          <w:b w:val="1"/>
          <w:bCs w:val="1"/>
          <w:color w:val="auto"/>
        </w:rPr>
        <w:t>You acknowledge that you have been advised,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as required by California Government Code Section 12964.5(b)(4), that you have the right to consult an attorney regarding this Agreement and that you were given a reasonable time period of not less than five (5) business days in which to do so. </w:t>
      </w:r>
      <w:r>
        <w:rPr>
          <w:rFonts w:ascii="Times New Roman" w:cs="Times New Roman" w:eastAsia="Times New Roman" w:hAnsi="Times New Roman"/>
          <w:sz w:val="20"/>
          <w:szCs w:val="20"/>
          <w:color w:val="auto"/>
        </w:rPr>
        <w:t>You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20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acknowledge that you are knowingly and voluntarily waiving and releasing any rights you may have under the ADEA, and that the consideration given for the waiver and release in this Section is in addition to anything of value to which you are already entitled. You further acknowledge that you have been advised, as required by the ADEA, that: (i) your waiver and release do not apply to any rights or claims that may arise after the date that you sign this Agreement; (ii) you should consult with an attorney prior to signing this Agreement (although you may choose voluntarily not to do so); (iii) you have twenty-one (21) days to consider this Agreement (although you may choose voluntarily to sign it earlier); (iv) you have seven (7) days following the date you sign this Agreement to revoke it (by providing written notice of your revocation to me); and (v) this Agreement will not be effective until the date upon which the revocation period has expired, which will be the eighth day after the date that this Agreement is signed by you provided that you do not revoke it.</w:t>
      </w:r>
    </w:p>
    <w:p>
      <w:pPr>
        <w:spacing w:after="0" w:line="149" w:lineRule="exact"/>
        <w:rPr>
          <w:rFonts w:ascii="Times New Roman" w:cs="Times New Roman" w:eastAsia="Times New Roman" w:hAnsi="Times New Roman"/>
          <w:sz w:val="19"/>
          <w:szCs w:val="19"/>
          <w:color w:val="auto"/>
        </w:rPr>
      </w:pPr>
    </w:p>
    <w:p>
      <w:pPr>
        <w:jc w:val="both"/>
        <w:ind w:firstLine="656"/>
        <w:spacing w:after="0" w:line="222" w:lineRule="auto"/>
        <w:tabs>
          <w:tab w:leader="none" w:pos="12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Unknown Claims</w:t>
      </w:r>
      <w:r>
        <w:rPr>
          <w:rFonts w:ascii="Times New Roman" w:cs="Times New Roman" w:eastAsia="Times New Roman" w:hAnsi="Times New Roman"/>
          <w:sz w:val="20"/>
          <w:szCs w:val="20"/>
          <w:color w:val="auto"/>
        </w:rPr>
        <w:t>. The Release in Section 7 of this Agreement is intended to be a full and final release by you covering all suspected, unknown, undisclosed and unanticipated Claims which may have arisen, or may arise, from any act or omission prior to the date that you sign this Agreement, and which arise out of or are related, directly or indirectly, to the dealings between the Parties to this Agreement, or any matters described in Section 7 above. You hereby waive any and all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benefits which you may now have, or in the future may have, under the terms of Section 1542 of the California Civil Code, which provides as follows:</w:t>
      </w:r>
    </w:p>
    <w:p>
      <w:pPr>
        <w:spacing w:after="0" w:line="175" w:lineRule="exact"/>
        <w:rPr>
          <w:sz w:val="20"/>
          <w:szCs w:val="20"/>
          <w:color w:val="auto"/>
        </w:rPr>
      </w:pPr>
    </w:p>
    <w:p>
      <w:pPr>
        <w:ind w:left="660" w:right="660"/>
        <w:spacing w:after="0" w:line="234" w:lineRule="auto"/>
        <w:rPr>
          <w:sz w:val="20"/>
          <w:szCs w:val="20"/>
          <w:color w:val="auto"/>
        </w:rPr>
      </w:pPr>
      <w:r>
        <w:rPr>
          <w:rFonts w:ascii="Times New Roman" w:cs="Times New Roman" w:eastAsia="Times New Roman" w:hAnsi="Times New Roman"/>
          <w:sz w:val="19"/>
          <w:szCs w:val="19"/>
          <w:color w:val="auto"/>
        </w:rPr>
        <w:t>“A GENERAL RELEASE DOES NOT EXTEND TO CLAIMS THAT THE CREDITOR OR RELEASING PARTY DOES NOT KNOW OR SUSPECT TO EXIST IN HIS OR HER FAVOR AT THE TIME OF EXECUTING THE RELEASE, AND</w:t>
      </w:r>
    </w:p>
    <w:p>
      <w:pPr>
        <w:spacing w:after="0" w:line="1" w:lineRule="exact"/>
        <w:rPr>
          <w:sz w:val="20"/>
          <w:szCs w:val="20"/>
          <w:color w:val="auto"/>
        </w:rPr>
      </w:pPr>
    </w:p>
    <w:p>
      <w:pPr>
        <w:ind w:left="660" w:right="660"/>
        <w:spacing w:after="0" w:line="221" w:lineRule="auto"/>
        <w:rPr>
          <w:sz w:val="20"/>
          <w:szCs w:val="20"/>
          <w:color w:val="auto"/>
        </w:rPr>
      </w:pPr>
      <w:r>
        <w:rPr>
          <w:rFonts w:ascii="Times New Roman" w:cs="Times New Roman" w:eastAsia="Times New Roman" w:hAnsi="Times New Roman"/>
          <w:sz w:val="20"/>
          <w:szCs w:val="20"/>
          <w:color w:val="auto"/>
        </w:rPr>
        <w:t>THAT IF KNOWN BY HIM OR HER WOULD HAVE MATERIALLY AFFECTED HIS OR HER SETTLEMENT WITH THE DEBTOR OR RELEASED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Notwithstanding the provisions of Section 1542, and for the purpose of implementing a full and complete release and discharge, you</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expressly acknowledge that this Agreement is intended to include and does include in its effect, without limitation, all Claims which you do not know or suspect to exist in your favor against the other Releasees up to and including the date you sign this Agreement and that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expressly contemplates the extinguishment of all such Claims.</w:t>
      </w:r>
    </w:p>
    <w:p>
      <w:pPr>
        <w:spacing w:after="0" w:line="194" w:lineRule="exact"/>
        <w:rPr>
          <w:sz w:val="20"/>
          <w:szCs w:val="20"/>
          <w:color w:val="auto"/>
        </w:rPr>
      </w:pPr>
    </w:p>
    <w:p>
      <w:pPr>
        <w:jc w:val="both"/>
        <w:ind w:firstLine="656"/>
        <w:spacing w:after="0" w:line="217" w:lineRule="auto"/>
        <w:tabs>
          <w:tab w:leader="none" w:pos="129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Covenant Not to Sue; No Workplace Injury</w:t>
      </w:r>
      <w:r>
        <w:rPr>
          <w:rFonts w:ascii="Times New Roman" w:cs="Times New Roman" w:eastAsia="Times New Roman" w:hAnsi="Times New Roman"/>
          <w:sz w:val="20"/>
          <w:szCs w:val="20"/>
          <w:color w:val="auto"/>
        </w:rPr>
        <w:t>. The Parties acknowledge and agree that each Party has not and will not directly or indirectly institute or assist in any legal action against the other Party based upon, arising out of, or related to any Claims released herein. Each Party has not and will not directly or indirectly assist or encourage and/or solicit any third party to institute or continue any legal action against the other Party. You acknowledge and agree that you have not sustained any workplace injury of any kind during your employment with the Company, and that you do not intend to file any claim for or seek any workers’ compensation benefits.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2"/>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the terms and conditions of this Agreement are confidential, including, but not limited to, the amounts paid to you under this Agreement. You will not disclose the existence of this Agreement or any of its terms to any person except to your spouse and legal and accounting advisors and then only after securing the agreement of each such individual to maintain the confidentiality of this Agreement. If you or any of the foregoing persons are required or compelled by law (including but not limited to lawful subpoena or legal process) to make any disclosure to anyone beyond that which is authorized in this Section, you will provide the maximum amount of notice that is reasonably practicable under the circumstances to the Company’s legal counsel before any such disclosure is made.</w:t>
      </w:r>
    </w:p>
    <w:p>
      <w:pPr>
        <w:spacing w:after="0" w:line="150" w:lineRule="exact"/>
        <w:rPr>
          <w:rFonts w:ascii="Times New Roman" w:cs="Times New Roman" w:eastAsia="Times New Roman" w:hAnsi="Times New Roman"/>
          <w:sz w:val="19"/>
          <w:szCs w:val="19"/>
          <w:color w:val="auto"/>
        </w:rPr>
      </w:pPr>
    </w:p>
    <w:p>
      <w:pPr>
        <w:jc w:val="both"/>
        <w:ind w:firstLine="1304"/>
        <w:spacing w:after="0" w:line="214" w:lineRule="auto"/>
        <w:tabs>
          <w:tab w:leader="none" w:pos="1932"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you understand that nothing in this Agreement prevents you from filing, cooperating with, or participating in any proceeding before the Equal Employment Opportunity Commission, the Department of Labor, the California Department of Fair Employment and Housing, or any other government agency, except that you acknowledge and agree that you hereby waive your right to any monetary benefits in connection with any such claim, charge or proceeding. Additionally, while this Agreement does not limit your right to receive an award for information provided to the Securities and Exchange Commission, you are otherwise waiving, to the fullest extent permitted by law, any and all rights you may have to individual relief based on any claims that you have released and any rights you have waived by signing this Agreement. Nothing in this Agreement prevents you from discussing or disclosing information about unlawful acts in the workplace, such as harassment or discrimination or any other conduct that you have reason to believe is unlawful.</w:t>
      </w:r>
    </w:p>
    <w:p>
      <w:pPr>
        <w:spacing w:after="0" w:line="152"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4"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during the term of your employment by the Company, you have had access to and possession of Confidential Information (defined below), and that following the Termination Date, and as an express condition of your receipt of the Severance Benefits, you must continue to comply with the terms of the CIIAA.</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Agreement,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shall have the meaning ascribed to such term in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CIIAA.</w:t>
      </w:r>
    </w:p>
    <w:p>
      <w:pPr>
        <w:spacing w:after="0" w:line="166" w:lineRule="exact"/>
        <w:rPr>
          <w:rFonts w:ascii="Times New Roman" w:cs="Times New Roman" w:eastAsia="Times New Roman" w:hAnsi="Times New Roman"/>
          <w:sz w:val="20"/>
          <w:szCs w:val="20"/>
          <w:color w:val="auto"/>
        </w:rPr>
      </w:pPr>
    </w:p>
    <w:p>
      <w:pPr>
        <w:ind w:left="880" w:hanging="350"/>
        <w:spacing w:after="0"/>
        <w:tabs>
          <w:tab w:leader="none" w:pos="88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Non-Solicitation</w:t>
      </w:r>
      <w:r>
        <w:rPr>
          <w:rFonts w:ascii="Times New Roman" w:cs="Times New Roman" w:eastAsia="Times New Roman" w:hAnsi="Times New Roman"/>
          <w:sz w:val="19"/>
          <w:szCs w:val="19"/>
          <w:color w:val="auto"/>
        </w:rPr>
        <w:t>. You acknowledge and agree that following the Termination Date you must comply with Section 6 of the CIIAA.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9" w:right="339" w:bottom="1440" w:gutter="0" w:footer="0" w:header="0"/>
        </w:sectPr>
      </w:pPr>
    </w:p>
    <w:bookmarkStart w:id="149" w:name="page150"/>
    <w:bookmarkEnd w:id="149"/>
    <w:p>
      <w:pPr>
        <w:jc w:val="both"/>
        <w:ind w:firstLine="656"/>
        <w:spacing w:after="0" w:line="216" w:lineRule="auto"/>
        <w:tabs>
          <w:tab w:leader="none" w:pos="109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You agree that, at all times following the Termination Date you will not make any voluntary statements, written or oral, or cause or encourage others to make any such statements that defame, disparage or in any way criticize the personal and/or business reputations, practices or conduct of the Company or any of the other Releasees, unless otherwise expressly allowed by law. The Company will instruct its directors and officers not to make any voluntary statements, written or oral, or cause or encourage others to make any such statements that defame, disparage or in any way criticize your personal and/or business reputation, unless otherwise expressly allowed by law.</w:t>
      </w:r>
    </w:p>
    <w:p>
      <w:pPr>
        <w:spacing w:after="0" w:line="189" w:lineRule="exact"/>
        <w:rPr>
          <w:rFonts w:ascii="Times New Roman" w:cs="Times New Roman" w:eastAsia="Times New Roman" w:hAnsi="Times New Roman"/>
          <w:sz w:val="20"/>
          <w:szCs w:val="20"/>
          <w:color w:val="auto"/>
        </w:rPr>
      </w:pPr>
    </w:p>
    <w:p>
      <w:pPr>
        <w:jc w:val="both"/>
        <w:ind w:firstLine="656"/>
        <w:spacing w:after="0" w:line="216" w:lineRule="auto"/>
        <w:tabs>
          <w:tab w:leader="none" w:pos="112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 and Return of Company Property</w:t>
      </w:r>
      <w:r>
        <w:rPr>
          <w:rFonts w:ascii="Times New Roman" w:cs="Times New Roman" w:eastAsia="Times New Roman" w:hAnsi="Times New Roman"/>
          <w:sz w:val="20"/>
          <w:szCs w:val="20"/>
          <w:color w:val="auto"/>
        </w:rPr>
        <w:t>. You represent and warrant that, except with respect to items that you reasonably require for your continued service as a member of the Board, all Company property and other proprietary items have been returned to an authorized officer of the Company, including but not limited to, any computer hardware or software, credit cards, key cards, cellular phones, any books or manuals issued by the Company and any other Confidential Information (including, without limitation, all copies or reproductions of such documents or materials, computer disks, backup copies, and other forms of electronic storage media), and that you have not retained any copies thereof.</w:t>
      </w:r>
    </w:p>
    <w:p>
      <w:pPr>
        <w:spacing w:after="0" w:line="189" w:lineRule="exact"/>
        <w:rPr>
          <w:rFonts w:ascii="Times New Roman" w:cs="Times New Roman" w:eastAsia="Times New Roman" w:hAnsi="Times New Roman"/>
          <w:sz w:val="20"/>
          <w:szCs w:val="20"/>
          <w:color w:val="auto"/>
        </w:rPr>
      </w:pPr>
    </w:p>
    <w:p>
      <w:pPr>
        <w:ind w:firstLine="656"/>
        <w:spacing w:after="0"/>
        <w:tabs>
          <w:tab w:leader="none" w:pos="11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is held to be void, null or unenforceable, the remaining portions will remain in full force and effect.</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deemed to have been executed and delivered within the State of California, and the rights and obligations of the parties hereunder shall be construed and enforced in accordance with, and governed by, the laws of the State of California, without regard to principles of conflict of laws.</w:t>
      </w:r>
    </w:p>
    <w:p>
      <w:pPr>
        <w:spacing w:after="0" w:line="175" w:lineRule="exact"/>
        <w:rPr>
          <w:rFonts w:ascii="Times New Roman" w:cs="Times New Roman" w:eastAsia="Times New Roman" w:hAnsi="Times New Roman"/>
          <w:sz w:val="20"/>
          <w:szCs w:val="20"/>
          <w:color w:val="auto"/>
        </w:rPr>
      </w:pPr>
    </w:p>
    <w:p>
      <w:pPr>
        <w:ind w:firstLine="656"/>
        <w:spacing w:after="0"/>
        <w:tabs>
          <w:tab w:leader="none" w:pos="118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each counterpart, when executed, shall have the efficacy of a signed original. Photographic or facsimile copies of such signed counterparts may be used in lieu of the originals for any purpose.</w:t>
      </w:r>
    </w:p>
    <w:p>
      <w:pPr>
        <w:spacing w:after="0" w:line="174" w:lineRule="exact"/>
        <w:rPr>
          <w:rFonts w:ascii="Times New Roman" w:cs="Times New Roman" w:eastAsia="Times New Roman" w:hAnsi="Times New Roman"/>
          <w:sz w:val="20"/>
          <w:szCs w:val="20"/>
          <w:color w:val="auto"/>
        </w:rPr>
      </w:pPr>
    </w:p>
    <w:p>
      <w:pPr>
        <w:jc w:val="both"/>
        <w:ind w:firstLine="656"/>
        <w:spacing w:after="0" w:line="220" w:lineRule="auto"/>
        <w:tabs>
          <w:tab w:leader="none" w:pos="11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w:t>
      </w:r>
      <w:r>
        <w:rPr>
          <w:rFonts w:ascii="Times New Roman" w:cs="Times New Roman" w:eastAsia="Times New Roman" w:hAnsi="Times New Roman"/>
          <w:sz w:val="20"/>
          <w:szCs w:val="20"/>
          <w:color w:val="auto"/>
        </w:rPr>
        <w:t>. You and the Company agree that any and all disputes, claims, or controversies of any nature whatsoever arising from, or relating to, this Agreement or its interpretation, enforcement, breach, performance or execution, your employment or the termination of such employment, and any consulting engagement with the Company (including, but not limited to, any statutory claims) (collectively,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shall be resolved with final, binding, and confidential arbitration pursuant to Section 11 of the Employment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w:t>
      </w:r>
      <w:r>
        <w:rPr>
          <w:rFonts w:ascii="Times New Roman" w:cs="Times New Roman" w:eastAsia="Times New Roman" w:hAnsi="Times New Roman"/>
          <w:sz w:val="20"/>
          <w:szCs w:val="20"/>
          <w:color w:val="auto"/>
        </w:rPr>
        <w:t>. Neither this Agreement nor the furnishing of the consideration for this Agreement will be deemed or construed as an admission of liability or wrongdoing on the part of you or the Releasees, nor will it be admissible as evidence in any proceeding other than for the enforcement of this Agreement.</w:t>
      </w:r>
    </w:p>
    <w:p>
      <w:pPr>
        <w:spacing w:after="0" w:line="187" w:lineRule="exact"/>
        <w:rPr>
          <w:rFonts w:ascii="Times New Roman" w:cs="Times New Roman" w:eastAsia="Times New Roman" w:hAnsi="Times New Roman"/>
          <w:sz w:val="20"/>
          <w:szCs w:val="20"/>
          <w:color w:val="auto"/>
        </w:rPr>
      </w:pPr>
    </w:p>
    <w:p>
      <w:pPr>
        <w:jc w:val="both"/>
        <w:ind w:firstLine="656"/>
        <w:spacing w:after="0" w:line="226" w:lineRule="auto"/>
        <w:tabs>
          <w:tab w:leader="none" w:pos="120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You acknowledge that you have read this Agreement, fully understand the contents of this Agreement, freely, voluntarily and without coercion enter into this Agreement, and are signing it with full knowledge that it is intended, to the maximum extent permitted by law, as a complete release and waiver of any and all claims you may have against the Company.</w:t>
      </w:r>
    </w:p>
    <w:p>
      <w:pPr>
        <w:spacing w:after="0" w:line="187" w:lineRule="exact"/>
        <w:rPr>
          <w:rFonts w:ascii="Times New Roman" w:cs="Times New Roman" w:eastAsia="Times New Roman" w:hAnsi="Times New Roman"/>
          <w:sz w:val="20"/>
          <w:szCs w:val="20"/>
          <w:color w:val="auto"/>
        </w:rPr>
      </w:pPr>
    </w:p>
    <w:p>
      <w:pPr>
        <w:jc w:val="both"/>
        <w:ind w:firstLine="656"/>
        <w:spacing w:after="0" w:line="216" w:lineRule="auto"/>
        <w:tabs>
          <w:tab w:leader="none" w:pos="113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 Agreement</w:t>
      </w:r>
      <w:r>
        <w:rPr>
          <w:rFonts w:ascii="Times New Roman" w:cs="Times New Roman" w:eastAsia="Times New Roman" w:hAnsi="Times New Roman"/>
          <w:sz w:val="20"/>
          <w:szCs w:val="20"/>
          <w:color w:val="auto"/>
        </w:rPr>
        <w:t xml:space="preserve">. During the Consulting Period and thereafter, and as a specific Consulting Service to be rendered by you, you agree to cooperate with the Company in connection with any and all pending or future litigation, regulatory or administrative claims, investigations, or proceedings involving the Company, including (without limitation) your meeting with the Company's counsel and/or advisors at reasonable times, upon their request, and providing written statements or live testimony (in court or at depositions) that is truthful, and complete in accordance with information known to you;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reasonably seek to minimize interruptions to your personal and work schedule at such time.</w:t>
      </w:r>
    </w:p>
    <w:p>
      <w:pPr>
        <w:spacing w:after="0" w:line="189" w:lineRule="exact"/>
        <w:rPr>
          <w:rFonts w:ascii="Times New Roman" w:cs="Times New Roman" w:eastAsia="Times New Roman" w:hAnsi="Times New Roman"/>
          <w:sz w:val="20"/>
          <w:szCs w:val="20"/>
          <w:color w:val="auto"/>
        </w:rPr>
      </w:pPr>
    </w:p>
    <w:p>
      <w:pPr>
        <w:jc w:val="both"/>
        <w:ind w:firstLine="656"/>
        <w:spacing w:after="0" w:line="226" w:lineRule="auto"/>
        <w:tabs>
          <w:tab w:leader="none" w:pos="110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contains all of the terms, conditions, promises, representations and understandings between the Parties with respect to this subject matter, and supersedes any previous written or oral agreements between the Parties with respect to this subject matter.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color w:val="auto"/>
        </w:rPr>
        <w:t>Agreement cannot be modified except by a writing signed by you and an authorized officer of the Company.</w:t>
      </w:r>
    </w:p>
    <w:p>
      <w:pPr>
        <w:spacing w:after="0" w:line="21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PLEASE READ CAREFULLY. THIS AGREEMENT INCLUDES 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
        <w:spacing w:after="0"/>
        <w:tabs>
          <w:tab w:leader="none" w:pos="5920" w:val="left"/>
        </w:tabs>
        <w:rPr>
          <w:sz w:val="20"/>
          <w:szCs w:val="20"/>
          <w:color w:val="auto"/>
        </w:rPr>
      </w:pPr>
      <w:r>
        <w:rPr>
          <w:rFonts w:ascii="Times New Roman" w:cs="Times New Roman" w:eastAsia="Times New Roman" w:hAnsi="Times New Roman"/>
          <w:sz w:val="20"/>
          <w:szCs w:val="20"/>
          <w:color w:val="auto"/>
        </w:rPr>
        <w:t>Date: 1/10/2023</w:t>
      </w:r>
      <w:r>
        <w:rPr>
          <w:sz w:val="20"/>
          <w:szCs w:val="20"/>
          <w:color w:val="auto"/>
        </w:rPr>
        <w:tab/>
      </w:r>
      <w:r>
        <w:rPr>
          <w:rFonts w:ascii="Times New Roman" w:cs="Times New Roman" w:eastAsia="Times New Roman" w:hAnsi="Times New Roman"/>
          <w:sz w:val="19"/>
          <w:szCs w:val="19"/>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3947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Employee Signature</w:t>
      </w:r>
    </w:p>
    <w:p>
      <w:pPr>
        <w:spacing w:after="0" w:line="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3947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6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color w:val="auto"/>
        </w:rPr>
        <w:t>Printed Employee Name</w:t>
      </w:r>
    </w:p>
    <w:p>
      <w:pPr>
        <w:spacing w:after="0" w:line="332"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0"/>
          <w:szCs w:val="20"/>
          <w:color w:val="auto"/>
        </w:rPr>
        <w:t>Date: 1/10/2023</w:t>
      </w:r>
      <w:r>
        <w:rPr>
          <w:sz w:val="20"/>
          <w:szCs w:val="20"/>
          <w:color w:val="auto"/>
        </w:rPr>
        <w:tab/>
      </w:r>
      <w:r>
        <w:rPr>
          <w:rFonts w:ascii="Times New Roman" w:cs="Times New Roman" w:eastAsia="Times New Roman" w:hAnsi="Times New Roman"/>
          <w:sz w:val="21"/>
          <w:szCs w:val="21"/>
          <w:color w:val="auto"/>
        </w:rPr>
        <w:t>THE HONEST COMPANY, INC.</w:t>
      </w:r>
    </w:p>
    <w:p>
      <w:pPr>
        <w:spacing w:after="0" w:line="60" w:lineRule="exact"/>
        <w:rPr>
          <w:sz w:val="20"/>
          <w:szCs w:val="20"/>
          <w:color w:val="auto"/>
        </w:rPr>
      </w:pPr>
    </w:p>
    <w:p>
      <w:pPr>
        <w:ind w:left="5360"/>
        <w:spacing w:after="0"/>
        <w:tabs>
          <w:tab w:leader="none" w:pos="5880" w:val="left"/>
        </w:tabs>
        <w:rPr>
          <w:sz w:val="20"/>
          <w:szCs w:val="20"/>
          <w:color w:val="auto"/>
        </w:rPr>
      </w:pPr>
      <w:r>
        <w:rPr>
          <w:rFonts w:ascii="Times New Roman" w:cs="Times New Roman" w:eastAsia="Times New Roman" w:hAnsi="Times New Roman"/>
          <w:sz w:val="20"/>
          <w:szCs w:val="20"/>
          <w:color w:val="auto"/>
        </w:rPr>
        <w:t>By:</w:t>
        <w:tab/>
        <w:t>/s/ Brendan Sheehey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3947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61" w:lineRule="exact"/>
        <w:rPr>
          <w:sz w:val="20"/>
          <w:szCs w:val="20"/>
          <w:color w:val="auto"/>
        </w:rPr>
      </w:pPr>
    </w:p>
    <w:p>
      <w:pPr>
        <w:ind w:left="5360"/>
        <w:spacing w:after="0"/>
        <w:tabs>
          <w:tab w:leader="none" w:pos="5880" w:val="left"/>
        </w:tabs>
        <w:rPr>
          <w:sz w:val="20"/>
          <w:szCs w:val="20"/>
          <w:color w:val="auto"/>
        </w:rPr>
      </w:pPr>
      <w:r>
        <w:rPr>
          <w:rFonts w:ascii="Times New Roman" w:cs="Times New Roman" w:eastAsia="Times New Roman" w:hAnsi="Times New Roman"/>
          <w:sz w:val="20"/>
          <w:szCs w:val="20"/>
          <w:color w:val="auto"/>
        </w:rPr>
        <w:t>Its:</w:t>
        <w:tab/>
        <w:t>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31115</wp:posOffset>
            </wp:positionV>
            <wp:extent cx="33947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60"/>
          </w:cols>
          <w:pgMar w:left="320" w:top="1399" w:right="9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December 12 , 2022</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Carla Vernón 4528 Oxford Ave.</w:t>
      </w:r>
    </w:p>
    <w:p>
      <w:pPr>
        <w:ind w:left="60"/>
        <w:spacing w:after="0"/>
        <w:rPr>
          <w:sz w:val="20"/>
          <w:szCs w:val="20"/>
          <w:color w:val="auto"/>
        </w:rPr>
      </w:pPr>
      <w:r>
        <w:rPr>
          <w:rFonts w:ascii="Times New Roman" w:cs="Times New Roman" w:eastAsia="Times New Roman" w:hAnsi="Times New Roman"/>
          <w:sz w:val="22"/>
          <w:szCs w:val="22"/>
          <w:color w:val="auto"/>
        </w:rPr>
        <w:t>Edina, MN 55436</w:t>
      </w:r>
    </w:p>
    <w:p>
      <w:pPr>
        <w:spacing w:after="0" w:line="178" w:lineRule="exact"/>
        <w:rPr>
          <w:sz w:val="20"/>
          <w:szCs w:val="20"/>
          <w:color w:val="auto"/>
        </w:rPr>
      </w:pPr>
    </w:p>
    <w:p>
      <w:pPr>
        <w:ind w:left="60"/>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1"/>
          <w:szCs w:val="21"/>
          <w:b w:val="1"/>
          <w:bCs w:val="1"/>
          <w:color w:val="auto"/>
        </w:rPr>
        <w:t>Employment Agreement</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Dear Carla:</w:t>
      </w:r>
    </w:p>
    <w:p>
      <w:pPr>
        <w:spacing w:after="0" w:line="216" w:lineRule="exact"/>
        <w:rPr>
          <w:sz w:val="20"/>
          <w:szCs w:val="20"/>
          <w:color w:val="auto"/>
        </w:rPr>
      </w:pPr>
    </w:p>
    <w:p>
      <w:pPr>
        <w:ind w:left="60" w:right="100" w:firstLine="647"/>
        <w:spacing w:after="0" w:line="238" w:lineRule="auto"/>
        <w:rPr>
          <w:sz w:val="20"/>
          <w:szCs w:val="20"/>
          <w:color w:val="auto"/>
        </w:rPr>
      </w:pPr>
      <w:r>
        <w:rPr>
          <w:rFonts w:ascii="Times New Roman" w:cs="Times New Roman" w:eastAsia="Times New Roman" w:hAnsi="Times New Roman"/>
          <w:sz w:val="22"/>
          <w:szCs w:val="22"/>
          <w:color w:val="auto"/>
        </w:rPr>
        <w:t>The Honest Company,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pleased to offer you at-will employment in the position of Chief Executive Officer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on the terms and conditions set forth in this letter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0" w:right="100" w:firstLine="648"/>
        <w:spacing w:after="0" w:line="213" w:lineRule="auto"/>
        <w:tabs>
          <w:tab w:leader="none" w:pos="12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by the Company. </w:t>
      </w:r>
      <w:r>
        <w:rPr>
          <w:rFonts w:ascii="Times New Roman" w:cs="Times New Roman" w:eastAsia="Times New Roman" w:hAnsi="Times New Roman"/>
          <w:sz w:val="22"/>
          <w:szCs w:val="22"/>
          <w:color w:val="auto"/>
        </w:rPr>
        <w:t>This Agreement and your employment under the terms hereunder shall take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on January 9,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is an exempt position, and during your employment with the Company, you will devote your best efforts and substantially all of your business time and attention to the business of the Company, except for approved vacation periods and reasonable periods of illness or other incapacities permitted by the Company’s general employment policies. You shall perform such duties as are required by the Company’s Board of Directors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to whom you will report. Your primary work location shall be the Company’s office located in Los Angeles, California. The Company reserves the right to reasonably require you to perform your duties at places other than your primary office location from time to time, and to require reasonable business travel.</w:t>
      </w:r>
    </w:p>
    <w:p>
      <w:pPr>
        <w:spacing w:after="0" w:line="188" w:lineRule="exact"/>
        <w:rPr>
          <w:rFonts w:ascii="Times New Roman" w:cs="Times New Roman" w:eastAsia="Times New Roman" w:hAnsi="Times New Roman"/>
          <w:sz w:val="22"/>
          <w:szCs w:val="22"/>
          <w:b w:val="1"/>
          <w:bCs w:val="1"/>
          <w:color w:val="auto"/>
        </w:rPr>
      </w:pPr>
    </w:p>
    <w:p>
      <w:pPr>
        <w:ind w:left="1360" w:hanging="652"/>
        <w:spacing w:after="0"/>
        <w:tabs>
          <w:tab w:leader="none" w:pos="13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20" w:lineRule="exact"/>
        <w:rPr>
          <w:sz w:val="20"/>
          <w:szCs w:val="20"/>
          <w:color w:val="auto"/>
        </w:rPr>
      </w:pPr>
    </w:p>
    <w:p>
      <w:pPr>
        <w:jc w:val="both"/>
        <w:ind w:left="60" w:right="100" w:firstLine="1295"/>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2.1 Base Salary. </w:t>
      </w:r>
      <w:r>
        <w:rPr>
          <w:rFonts w:ascii="Times New Roman" w:cs="Times New Roman" w:eastAsia="Times New Roman" w:hAnsi="Times New Roman"/>
          <w:sz w:val="22"/>
          <w:szCs w:val="22"/>
          <w:color w:val="auto"/>
        </w:rPr>
        <w:t>For services to be rendered hereunder, you shall receive a base salary at the rate of $725,000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year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w:t>
      </w:r>
    </w:p>
    <w:p>
      <w:pPr>
        <w:spacing w:after="0" w:line="254" w:lineRule="exact"/>
        <w:rPr>
          <w:sz w:val="20"/>
          <w:szCs w:val="20"/>
          <w:color w:val="auto"/>
        </w:rPr>
      </w:pPr>
    </w:p>
    <w:p>
      <w:pPr>
        <w:jc w:val="both"/>
        <w:ind w:left="60" w:right="100" w:firstLine="1295"/>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2.2 Annual Bonus. </w:t>
      </w:r>
      <w:r>
        <w:rPr>
          <w:rFonts w:ascii="Times New Roman" w:cs="Times New Roman" w:eastAsia="Times New Roman" w:hAnsi="Times New Roman"/>
          <w:sz w:val="21"/>
          <w:szCs w:val="21"/>
          <w:color w:val="auto"/>
        </w:rPr>
        <w:t>You will be eligible for an annual discretionary bonus with a target amount of 100%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your then current annual Base Salary (the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Whether you receive an Annual Bonus for any given year, and the amount of any such Annual Bonus, will be determined by the Board of Directors of the Company and/or its Compensation Committee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in its discretion based upon the achievement of corporate and/or individual objectives and milestones that are determined in the sole discretion of the Board and other criteria to be determined by the Board. You must continue to be employed through the date the Annual Bonus is paid in order to earn such bonus. If your employment terminates for any reason prior to the payment date (except as provided in Section 7.1), you will not have earned, and will not be paid, any pro-rated bonus. The Annual Bonus, if earned, shall be paid to you in a lump sum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that follows the performance year, subject to applicable payroll deductions and withholdings.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100" w:right="339" w:bottom="1440" w:gutter="0" w:footer="0" w:header="0"/>
        </w:sectPr>
      </w:pPr>
    </w:p>
    <w:bookmarkStart w:id="152" w:name="page153"/>
    <w:bookmarkEnd w:id="152"/>
    <w:p>
      <w:pPr>
        <w:spacing w:after="0" w:line="194" w:lineRule="exact"/>
        <w:rPr>
          <w:sz w:val="20"/>
          <w:szCs w:val="20"/>
          <w:color w:val="auto"/>
        </w:rPr>
      </w:pPr>
    </w:p>
    <w:p>
      <w:pPr>
        <w:jc w:val="both"/>
        <w:ind w:left="60" w:firstLine="1295"/>
        <w:spacing w:after="0" w:line="210" w:lineRule="auto"/>
        <w:rPr>
          <w:sz w:val="20"/>
          <w:szCs w:val="20"/>
          <w:color w:val="auto"/>
        </w:rPr>
      </w:pPr>
      <w:r>
        <w:rPr>
          <w:rFonts w:ascii="Times New Roman" w:cs="Times New Roman" w:eastAsia="Times New Roman" w:hAnsi="Times New Roman"/>
          <w:sz w:val="22"/>
          <w:szCs w:val="22"/>
          <w:b w:val="1"/>
          <w:bCs w:val="1"/>
          <w:color w:val="auto"/>
        </w:rPr>
        <w:t>1.1 Equity</w:t>
      </w:r>
      <w:r>
        <w:rPr>
          <w:rFonts w:ascii="Times New Roman" w:cs="Times New Roman" w:eastAsia="Times New Roman" w:hAnsi="Times New Roman"/>
          <w:sz w:val="22"/>
          <w:szCs w:val="22"/>
          <w:color w:val="auto"/>
        </w:rPr>
        <w:t>. Subject to the approval of the Board, you will be granted restricted stock units ("RSUs")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 to $5,166,667 (“Initial Grant”), with the number of RSUs to be calculated by dividing the Initial Grant value by the 30-day trailing average closing price of a share of the Company’s common stock on the date of grant. Of the Initial Grant, restricted stock units ("RSUs") equivalent to $1,666,667 shall be deemed to represent a sign on grant (“Sign On Grant”). Initial Grant RSUs shall vest as to 25% of the RSUs on the Company’s first quarterly vesting date following the first anniversary of the grant date and in equal 6.25% quarterly installments thereafter. The Initial Grant will be subject to the terms and conditions of the Company’s 2021 Equity Incentive Plan and a form of award agreement and grant notice issued thereunder, subject to compliance with Section 409A of the Internal Revenue Code and any other applicable law. The Initial Grant will be subject to any recoupment policy adopted by the Company or as required by law. You will be eligible for future equity awards as determined by the Board in its sole discretion. Awards are generally subject to income and employment tax withholding upon settlement.</w:t>
      </w:r>
    </w:p>
    <w:p>
      <w:pPr>
        <w:spacing w:after="0" w:line="175" w:lineRule="exact"/>
        <w:rPr>
          <w:sz w:val="20"/>
          <w:szCs w:val="20"/>
          <w:color w:val="auto"/>
        </w:rPr>
      </w:pPr>
    </w:p>
    <w:p>
      <w:pPr>
        <w:ind w:left="1360"/>
        <w:spacing w:after="0"/>
        <w:tabs>
          <w:tab w:leader="none" w:pos="1980" w:val="left"/>
          <w:tab w:leader="none" w:pos="35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2"/>
          <w:szCs w:val="22"/>
          <w:b w:val="1"/>
          <w:bCs w:val="1"/>
          <w:color w:val="auto"/>
        </w:rPr>
        <w:t>Sign on Bonus.</w:t>
      </w:r>
      <w:r>
        <w:rPr>
          <w:sz w:val="20"/>
          <w:szCs w:val="20"/>
          <w:color w:val="auto"/>
        </w:rPr>
        <w:tab/>
      </w:r>
      <w:r>
        <w:rPr>
          <w:rFonts w:ascii="Times New Roman" w:cs="Times New Roman" w:eastAsia="Times New Roman" w:hAnsi="Times New Roman"/>
          <w:sz w:val="21"/>
          <w:szCs w:val="21"/>
          <w:color w:val="auto"/>
        </w:rPr>
        <w:t>You will be entitled to a sign on cash bonus of</w:t>
      </w:r>
    </w:p>
    <w:p>
      <w:pPr>
        <w:ind w:left="60" w:right="380"/>
        <w:spacing w:after="0" w:line="225" w:lineRule="auto"/>
        <w:rPr>
          <w:sz w:val="20"/>
          <w:szCs w:val="20"/>
          <w:color w:val="auto"/>
        </w:rPr>
      </w:pPr>
      <w:r>
        <w:rPr>
          <w:rFonts w:ascii="Times New Roman" w:cs="Times New Roman" w:eastAsia="Times New Roman" w:hAnsi="Times New Roman"/>
          <w:sz w:val="22"/>
          <w:szCs w:val="22"/>
          <w:color w:val="auto"/>
        </w:rPr>
        <w:t>$833,333 to be paid within sixty (60) days of the Effective Date. The sign on cash bonus will be subject to any recoupment policy adopted by the Company or as required by law.</w:t>
      </w:r>
    </w:p>
    <w:p>
      <w:pPr>
        <w:spacing w:after="0" w:line="173" w:lineRule="exact"/>
        <w:rPr>
          <w:sz w:val="20"/>
          <w:szCs w:val="20"/>
          <w:color w:val="auto"/>
        </w:rPr>
      </w:pPr>
    </w:p>
    <w:p>
      <w:pPr>
        <w:jc w:val="both"/>
        <w:ind w:left="60" w:firstLine="1295"/>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 Relocation. </w:t>
      </w:r>
      <w:r>
        <w:rPr>
          <w:rFonts w:ascii="Times New Roman" w:cs="Times New Roman" w:eastAsia="Times New Roman" w:hAnsi="Times New Roman"/>
          <w:sz w:val="22"/>
          <w:szCs w:val="22"/>
          <w:color w:val="auto"/>
        </w:rPr>
        <w:t>For the purposes of relocation to the Southern California area within the next 18 months,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entitled to a lump sum of $225,000, less any applicable withholdings, to be paid on the first payroll cycle following the Effective Date. This lump sum is subject to repayment at the discretion of the Board if you do not relocate to Southern California within 18 months of the Effective Date.</w:t>
      </w:r>
    </w:p>
    <w:p>
      <w:pPr>
        <w:spacing w:after="0" w:line="189" w:lineRule="exact"/>
        <w:rPr>
          <w:sz w:val="20"/>
          <w:szCs w:val="20"/>
          <w:color w:val="auto"/>
        </w:rPr>
      </w:pPr>
    </w:p>
    <w:p>
      <w:pPr>
        <w:jc w:val="both"/>
        <w:ind w:left="60" w:firstLine="648"/>
        <w:spacing w:after="0" w:line="221" w:lineRule="auto"/>
        <w:tabs>
          <w:tab w:leader="none" w:pos="122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You will be eligible for reimbursement of all reasonable, necessary and documented out-of-pocket business, entertainment, and travel expenses, excluding travel expenses to and from your current residence and Southern California during the 18 month relocation period, incurred by you in connection with the performance of your duties hereunder in accordance with the Company's expense reimbursement policies and procedures.</w:t>
      </w:r>
    </w:p>
    <w:p>
      <w:pPr>
        <w:spacing w:after="0" w:line="188" w:lineRule="exact"/>
        <w:rPr>
          <w:rFonts w:ascii="Times New Roman" w:cs="Times New Roman" w:eastAsia="Times New Roman" w:hAnsi="Times New Roman"/>
          <w:sz w:val="22"/>
          <w:szCs w:val="22"/>
          <w:b w:val="1"/>
          <w:bCs w:val="1"/>
          <w:color w:val="auto"/>
        </w:rPr>
      </w:pPr>
    </w:p>
    <w:p>
      <w:pPr>
        <w:jc w:val="both"/>
        <w:ind w:left="60" w:firstLine="648"/>
        <w:spacing w:after="0" w:line="211" w:lineRule="auto"/>
        <w:tabs>
          <w:tab w:leader="none" w:pos="122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Policies; Standard Company Benefits</w:t>
      </w:r>
      <w:r>
        <w:rPr>
          <w:rFonts w:ascii="Times New Roman" w:cs="Times New Roman" w:eastAsia="Times New Roman" w:hAnsi="Times New Roman"/>
          <w:sz w:val="22"/>
          <w:szCs w:val="22"/>
          <w:color w:val="auto"/>
        </w:rPr>
        <w:t>. The employment relationship between the parties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general employment policies and practices of the Company, except that when the terms of this Agreement differ from or are in conflict with the Company’s general employment policies or practices, this Agreement shall control. You shall be eligible to participate in all employee benefit programs for which you are eligible under the terms and conditions of the benefit plans that may be in effect from time to time and provided by the Company to its employees. The Company reserves the right to cancel or change the benefit plans or programs it offers to its employees at any time. You shall be reimbursed up to $20,000 annually for expenses related to tax and financial planning advice, contingent upon submission of receipts to the Company with respect thereto. The Company shall promptly pay or reimburse the legal fees incurred by the CEO in negotiating and preparing this Agreement and related documents, up to a maximum of $25,000. The Company shall purchase and maintain, at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400" w:top="1440" w:right="439" w:bottom="1440" w:gutter="0" w:footer="0" w:header="0"/>
        </w:sectPr>
      </w:pPr>
    </w:p>
    <w:bookmarkStart w:id="153" w:name="page154"/>
    <w:bookmarkEnd w:id="153"/>
    <w:p>
      <w:pPr>
        <w:spacing w:after="0" w:line="198" w:lineRule="exact"/>
        <w:rPr>
          <w:sz w:val="20"/>
          <w:szCs w:val="20"/>
          <w:color w:val="auto"/>
        </w:rPr>
      </w:pPr>
    </w:p>
    <w:p>
      <w:pPr>
        <w:ind w:left="60" w:right="20"/>
        <w:spacing w:after="0" w:line="236" w:lineRule="auto"/>
        <w:rPr>
          <w:sz w:val="20"/>
          <w:szCs w:val="20"/>
          <w:color w:val="auto"/>
        </w:rPr>
      </w:pPr>
      <w:r>
        <w:rPr>
          <w:rFonts w:ascii="Times New Roman" w:cs="Times New Roman" w:eastAsia="Times New Roman" w:hAnsi="Times New Roman"/>
          <w:sz w:val="22"/>
          <w:szCs w:val="22"/>
          <w:color w:val="auto"/>
        </w:rPr>
        <w:t>expense (including annual premiums) a $5,000,000 “key man” life insurance policy, for the benefit of the Company, during the tenure of your employment by the Company.</w:t>
      </w:r>
    </w:p>
    <w:p>
      <w:pPr>
        <w:spacing w:after="0" w:line="173" w:lineRule="exact"/>
        <w:rPr>
          <w:sz w:val="20"/>
          <w:szCs w:val="20"/>
          <w:color w:val="auto"/>
        </w:rPr>
      </w:pPr>
    </w:p>
    <w:p>
      <w:pPr>
        <w:jc w:val="both"/>
        <w:ind w:left="60" w:firstLine="648"/>
        <w:spacing w:after="0" w:line="216" w:lineRule="auto"/>
        <w:tabs>
          <w:tab w:leader="none" w:pos="12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w:t>
      </w:r>
      <w:r>
        <w:rPr>
          <w:rFonts w:ascii="Times New Roman" w:cs="Times New Roman" w:eastAsia="Times New Roman" w:hAnsi="Times New Roman"/>
          <w:sz w:val="22"/>
          <w:szCs w:val="22"/>
          <w:color w:val="auto"/>
        </w:rPr>
        <w:t>Your employment relationship is at-will. Either you or the Company may terminate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relationship at any time, with or without cause or advance notice. Subject to the “Good Reason” provision set forth in Section 7 and Section 8.3, the Company may, in its sole discretion, adjust salaries, incentive compensation, stock plans, benefits, job titles, locations, duties, responsibilities, and reporting relationships. Upon termination of your employment for any reason, you shall resign from all positions and terminate any relationships as an employee, advisor, officer or director with the Company and any of its affiliates, each effective on the date of termination.</w:t>
      </w:r>
    </w:p>
    <w:p>
      <w:pPr>
        <w:spacing w:after="0" w:line="186" w:lineRule="exact"/>
        <w:rPr>
          <w:rFonts w:ascii="Times New Roman" w:cs="Times New Roman" w:eastAsia="Times New Roman" w:hAnsi="Times New Roman"/>
          <w:sz w:val="22"/>
          <w:szCs w:val="22"/>
          <w:b w:val="1"/>
          <w:bCs w:val="1"/>
          <w:color w:val="auto"/>
        </w:rPr>
      </w:pPr>
    </w:p>
    <w:p>
      <w:pPr>
        <w:jc w:val="both"/>
        <w:ind w:left="60" w:firstLine="648"/>
        <w:spacing w:after="0" w:line="214" w:lineRule="auto"/>
        <w:tabs>
          <w:tab w:leader="none" w:pos="122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Outside Activities During Employment. </w:t>
      </w:r>
      <w:r>
        <w:rPr>
          <w:rFonts w:ascii="Times New Roman" w:cs="Times New Roman" w:eastAsia="Times New Roman" w:hAnsi="Times New Roman"/>
          <w:sz w:val="22"/>
          <w:szCs w:val="22"/>
          <w:color w:val="auto"/>
        </w:rPr>
        <w:t>Except with the prior written consent of the Board (which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unreasonably withheld), you will not during the term of your employment with the Company undertake or engage in any other employment, occupation or business enterprise, other than ones in which you are a passive investor. You may engage in civic and not-for-profit activities so long as such activities do not materially interfere with the performance of your duties hereunder. You agree not to acquire, assume or participate in, directly or indirectly, any position, investment or interest known to be materially adverse or antagonistic to the Company, its business or prospects, financial or otherwise and will divest any such investments or interests as reasonably requested by the Board.</w:t>
      </w:r>
    </w:p>
    <w:p>
      <w:pPr>
        <w:spacing w:after="0" w:line="256" w:lineRule="exact"/>
        <w:rPr>
          <w:rFonts w:ascii="Times New Roman" w:cs="Times New Roman" w:eastAsia="Times New Roman" w:hAnsi="Times New Roman"/>
          <w:sz w:val="22"/>
          <w:szCs w:val="22"/>
          <w:b w:val="1"/>
          <w:bCs w:val="1"/>
          <w:color w:val="auto"/>
        </w:rPr>
      </w:pPr>
    </w:p>
    <w:p>
      <w:pPr>
        <w:ind w:left="1360" w:hanging="652"/>
        <w:spacing w:after="0"/>
        <w:tabs>
          <w:tab w:leader="none" w:pos="13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Severance.</w:t>
      </w:r>
    </w:p>
    <w:p>
      <w:pPr>
        <w:spacing w:after="0" w:line="220" w:lineRule="exact"/>
        <w:rPr>
          <w:sz w:val="20"/>
          <w:szCs w:val="20"/>
          <w:color w:val="auto"/>
        </w:rPr>
      </w:pPr>
    </w:p>
    <w:p>
      <w:pPr>
        <w:jc w:val="both"/>
        <w:ind w:left="60" w:firstLine="1295"/>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7.1 Involuntary Termination. </w:t>
      </w:r>
      <w:r>
        <w:rPr>
          <w:rFonts w:ascii="Times New Roman" w:cs="Times New Roman" w:eastAsia="Times New Roman" w:hAnsi="Times New Roman"/>
          <w:sz w:val="22"/>
          <w:szCs w:val="22"/>
          <w:color w:val="auto"/>
        </w:rPr>
        <w:t>If you are subject to an Involuntary Termination and provided that you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compliance with the terms of this Agreement (including the conditions described in Section 7.3 below), the Company shall provide you with the following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60" w:firstLine="1945"/>
        <w:spacing w:after="0" w:line="206" w:lineRule="auto"/>
        <w:tabs>
          <w:tab w:leader="none" w:pos="2512"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Cash Severance. </w:t>
      </w:r>
      <w:r>
        <w:rPr>
          <w:rFonts w:ascii="Times New Roman" w:cs="Times New Roman" w:eastAsia="Times New Roman" w:hAnsi="Times New Roman"/>
          <w:sz w:val="22"/>
          <w:szCs w:val="22"/>
          <w:color w:val="auto"/>
        </w:rPr>
        <w:t>The Company shall pay you, as severance, the equivalent of (i) twelve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(the “</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of your Base Salary in effect as of the date of your employment termination and (ii) your target Annual Bonus with regard to the year in which your termination occurs, both subject to standard payroll deductions and withholdings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as a continuation on the Company’s regular payroll, beginning no later than the first regularly- scheduled payroll date following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your Separation from Service, provided the Separation Agreement (as discussed in Section 7.3) has become effective.</w:t>
      </w:r>
    </w:p>
    <w:p>
      <w:pPr>
        <w:spacing w:after="0" w:line="190" w:lineRule="exact"/>
        <w:rPr>
          <w:rFonts w:ascii="Times New Roman" w:cs="Times New Roman" w:eastAsia="Times New Roman" w:hAnsi="Times New Roman"/>
          <w:sz w:val="22"/>
          <w:szCs w:val="22"/>
          <w:b w:val="1"/>
          <w:bCs w:val="1"/>
          <w:color w:val="auto"/>
        </w:rPr>
      </w:pPr>
    </w:p>
    <w:p>
      <w:pPr>
        <w:jc w:val="both"/>
        <w:ind w:left="60" w:firstLine="1945"/>
        <w:spacing w:after="0" w:line="210" w:lineRule="auto"/>
        <w:tabs>
          <w:tab w:leader="none" w:pos="2511" w:val="left"/>
        </w:tabs>
        <w:numPr>
          <w:ilvl w:val="1"/>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of Continued Group Health Plan Benefits. </w:t>
      </w:r>
      <w:r>
        <w:rPr>
          <w:rFonts w:ascii="Times New Roman" w:cs="Times New Roman" w:eastAsia="Times New Roman" w:hAnsi="Times New Roman"/>
          <w:sz w:val="22"/>
          <w:szCs w:val="22"/>
          <w:color w:val="auto"/>
        </w:rPr>
        <w:t>If you are eligible for and timely elect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group health plan coverage under the Consolidated Omnibus Budget Reconciliation Act of 1985 or any state law of similar effect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following your Involuntary Termination, the Company will pay your COBRA group health insurance premiums for you and your eligible dependents directly to the insurer until the earliest of (A) the end of the period immediately following your Involuntary Termination that is equal to the Severance Period (the “</w:t>
      </w:r>
      <w:r>
        <w:rPr>
          <w:rFonts w:ascii="Times New Roman" w:cs="Times New Roman" w:eastAsia="Times New Roman" w:hAnsi="Times New Roman"/>
          <w:sz w:val="22"/>
          <w:szCs w:val="22"/>
          <w:b w:val="1"/>
          <w:bCs w:val="1"/>
          <w:i w:val="1"/>
          <w:iCs w:val="1"/>
          <w:color w:val="auto"/>
        </w:rPr>
        <w:t>COBRA Payment Period</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b w:val="1"/>
          <w:bCs w:val="1"/>
          <w:color w:val="auto"/>
        </w:rPr>
      </w:pPr>
    </w:p>
    <w:p>
      <w:pPr>
        <w:ind w:left="60" w:firstLine="1"/>
        <w:spacing w:after="0" w:line="225" w:lineRule="auto"/>
        <w:tabs>
          <w:tab w:leader="none" w:pos="41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of your eligibility for continuation coverage under COBRA, or (C) the date when you become eligible for substantially equivalent health insurance coverage in connection with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400" w:top="1440" w:right="439" w:bottom="1440" w:gutter="0" w:footer="0" w:header="0"/>
        </w:sectPr>
      </w:pPr>
    </w:p>
    <w:bookmarkStart w:id="154" w:name="page155"/>
    <w:bookmarkEnd w:id="154"/>
    <w:p>
      <w:pPr>
        <w:spacing w:after="0" w:line="198" w:lineRule="exact"/>
        <w:rPr>
          <w:sz w:val="20"/>
          <w:szCs w:val="20"/>
          <w:color w:val="auto"/>
        </w:rPr>
      </w:pPr>
    </w:p>
    <w:p>
      <w:pPr>
        <w:jc w:val="both"/>
        <w:ind w:left="60"/>
        <w:spacing w:after="0" w:line="219" w:lineRule="auto"/>
        <w:rPr>
          <w:sz w:val="20"/>
          <w:szCs w:val="20"/>
          <w:color w:val="auto"/>
        </w:rPr>
      </w:pPr>
      <w:r>
        <w:rPr>
          <w:rFonts w:ascii="Times New Roman" w:cs="Times New Roman" w:eastAsia="Times New Roman" w:hAnsi="Times New Roman"/>
          <w:sz w:val="21"/>
          <w:szCs w:val="21"/>
          <w:color w:val="auto"/>
        </w:rPr>
        <w:t>employment or self-employment. For purposes of this Section, references to COBRA premiums shall not include any amounts payable by you under a Section 125 health care reimbursement plan under the Code. Notwithstanding the foregoing, if at any time the Company determines, in its sole discretion, that it cannot pay the COBRA premiums without potentially incurring financial costs or penalties under applicable law (including, without limitation, Section 2716 of the Public Health Service Act), then regardless of whether you elect continued health coverage under COBRA, and in lieu of providing the COBRA premiums, the Company will instead pay you on the last day of each remaining month of the COBRA Payment Period, a fully taxable cash payment equal to the COBRA premiums for that month, subject to applicable tax withholdings (such amount, the “</w:t>
      </w:r>
      <w:r>
        <w:rPr>
          <w:rFonts w:ascii="Times New Roman" w:cs="Times New Roman" w:eastAsia="Times New Roman" w:hAnsi="Times New Roman"/>
          <w:sz w:val="21"/>
          <w:szCs w:val="21"/>
          <w:b w:val="1"/>
          <w:bCs w:val="1"/>
          <w:i w:val="1"/>
          <w:iCs w:val="1"/>
          <w:color w:val="auto"/>
        </w:rPr>
        <w:t>Special Severance Payment</w:t>
      </w:r>
      <w:r>
        <w:rPr>
          <w:rFonts w:ascii="Times New Roman" w:cs="Times New Roman" w:eastAsia="Times New Roman" w:hAnsi="Times New Roman"/>
          <w:sz w:val="21"/>
          <w:szCs w:val="21"/>
          <w:color w:val="auto"/>
        </w:rPr>
        <w:t>”), which payments shall continue until the earlier of expiration of the COBRA Payment Period or the date when you become eligible for substantially equivalent health insurance coverage in connection with new employment or self-employment. On the first payroll date following the effectiveness of the Release, the Company will make the first payment to the insurer under this clause (and, in the case of the Special Severance Payment, such payment will be to you, in a lump sum) equal to the aggregate amount of payments that the Company would have paid through such date had such payments instead commenced on the date of your Involuntary Termination, with the balance of the payments paid thereafter on the schedule described above. If you become eligible for coverage under another employer’s group health plan, you must immediately notify the Company of such event, and all payments and obligations under this subsection shall cease.</w:t>
      </w:r>
    </w:p>
    <w:p>
      <w:pPr>
        <w:spacing w:after="0" w:line="174" w:lineRule="exact"/>
        <w:rPr>
          <w:sz w:val="20"/>
          <w:szCs w:val="20"/>
          <w:color w:val="auto"/>
        </w:rPr>
      </w:pPr>
    </w:p>
    <w:p>
      <w:pPr>
        <w:jc w:val="both"/>
        <w:ind w:left="60" w:firstLine="1296"/>
        <w:spacing w:after="0" w:line="221" w:lineRule="auto"/>
        <w:tabs>
          <w:tab w:leader="none" w:pos="1864"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Accelerated Vesting of Equity. </w:t>
      </w:r>
      <w:r>
        <w:rPr>
          <w:rFonts w:ascii="Times New Roman" w:cs="Times New Roman" w:eastAsia="Times New Roman" w:hAnsi="Times New Roman"/>
          <w:sz w:val="22"/>
          <w:szCs w:val="22"/>
          <w:color w:val="auto"/>
        </w:rPr>
        <w:t>The vesting of the Initial Grant (other than that portion that constitutes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Sign On Grant) and any time-based equity awards granted at least twelve (12) months prior to the termination date will be accelerated as to the portion of the award that would have vested during the twelve-month period following the Involuntary Termination. The Sign On Grant shall become immediately vested upon Involuntary Termination.</w:t>
      </w:r>
    </w:p>
    <w:p>
      <w:pPr>
        <w:spacing w:after="0" w:line="175" w:lineRule="exact"/>
        <w:rPr>
          <w:sz w:val="20"/>
          <w:szCs w:val="20"/>
          <w:color w:val="auto"/>
        </w:rPr>
      </w:pPr>
    </w:p>
    <w:p>
      <w:pPr>
        <w:jc w:val="both"/>
        <w:ind w:left="60" w:firstLine="1295"/>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7.2 Termination for Cause; Resignation Without Good Reason; Death or Disability. </w:t>
      </w:r>
      <w:r>
        <w:rPr>
          <w:rFonts w:ascii="Times New Roman" w:cs="Times New Roman" w:eastAsia="Times New Roman" w:hAnsi="Times New Roman"/>
          <w:sz w:val="22"/>
          <w:szCs w:val="22"/>
          <w:color w:val="auto"/>
        </w:rPr>
        <w:t>If you resign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Good Reason, or the Company terminates your employment for Cause, or upon your death or disability, then all payments of compensation by the Company to you hereunder will terminate immediately (except as to amounts already earned), and you will not be entitled to any Severance Benefits.</w:t>
      </w:r>
    </w:p>
    <w:p>
      <w:pPr>
        <w:spacing w:after="0" w:line="189" w:lineRule="exact"/>
        <w:rPr>
          <w:sz w:val="20"/>
          <w:szCs w:val="20"/>
          <w:color w:val="auto"/>
        </w:rPr>
      </w:pPr>
    </w:p>
    <w:p>
      <w:pPr>
        <w:jc w:val="both"/>
        <w:ind w:left="60" w:firstLine="1295"/>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7.3 Conditions to Receipt of Severance Benefits. </w:t>
      </w:r>
      <w:r>
        <w:rPr>
          <w:rFonts w:ascii="Times New Roman" w:cs="Times New Roman" w:eastAsia="Times New Roman" w:hAnsi="Times New Roman"/>
          <w:sz w:val="22"/>
          <w:szCs w:val="22"/>
          <w:color w:val="auto"/>
        </w:rPr>
        <w:t>The receipt of the Severance Benefits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signing and not revoking a separation agreement and release of claims in a form reasonably satisfactory to the Company (the “</w:t>
      </w:r>
      <w:r>
        <w:rPr>
          <w:rFonts w:ascii="Times New Roman" w:cs="Times New Roman" w:eastAsia="Times New Roman" w:hAnsi="Times New Roman"/>
          <w:sz w:val="22"/>
          <w:szCs w:val="22"/>
          <w:b w:val="1"/>
          <w:bCs w:val="1"/>
          <w:color w:val="auto"/>
        </w:rPr>
        <w:t>Separation Agreement</w:t>
      </w:r>
      <w:r>
        <w:rPr>
          <w:rFonts w:ascii="Times New Roman" w:cs="Times New Roman" w:eastAsia="Times New Roman" w:hAnsi="Times New Roman"/>
          <w:sz w:val="22"/>
          <w:szCs w:val="22"/>
          <w:color w:val="auto"/>
        </w:rPr>
        <w:t>”) by no later than the sixtieth (60th) day after your employment termination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Deadline</w:t>
      </w:r>
      <w:r>
        <w:rPr>
          <w:rFonts w:ascii="Times New Roman" w:cs="Times New Roman" w:eastAsia="Times New Roman" w:hAnsi="Times New Roman"/>
          <w:sz w:val="22"/>
          <w:szCs w:val="22"/>
          <w:color w:val="auto"/>
        </w:rPr>
        <w:t>”). No Severance Benefits will be paid or provided until the Separation Agreement becomes effective. You shall also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resign from all positions and terminate any relationships as an employee, advisor, officer or director with the Company and any of its affiliates, each effective on the date of termination.</w:t>
      </w:r>
    </w:p>
    <w:p>
      <w:pPr>
        <w:spacing w:after="0" w:line="186" w:lineRule="exact"/>
        <w:rPr>
          <w:sz w:val="20"/>
          <w:szCs w:val="20"/>
          <w:color w:val="auto"/>
        </w:rPr>
      </w:pPr>
    </w:p>
    <w:p>
      <w:pPr>
        <w:ind w:left="1360" w:hanging="652"/>
        <w:spacing w:after="0"/>
        <w:tabs>
          <w:tab w:leader="none" w:pos="13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ind w:left="60" w:firstLine="129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8.1 Cause.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 any one of the following: (a) willful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breach by you of any material Company policy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400" w:top="1440" w:right="439" w:bottom="1440" w:gutter="0" w:footer="0" w:header="0"/>
        </w:sectPr>
      </w:pPr>
    </w:p>
    <w:bookmarkStart w:id="155" w:name="page156"/>
    <w:bookmarkEnd w:id="155"/>
    <w:p>
      <w:pPr>
        <w:spacing w:after="0" w:line="198" w:lineRule="exact"/>
        <w:rPr>
          <w:sz w:val="20"/>
          <w:szCs w:val="20"/>
          <w:color w:val="auto"/>
        </w:rPr>
      </w:pPr>
    </w:p>
    <w:p>
      <w:pPr>
        <w:jc w:val="both"/>
        <w:ind w:left="60"/>
        <w:spacing w:after="0" w:line="211" w:lineRule="auto"/>
        <w:rPr>
          <w:sz w:val="20"/>
          <w:szCs w:val="20"/>
          <w:color w:val="auto"/>
        </w:rPr>
      </w:pPr>
      <w:r>
        <w:rPr>
          <w:rFonts w:ascii="Times New Roman" w:cs="Times New Roman" w:eastAsia="Times New Roman" w:hAnsi="Times New Roman"/>
          <w:sz w:val="22"/>
          <w:szCs w:val="22"/>
          <w:color w:val="auto"/>
        </w:rPr>
        <w:t>but not limited to, the Company’s policies on nondiscrimination, anti-harassment, and confidential information) or your duties or obligations hereunder; (b) your willful engagement in conduct materially injurious to the Company, monetarily or otherwise; (c) acts of fraud, theft or other willful illegal acts calling into question your personal integrity, or conviction on a felony charge, whether or not related to your employment hereunder; (d) your willful refusal to follow lawful instructions of the Board; or (e) a change in your reporting from the Board to an officer of the Company. In order to terminate your employment for Cause pursuant to (a) or (d), but only to the extent the Board determines in its reasonable discretion that such breach is amenable to cure, the Board must provide you written notice within thirty (30) days after the first occurrence of the event giving rise to Cause setting forth the basis for the existence of Cause, allow you thirty (30) days from receipt of such written notice to cure such event, and if such event is not reasonably cured within such period, the Company must terminate your employment not later than thirty (30) days after the expiration of the cure period.</w:t>
      </w:r>
    </w:p>
    <w:p>
      <w:pPr>
        <w:spacing w:after="0" w:line="175" w:lineRule="exact"/>
        <w:rPr>
          <w:sz w:val="20"/>
          <w:szCs w:val="20"/>
          <w:color w:val="auto"/>
        </w:rPr>
      </w:pPr>
    </w:p>
    <w:p>
      <w:pPr>
        <w:jc w:val="both"/>
        <w:ind w:left="60" w:firstLine="1295"/>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8.2 Code.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“Code” </w:t>
      </w:r>
      <w:r>
        <w:rPr>
          <w:rFonts w:ascii="Times New Roman" w:cs="Times New Roman" w:eastAsia="Times New Roman" w:hAnsi="Times New Roman"/>
          <w:sz w:val="22"/>
          <w:szCs w:val="22"/>
          <w:color w:val="auto"/>
        </w:rPr>
        <w:t>means the U.S. Internal Revenue Code of 1986 (as it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and may be amended from time to time) and any regulations and guidance that has been promulgated or may be promulgated from time to time thereunder and any state law of similar effect.</w:t>
      </w:r>
    </w:p>
    <w:p>
      <w:pPr>
        <w:spacing w:after="0" w:line="173" w:lineRule="exact"/>
        <w:rPr>
          <w:sz w:val="20"/>
          <w:szCs w:val="20"/>
          <w:color w:val="auto"/>
        </w:rPr>
      </w:pPr>
    </w:p>
    <w:p>
      <w:pPr>
        <w:jc w:val="both"/>
        <w:ind w:left="60" w:firstLine="1295"/>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8.3 Good Reason.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any one of the following: (a)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assignment of duties or responsibilities (including reporting responsibilities) materially inconsistent with, or which materially reduce, your duties, authority, responsibilities and status with the Company; (b) an adverse change in your title; (c) any reduction in your base salary, other than a reduction, generally applicable to other executives of the Company, by not more than 25%; (d) the relocation of your principal place of employment to a location that is more than twenty-five (25) miles away from its current location; or (e) the uncured breach of any material provision of this Agreement (or any other agreement with you) by the Company. In order to resign for Good Reason, you must provide written notice to the Company’s Board within thirty (30) days after the first occurrence of the event giving rise to Good Reason setting forth the basis for your resignation, allow the Company thirty (30) days from receipt of such written notice to cure such event, and if such event is not reasonably cured within such period, you must resign from all positions you then hold with the Company not later than thirty (30) days after the expiration of the cure period.</w:t>
      </w:r>
    </w:p>
    <w:p>
      <w:pPr>
        <w:spacing w:after="0" w:line="198" w:lineRule="exact"/>
        <w:rPr>
          <w:sz w:val="20"/>
          <w:szCs w:val="20"/>
          <w:color w:val="auto"/>
        </w:rPr>
      </w:pPr>
    </w:p>
    <w:p>
      <w:pPr>
        <w:jc w:val="both"/>
        <w:ind w:left="60" w:firstLine="1295"/>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8.4 Involuntary Termination.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Involuntary Termination</w:t>
      </w:r>
      <w:r>
        <w:rPr>
          <w:rFonts w:ascii="Times New Roman" w:cs="Times New Roman" w:eastAsia="Times New Roman" w:hAnsi="Times New Roman"/>
          <w:sz w:val="22"/>
          <w:szCs w:val="22"/>
          <w:color w:val="auto"/>
        </w:rPr>
        <w:t>”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your employment with the Company pursuant to either (i) a termination initiated by the Company without Cause, or (ii) your resignation for Good Reason, and provided in either case such termination constitutes a Separation from Service. An Involuntary Termination does not include any other termination of your employment, including a termination due to your death or disability.</w:t>
      </w:r>
    </w:p>
    <w:p>
      <w:pPr>
        <w:spacing w:after="0" w:line="188" w:lineRule="exact"/>
        <w:rPr>
          <w:sz w:val="20"/>
          <w:szCs w:val="20"/>
          <w:color w:val="auto"/>
        </w:rPr>
      </w:pPr>
    </w:p>
    <w:p>
      <w:pPr>
        <w:jc w:val="both"/>
        <w:ind w:left="60" w:firstLine="1295"/>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8.5 Separation from Service. </w:t>
      </w:r>
      <w:r>
        <w:rPr>
          <w:rFonts w:ascii="Times New Roman" w:cs="Times New Roman" w:eastAsia="Times New Roman" w:hAnsi="Times New Roman"/>
          <w:sz w:val="22"/>
          <w:szCs w:val="22"/>
          <w:color w:val="auto"/>
        </w:rPr>
        <w:t>For purposes of this Agreement, “Separation from Service” means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from service”, as defined under Treasury Regulation Section 1.409A-1(h).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400" w:top="1440" w:right="439" w:bottom="1440" w:gutter="0" w:footer="0" w:header="0"/>
        </w:sectPr>
      </w:pPr>
    </w:p>
    <w:bookmarkStart w:id="156" w:name="page157"/>
    <w:bookmarkEnd w:id="156"/>
    <w:p>
      <w:pPr>
        <w:spacing w:after="0" w:line="194" w:lineRule="exact"/>
        <w:rPr>
          <w:sz w:val="20"/>
          <w:szCs w:val="20"/>
          <w:color w:val="auto"/>
        </w:rPr>
      </w:pPr>
    </w:p>
    <w:p>
      <w:pPr>
        <w:jc w:val="both"/>
        <w:ind w:left="60" w:firstLine="648"/>
        <w:spacing w:after="0" w:line="222" w:lineRule="auto"/>
        <w:tabs>
          <w:tab w:leader="none" w:pos="1220"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Proprietary Information Obligations. </w:t>
      </w:r>
      <w:r>
        <w:rPr>
          <w:rFonts w:ascii="Times New Roman" w:cs="Times New Roman" w:eastAsia="Times New Roman" w:hAnsi="Times New Roman"/>
          <w:sz w:val="21"/>
          <w:szCs w:val="21"/>
          <w:color w:val="auto"/>
        </w:rPr>
        <w:t>As a condition of your employment, you shall execute and abide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Company’s standard form of Employee Confidential Information and Invention Assignment Agreement, attached as </w:t>
      </w:r>
      <w:r>
        <w:rPr>
          <w:rFonts w:ascii="Times New Roman" w:cs="Times New Roman" w:eastAsia="Times New Roman" w:hAnsi="Times New Roman"/>
          <w:sz w:val="21"/>
          <w:szCs w:val="21"/>
          <w:b w:val="1"/>
          <w:bCs w:val="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A</w:t>
      </w:r>
      <w:r>
        <w:rPr>
          <w:rFonts w:ascii="Times New Roman" w:cs="Times New Roman" w:eastAsia="Times New Roman" w:hAnsi="Times New Roman"/>
          <w:sz w:val="21"/>
          <w:szCs w:val="21"/>
          <w:color w:val="auto"/>
        </w:rPr>
        <w:t>. In your work for the Company, you will be expected not to use or disclose any confidential information, including trade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 You acknowledge that you have not brought onto Company premises any unpublished documents or property belonging to any former employer or other person to whom you have an obligation of confidentiality and have disclosed to the Company any contract you have signed that may restrict your activities on behalf of the Company.</w:t>
      </w:r>
    </w:p>
    <w:p>
      <w:pPr>
        <w:spacing w:after="0" w:line="176" w:lineRule="exact"/>
        <w:rPr>
          <w:rFonts w:ascii="Times New Roman" w:cs="Times New Roman" w:eastAsia="Times New Roman" w:hAnsi="Times New Roman"/>
          <w:sz w:val="21"/>
          <w:szCs w:val="21"/>
          <w:b w:val="1"/>
          <w:bCs w:val="1"/>
          <w:color w:val="auto"/>
        </w:rPr>
      </w:pPr>
    </w:p>
    <w:p>
      <w:pPr>
        <w:jc w:val="both"/>
        <w:ind w:left="60" w:firstLine="648"/>
        <w:spacing w:after="0" w:line="217" w:lineRule="auto"/>
        <w:tabs>
          <w:tab w:leader="none" w:pos="1220"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w:t>
      </w:r>
      <w:r>
        <w:rPr>
          <w:rFonts w:ascii="Times New Roman" w:cs="Times New Roman" w:eastAsia="Times New Roman" w:hAnsi="Times New Roman"/>
          <w:sz w:val="21"/>
          <w:szCs w:val="21"/>
          <w:color w:val="auto"/>
        </w:rPr>
        <w:t>It is intended that all of the severance benefits and other payments payable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to the greatest extent possible, the exemptions from the application of Code Section 409A provided under Treasury Regulations Sections 1.409A 1(b)(4), 1.409A 1(b)(5) and 1.409A 1(b)(9), and this Agreement will be construed to the greatest extent possible as consistent with those provisions, and to the extent not so exempt, this Agreement (and any definitions hereunder) will be construed in a manner that complies with Section 409A. For all purposes of Code Section 409A (including, without limitation, for purposes of Treasury Regulations Sections 1.409A 2(b)(2)(i) and (iii)),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first date following expiration of the six-month period following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If the severance benefits are not covered by one or more exemptions from the application of Section 409A and the Release Deadline occurs in the calendar year following the calendar year of your Separation from Service, the Release will not be deemed effective any earlier than the Release Deadline for purposes of determining the timing of provision of any severance benefits. With respect to reimbursements or in-kind benefits provided to you hereunder (or otherwise) that are not exempt from Code Section 409A, the following rules shall apply: (i) the amount of expenses eligible for reimbursement, or in-kind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400" w:top="1440" w:right="439" w:bottom="1440" w:gutter="0" w:footer="0" w:header="0"/>
        </w:sectPr>
      </w:pPr>
    </w:p>
    <w:bookmarkStart w:id="157" w:name="page158"/>
    <w:bookmarkEnd w:id="157"/>
    <w:p>
      <w:pPr>
        <w:spacing w:after="0" w:line="198" w:lineRule="exact"/>
        <w:rPr>
          <w:sz w:val="20"/>
          <w:szCs w:val="20"/>
          <w:color w:val="auto"/>
        </w:rPr>
      </w:pPr>
    </w:p>
    <w:p>
      <w:pPr>
        <w:jc w:val="both"/>
        <w:ind w:left="60"/>
        <w:spacing w:after="0" w:line="212" w:lineRule="auto"/>
        <w:rPr>
          <w:sz w:val="20"/>
          <w:szCs w:val="20"/>
          <w:color w:val="auto"/>
        </w:rPr>
      </w:pPr>
      <w:r>
        <w:rPr>
          <w:rFonts w:ascii="Times New Roman" w:cs="Times New Roman" w:eastAsia="Times New Roman" w:hAnsi="Times New Roman"/>
          <w:sz w:val="22"/>
          <w:szCs w:val="22"/>
          <w:color w:val="auto"/>
        </w:rPr>
        <w:t>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and</w:t>
      </w:r>
    </w:p>
    <w:p>
      <w:pPr>
        <w:spacing w:after="0" w:line="2" w:lineRule="exact"/>
        <w:rPr>
          <w:sz w:val="20"/>
          <w:szCs w:val="20"/>
          <w:color w:val="auto"/>
        </w:rPr>
      </w:pPr>
    </w:p>
    <w:p>
      <w:pPr>
        <w:ind w:left="440" w:hanging="379"/>
        <w:spacing w:after="0"/>
        <w:tabs>
          <w:tab w:leader="none" w:pos="4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reimbursement or in-kind benefits shall not be subject to liquidation or exchange for another benefit.</w:t>
      </w:r>
    </w:p>
    <w:p>
      <w:pPr>
        <w:spacing w:after="0" w:line="178" w:lineRule="exact"/>
        <w:rPr>
          <w:rFonts w:ascii="Times New Roman" w:cs="Times New Roman" w:eastAsia="Times New Roman" w:hAnsi="Times New Roman"/>
          <w:sz w:val="22"/>
          <w:szCs w:val="22"/>
          <w:color w:val="auto"/>
        </w:rPr>
      </w:pPr>
    </w:p>
    <w:p>
      <w:pPr>
        <w:ind w:left="1340" w:hanging="632"/>
        <w:spacing w:after="0"/>
        <w:tabs>
          <w:tab w:leader="none" w:pos="1340" w:val="left"/>
        </w:tabs>
        <w:numPr>
          <w:ilvl w:val="1"/>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Arbitration of All Disputes.</w:t>
      </w:r>
    </w:p>
    <w:p>
      <w:pPr>
        <w:spacing w:after="0" w:line="220" w:lineRule="exact"/>
        <w:rPr>
          <w:sz w:val="20"/>
          <w:szCs w:val="20"/>
          <w:color w:val="auto"/>
        </w:rPr>
      </w:pPr>
    </w:p>
    <w:p>
      <w:pPr>
        <w:jc w:val="both"/>
        <w:ind w:left="60" w:firstLine="1295"/>
        <w:spacing w:after="0" w:line="218" w:lineRule="auto"/>
        <w:rPr>
          <w:sz w:val="20"/>
          <w:szCs w:val="20"/>
          <w:color w:val="auto"/>
        </w:rPr>
      </w:pPr>
      <w:r>
        <w:rPr>
          <w:rFonts w:ascii="Times New Roman" w:cs="Times New Roman" w:eastAsia="Times New Roman" w:hAnsi="Times New Roman"/>
          <w:sz w:val="21"/>
          <w:szCs w:val="21"/>
          <w:b w:val="1"/>
          <w:bCs w:val="1"/>
          <w:color w:val="auto"/>
        </w:rPr>
        <w:t>11.1 Agreement to Arbitrate</w:t>
      </w:r>
      <w:r>
        <w:rPr>
          <w:rFonts w:ascii="Times New Roman" w:cs="Times New Roman" w:eastAsia="Times New Roman" w:hAnsi="Times New Roman"/>
          <w:sz w:val="21"/>
          <w:szCs w:val="21"/>
          <w:color w:val="auto"/>
        </w:rPr>
        <w:t>. To ensure the timely and economical resolution of disputes that may arise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between you and the Company, both you and the Company mutually agree that pursuant to the Federal Arbitration Act, 9 U.S.C. §1-16, and to the fullest extent permitted by applicable law, you and the Company will submit solely to final, binding and confidential arbitration any and all disputes, claims, or causes of action arising from or relating to: </w:t>
      </w: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21"/>
          <w:szCs w:val="21"/>
          <w:color w:val="auto"/>
        </w:rPr>
        <w:t xml:space="preserve"> the negotiation, execution, interpretation, performance, breach or enforcement of this Agreement; or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xml:space="preserve"> your employment with the Company (including but not limited to all statutory claims); or </w:t>
      </w:r>
      <w:r>
        <w:rPr>
          <w:rFonts w:ascii="Times New Roman" w:cs="Times New Roman" w:eastAsia="Times New Roman" w:hAnsi="Times New Roman"/>
          <w:sz w:val="21"/>
          <w:szCs w:val="21"/>
          <w:b w:val="1"/>
          <w:bCs w:val="1"/>
          <w:color w:val="auto"/>
        </w:rPr>
        <w:t>(iii)</w:t>
      </w:r>
      <w:r>
        <w:rPr>
          <w:rFonts w:ascii="Times New Roman" w:cs="Times New Roman" w:eastAsia="Times New Roman" w:hAnsi="Times New Roman"/>
          <w:sz w:val="21"/>
          <w:szCs w:val="21"/>
          <w:color w:val="auto"/>
        </w:rPr>
        <w:t xml:space="preserve"> the termination of your employment with the Company (including but not limited to all statutory claims). </w:t>
      </w:r>
      <w:r>
        <w:rPr>
          <w:rFonts w:ascii="Times New Roman" w:cs="Times New Roman" w:eastAsia="Times New Roman" w:hAnsi="Times New Roman"/>
          <w:sz w:val="21"/>
          <w:szCs w:val="21"/>
          <w:b w:val="1"/>
          <w:bCs w:val="1"/>
          <w:color w:val="auto"/>
        </w:rPr>
        <w:t>BY AGREEING TO THIS ARBITRATION PROCEDURE, BOTH YOU AND THE</w:t>
      </w:r>
    </w:p>
    <w:p>
      <w:pPr>
        <w:spacing w:after="0" w:line="5" w:lineRule="exact"/>
        <w:rPr>
          <w:sz w:val="20"/>
          <w:szCs w:val="20"/>
          <w:color w:val="auto"/>
        </w:rPr>
      </w:pPr>
    </w:p>
    <w:p>
      <w:pPr>
        <w:jc w:val="both"/>
        <w:ind w:left="60"/>
        <w:spacing w:after="0" w:line="225" w:lineRule="auto"/>
        <w:rPr>
          <w:sz w:val="20"/>
          <w:szCs w:val="20"/>
          <w:color w:val="auto"/>
        </w:rPr>
      </w:pPr>
      <w:r>
        <w:rPr>
          <w:rFonts w:ascii="Times New Roman" w:cs="Times New Roman" w:eastAsia="Times New Roman" w:hAnsi="Times New Roman"/>
          <w:sz w:val="22"/>
          <w:szCs w:val="22"/>
          <w:b w:val="1"/>
          <w:bCs w:val="1"/>
          <w:color w:val="auto"/>
        </w:rPr>
        <w:t>COMPANY WAIVE THE RIGHT TO RESOLVE ANY SUCH DISPUTES THROUGH A TRIAL BY JURY OR JUDGE OR THROUGH AN ADMINISTRATIVE PROCEEDING.</w:t>
      </w:r>
    </w:p>
    <w:p>
      <w:pPr>
        <w:spacing w:after="0" w:line="186" w:lineRule="exact"/>
        <w:rPr>
          <w:sz w:val="20"/>
          <w:szCs w:val="20"/>
          <w:color w:val="auto"/>
        </w:rPr>
      </w:pPr>
    </w:p>
    <w:p>
      <w:pPr>
        <w:jc w:val="both"/>
        <w:ind w:left="60" w:firstLine="1295"/>
        <w:spacing w:after="0" w:line="227" w:lineRule="auto"/>
        <w:rPr>
          <w:sz w:val="20"/>
          <w:szCs w:val="20"/>
          <w:color w:val="auto"/>
        </w:rPr>
      </w:pPr>
      <w:r>
        <w:rPr>
          <w:rFonts w:ascii="Times New Roman" w:cs="Times New Roman" w:eastAsia="Times New Roman" w:hAnsi="Times New Roman"/>
          <w:sz w:val="22"/>
          <w:szCs w:val="22"/>
          <w:b w:val="1"/>
          <w:bCs w:val="1"/>
          <w:color w:val="auto"/>
        </w:rPr>
        <w:t>11.2 Arbitrator Authority</w:t>
      </w:r>
      <w:r>
        <w:rPr>
          <w:rFonts w:ascii="Times New Roman" w:cs="Times New Roman" w:eastAsia="Times New Roman" w:hAnsi="Times New Roman"/>
          <w:sz w:val="22"/>
          <w:szCs w:val="22"/>
          <w:color w:val="auto"/>
        </w:rPr>
        <w:t>. The arbitrator shall have the sole and exclusive authority to determine whether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claim or cause of action is subject to arbitration under this Section and to determine any procedural questions which grow out of such disputes, claims or causes of action and bear on their final disposition.</w:t>
      </w:r>
    </w:p>
    <w:p>
      <w:pPr>
        <w:spacing w:after="0" w:line="173" w:lineRule="exact"/>
        <w:rPr>
          <w:sz w:val="20"/>
          <w:szCs w:val="20"/>
          <w:color w:val="auto"/>
        </w:rPr>
      </w:pPr>
    </w:p>
    <w:p>
      <w:pPr>
        <w:jc w:val="both"/>
        <w:ind w:left="60" w:firstLine="1295"/>
        <w:spacing w:after="0" w:line="214" w:lineRule="auto"/>
        <w:rPr>
          <w:sz w:val="20"/>
          <w:szCs w:val="20"/>
          <w:color w:val="auto"/>
        </w:rPr>
      </w:pPr>
      <w:r>
        <w:rPr>
          <w:rFonts w:ascii="Times New Roman" w:cs="Times New Roman" w:eastAsia="Times New Roman" w:hAnsi="Times New Roman"/>
          <w:sz w:val="22"/>
          <w:szCs w:val="22"/>
          <w:b w:val="1"/>
          <w:bCs w:val="1"/>
          <w:color w:val="auto"/>
        </w:rPr>
        <w:t>11.3 Individual Capacity Only</w:t>
      </w:r>
      <w:r>
        <w:rPr>
          <w:rFonts w:ascii="Times New Roman" w:cs="Times New Roman" w:eastAsia="Times New Roman" w:hAnsi="Times New Roman"/>
          <w:sz w:val="22"/>
          <w:szCs w:val="22"/>
          <w:color w:val="auto"/>
        </w:rPr>
        <w:t>. All claims, disputes, or causes of action under this Section, whether by you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must be brought solely in an 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in this Section are found to violate applicable law or are otherwise found unenforceable, any claim(s) alleged or brought on behalf of a class shall proceed in a court of law rather than by arbitration.</w:t>
      </w:r>
    </w:p>
    <w:p>
      <w:pPr>
        <w:spacing w:after="0" w:line="189" w:lineRule="exact"/>
        <w:rPr>
          <w:sz w:val="20"/>
          <w:szCs w:val="20"/>
          <w:color w:val="auto"/>
        </w:rPr>
      </w:pPr>
    </w:p>
    <w:p>
      <w:pPr>
        <w:jc w:val="both"/>
        <w:ind w:left="60" w:firstLine="1295"/>
        <w:spacing w:after="0" w:line="213" w:lineRule="auto"/>
        <w:rPr>
          <w:sz w:val="20"/>
          <w:szCs w:val="20"/>
          <w:color w:val="auto"/>
        </w:rPr>
      </w:pPr>
      <w:r>
        <w:rPr>
          <w:rFonts w:ascii="Times New Roman" w:cs="Times New Roman" w:eastAsia="Times New Roman" w:hAnsi="Times New Roman"/>
          <w:sz w:val="22"/>
          <w:szCs w:val="22"/>
          <w:b w:val="1"/>
          <w:bCs w:val="1"/>
          <w:color w:val="auto"/>
        </w:rPr>
        <w:t>11.4 Arbitration Process</w:t>
      </w:r>
      <w:r>
        <w:rPr>
          <w:rFonts w:ascii="Times New Roman" w:cs="Times New Roman" w:eastAsia="Times New Roman" w:hAnsi="Times New Roman"/>
          <w:sz w:val="22"/>
          <w:szCs w:val="22"/>
          <w:color w:val="auto"/>
        </w:rPr>
        <w:t>. Any arbitration proceeding under this Section shall be presided over by a single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and conducted by Judicial Arbitration and Mediation Services,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xml:space="preserve">”) in Los Angeles County, California, or as otherwise agreed to by you and the Company, under the then applicable JAMS rules for the resolution of employment disputes (available upon request and also currently available at </w:t>
      </w:r>
      <w:r>
        <w:rPr>
          <w:rFonts w:ascii="Times New Roman" w:cs="Times New Roman" w:eastAsia="Times New Roman" w:hAnsi="Times New Roman"/>
          <w:sz w:val="22"/>
          <w:szCs w:val="22"/>
          <w:u w:val="single" w:color="auto"/>
          <w:color w:val="auto"/>
        </w:rPr>
        <w:t>http://www.jamsadr.com/rules-employment-arbitration/</w:t>
      </w:r>
      <w:r>
        <w:rPr>
          <w:rFonts w:ascii="Times New Roman" w:cs="Times New Roman" w:eastAsia="Times New Roman" w:hAnsi="Times New Roman"/>
          <w:sz w:val="22"/>
          <w:szCs w:val="22"/>
          <w:color w:val="auto"/>
        </w:rPr>
        <w:t xml:space="preserve">). You and the Company both have the right to be represented by legal counsel at any arbitration proceeding, at each party’s own expense. The Arbitrator shall: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have the authority to compel adequate discovery for the resolution of the dispute; </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xml:space="preserve"> issue a written arbitration decision, to include the arbitrator’s essential findings and conclusions and a statement of the award; and </w:t>
      </w:r>
      <w:r>
        <w:rPr>
          <w:rFonts w:ascii="Times New Roman" w:cs="Times New Roman" w:eastAsia="Times New Roman" w:hAnsi="Times New Roman"/>
          <w:sz w:val="22"/>
          <w:szCs w:val="22"/>
          <w:b w:val="1"/>
          <w:bCs w:val="1"/>
          <w:color w:val="auto"/>
        </w:rPr>
        <w:t>(iii)</w:t>
      </w:r>
      <w:r>
        <w:rPr>
          <w:rFonts w:ascii="Times New Roman" w:cs="Times New Roman" w:eastAsia="Times New Roman" w:hAnsi="Times New Roman"/>
          <w:sz w:val="22"/>
          <w:szCs w:val="22"/>
          <w:color w:val="auto"/>
        </w:rPr>
        <w:t xml:space="preserve"> be authorized to award any or all remedies that you or the Company would be entitled to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400" w:top="1440" w:right="439" w:bottom="1440" w:gutter="0" w:footer="0" w:header="0"/>
        </w:sectPr>
      </w:pPr>
    </w:p>
    <w:bookmarkStart w:id="158" w:name="page159"/>
    <w:bookmarkEnd w:id="158"/>
    <w:p>
      <w:pPr>
        <w:spacing w:after="0" w:line="198" w:lineRule="exact"/>
        <w:rPr>
          <w:sz w:val="20"/>
          <w:szCs w:val="20"/>
          <w:color w:val="auto"/>
        </w:rPr>
      </w:pPr>
    </w:p>
    <w:p>
      <w:pPr>
        <w:ind w:left="60"/>
        <w:spacing w:after="0" w:line="236" w:lineRule="auto"/>
        <w:rPr>
          <w:sz w:val="20"/>
          <w:szCs w:val="20"/>
          <w:color w:val="auto"/>
        </w:rPr>
      </w:pPr>
      <w:r>
        <w:rPr>
          <w:rFonts w:ascii="Times New Roman" w:cs="Times New Roman" w:eastAsia="Times New Roman" w:hAnsi="Times New Roman"/>
          <w:sz w:val="22"/>
          <w:szCs w:val="22"/>
          <w:color w:val="auto"/>
        </w:rPr>
        <w:t>in a court of law. The Company shall pay all JAMS arbitration fees in excess of the amount of court fees that would be required of you if the dispute were decided in a court of law.</w:t>
      </w:r>
    </w:p>
    <w:p>
      <w:pPr>
        <w:spacing w:after="0" w:line="173" w:lineRule="exact"/>
        <w:rPr>
          <w:sz w:val="20"/>
          <w:szCs w:val="20"/>
          <w:color w:val="auto"/>
        </w:rPr>
      </w:pPr>
    </w:p>
    <w:p>
      <w:pPr>
        <w:jc w:val="both"/>
        <w:ind w:left="60" w:right="40" w:firstLine="1295"/>
        <w:spacing w:after="0" w:line="218" w:lineRule="auto"/>
        <w:rPr>
          <w:sz w:val="20"/>
          <w:szCs w:val="20"/>
          <w:color w:val="auto"/>
        </w:rPr>
      </w:pPr>
      <w:r>
        <w:rPr>
          <w:rFonts w:ascii="Times New Roman" w:cs="Times New Roman" w:eastAsia="Times New Roman" w:hAnsi="Times New Roman"/>
          <w:sz w:val="22"/>
          <w:szCs w:val="22"/>
          <w:b w:val="1"/>
          <w:bCs w:val="1"/>
          <w:color w:val="auto"/>
        </w:rPr>
        <w:t>11.5 Excluded Claims</w:t>
      </w:r>
      <w:r>
        <w:rPr>
          <w:rFonts w:ascii="Times New Roman" w:cs="Times New Roman" w:eastAsia="Times New Roman" w:hAnsi="Times New Roman"/>
          <w:sz w:val="22"/>
          <w:szCs w:val="22"/>
          <w:color w:val="auto"/>
        </w:rPr>
        <w:t>. This Section shall not apply to any action or claim that cannot be subject to mandatory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as a matter of law, to the extent such claims are not permitted by applicable law to be submitted to mandatory arbitration and such applicable law is not preempted by the Federal Arbitration Act or otherwise invalid (collectively, the “</w:t>
      </w:r>
      <w:r>
        <w:rPr>
          <w:rFonts w:ascii="Times New Roman" w:cs="Times New Roman" w:eastAsia="Times New Roman" w:hAnsi="Times New Roman"/>
          <w:sz w:val="22"/>
          <w:szCs w:val="22"/>
          <w:b w:val="1"/>
          <w:bCs w:val="1"/>
          <w:color w:val="auto"/>
        </w:rPr>
        <w:t>Excluded Claims</w:t>
      </w:r>
      <w:r>
        <w:rPr>
          <w:rFonts w:ascii="Times New Roman" w:cs="Times New Roman" w:eastAsia="Times New Roman" w:hAnsi="Times New Roman"/>
          <w:sz w:val="22"/>
          <w:szCs w:val="22"/>
          <w:color w:val="auto"/>
        </w:rPr>
        <w:t>”). In the event you intend to bring multiple claims, including any Excluded Claims, the Excluded Claims may be filed with a court, while any other claims will remain subject to mandatory arbitration.</w:t>
      </w:r>
    </w:p>
    <w:p>
      <w:pPr>
        <w:spacing w:after="0" w:line="188" w:lineRule="exact"/>
        <w:rPr>
          <w:sz w:val="20"/>
          <w:szCs w:val="20"/>
          <w:color w:val="auto"/>
        </w:rPr>
      </w:pPr>
    </w:p>
    <w:p>
      <w:pPr>
        <w:jc w:val="both"/>
        <w:ind w:left="60" w:right="40" w:firstLine="1295"/>
        <w:spacing w:after="0" w:line="221" w:lineRule="auto"/>
        <w:rPr>
          <w:sz w:val="20"/>
          <w:szCs w:val="20"/>
          <w:color w:val="auto"/>
        </w:rPr>
      </w:pPr>
      <w:r>
        <w:rPr>
          <w:rFonts w:ascii="Times New Roman" w:cs="Times New Roman" w:eastAsia="Times New Roman" w:hAnsi="Times New Roman"/>
          <w:sz w:val="22"/>
          <w:szCs w:val="22"/>
          <w:b w:val="1"/>
          <w:bCs w:val="1"/>
          <w:color w:val="auto"/>
        </w:rPr>
        <w:t>11.6 Injunctive Relief and Final Orders</w:t>
      </w:r>
      <w:r>
        <w:rPr>
          <w:rFonts w:ascii="Times New Roman" w:cs="Times New Roman" w:eastAsia="Times New Roman" w:hAnsi="Times New Roman"/>
          <w:sz w:val="22"/>
          <w:szCs w:val="22"/>
          <w:color w:val="auto"/>
        </w:rPr>
        <w:t>. Nothing in this Section is intended to prevent either you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from obtaining injunctive relief in court to prevent irreparable harm pending the conclusion of any such arbitration. Any final award in any arbitration proceeding hereunder may be entered as a judgment in the federal and state courts of any competent jurisdiction and enforced accordingly.</w:t>
      </w:r>
    </w:p>
    <w:p>
      <w:pPr>
        <w:spacing w:after="0" w:line="189" w:lineRule="exact"/>
        <w:rPr>
          <w:sz w:val="20"/>
          <w:szCs w:val="20"/>
          <w:color w:val="auto"/>
        </w:rPr>
      </w:pPr>
    </w:p>
    <w:p>
      <w:pPr>
        <w:jc w:val="both"/>
        <w:ind w:left="60" w:right="40" w:firstLine="648"/>
        <w:spacing w:after="0" w:line="208" w:lineRule="auto"/>
        <w:tabs>
          <w:tab w:leader="none" w:pos="12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Provisions. </w:t>
      </w:r>
      <w:r>
        <w:rPr>
          <w:rFonts w:ascii="Times New Roman" w:cs="Times New Roman" w:eastAsia="Times New Roman" w:hAnsi="Times New Roman"/>
          <w:sz w:val="22"/>
          <w:szCs w:val="22"/>
          <w:color w:val="auto"/>
        </w:rPr>
        <w:t>This Agreement, together with the Confidential Information and Inventions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constitutes the entire agreement between you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This Agreement cannot be modified or amended except in a writing signed by you and a duly authorized officer of the Company.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 Any waiver of any breach of any provisions of this Agreement must be in writing to be effective, and it shall not thereby be deemed to have waived any preceding or succeeding breach of the same or any other provision of this Agreement. This Agreement is intended to bind and inure to the benefit of and be enforceable by you and the Company, and their respective successors, assigns, heirs, executors and administrators. The Company may freely assign this Agreement, without your prior written consent. You may not assign any of your duties hereunder and you may not assign any of your rights hereunder without the written consent of the Company. This Agreement shall become effective as of the Start Date and shall terminate upon your termination of employment with the Company. The obligations as forth under Sections 7, 8, 9, 10, 11, and 12 will survive the termination of this Agreement. All questions concerning the construction, validity and interpretation of this Agreement will be governed by the laws of the State of California.</w:t>
      </w:r>
    </w:p>
    <w:p>
      <w:pPr>
        <w:spacing w:after="0" w:line="181" w:lineRule="exact"/>
        <w:rPr>
          <w:rFonts w:ascii="Times New Roman" w:cs="Times New Roman" w:eastAsia="Times New Roman" w:hAnsi="Times New Roman"/>
          <w:sz w:val="22"/>
          <w:szCs w:val="22"/>
          <w:b w:val="1"/>
          <w:bCs w:val="1"/>
          <w:color w:val="auto"/>
        </w:rPr>
      </w:pPr>
    </w:p>
    <w:p>
      <w:pPr>
        <w:jc w:val="both"/>
        <w:ind w:left="60" w:right="40" w:firstLine="648"/>
        <w:spacing w:after="0" w:line="227" w:lineRule="auto"/>
        <w:tabs>
          <w:tab w:leader="none" w:pos="12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Indemnification; D&amp;O Insurance. </w:t>
      </w:r>
      <w:r>
        <w:rPr>
          <w:rFonts w:ascii="Times New Roman" w:cs="Times New Roman" w:eastAsia="Times New Roman" w:hAnsi="Times New Roman"/>
          <w:sz w:val="22"/>
          <w:szCs w:val="22"/>
          <w:color w:val="auto"/>
        </w:rPr>
        <w:t>The Company shall indemnify and hold you harmless, to the full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under the Company’s charter, bylaws and applicable law (including advances of legal expenses subject to an undertaking to refund in the event that a final determination is entered that you are not eligible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400" w:top="1440" w:right="399" w:bottom="1440" w:gutter="0" w:footer="0" w:header="0"/>
        </w:sectPr>
      </w:pPr>
    </w:p>
    <w:bookmarkStart w:id="159" w:name="page160"/>
    <w:bookmarkEnd w:id="159"/>
    <w:p>
      <w:pPr>
        <w:spacing w:after="0" w:line="198" w:lineRule="exact"/>
        <w:rPr>
          <w:sz w:val="20"/>
          <w:szCs w:val="20"/>
          <w:color w:val="auto"/>
        </w:rPr>
      </w:pPr>
    </w:p>
    <w:p>
      <w:pPr>
        <w:jc w:val="both"/>
        <w:ind w:left="60" w:right="100"/>
        <w:spacing w:after="0" w:line="255" w:lineRule="auto"/>
        <w:rPr>
          <w:sz w:val="20"/>
          <w:szCs w:val="20"/>
          <w:color w:val="auto"/>
        </w:rPr>
      </w:pPr>
      <w:r>
        <w:rPr>
          <w:rFonts w:ascii="Times New Roman" w:cs="Times New Roman" w:eastAsia="Times New Roman" w:hAnsi="Times New Roman"/>
          <w:sz w:val="21"/>
          <w:szCs w:val="21"/>
          <w:color w:val="auto"/>
        </w:rPr>
        <w:t>relating to or arising out of your employment. You shall at all relevant times be covered as an insured under any director and officer liability insurance. This Section 13 shall survive any termination of this Agreement or termination of your employment.</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Best regards,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The Honest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00" w:type="dxa"/>
        <w:tblCellMar>
          <w:top w:w="0" w:type="dxa"/>
          <w:left w:w="0" w:type="dxa"/>
          <w:bottom w:w="0" w:type="dxa"/>
          <w:right w:w="0" w:type="dxa"/>
        </w:tblCellMar>
      </w:tblPr>
      <w:tr>
        <w:trPr>
          <w:trHeight w:val="247"/>
        </w:trPr>
        <w:tc>
          <w:tcPr>
            <w:tcW w:w="58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THE HONEST COMPANY, INC.</w:t>
            </w:r>
          </w:p>
        </w:tc>
        <w:tc>
          <w:tcPr>
            <w:tcW w:w="100" w:type="dxa"/>
            <w:vAlign w:val="bottom"/>
          </w:tcPr>
          <w:p>
            <w:pPr>
              <w:spacing w:after="0"/>
              <w:rPr>
                <w:sz w:val="21"/>
                <w:szCs w:val="21"/>
                <w:color w:val="auto"/>
              </w:rPr>
            </w:pPr>
          </w:p>
        </w:tc>
        <w:tc>
          <w:tcPr>
            <w:tcW w:w="5320" w:type="dxa"/>
            <w:vAlign w:val="bottom"/>
          </w:tcPr>
          <w:p>
            <w:pPr>
              <w:spacing w:after="0"/>
              <w:rPr>
                <w:sz w:val="21"/>
                <w:szCs w:val="21"/>
                <w:color w:val="auto"/>
              </w:rPr>
            </w:pPr>
          </w:p>
        </w:tc>
      </w:tr>
      <w:tr>
        <w:trPr>
          <w:trHeight w:val="262"/>
        </w:trPr>
        <w:tc>
          <w:tcPr>
            <w:tcW w:w="580" w:type="dxa"/>
            <w:vAlign w:val="bottom"/>
          </w:tcPr>
          <w:p>
            <w:pPr>
              <w:spacing w:after="0"/>
              <w:rPr>
                <w:sz w:val="22"/>
                <w:szCs w:val="22"/>
                <w:color w:val="auto"/>
              </w:rPr>
            </w:pP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Janis Hoyt</w:t>
            </w:r>
          </w:p>
        </w:tc>
        <w:tc>
          <w:tcPr>
            <w:tcW w:w="100" w:type="dxa"/>
            <w:vAlign w:val="bottom"/>
          </w:tcPr>
          <w:p>
            <w:pPr>
              <w:spacing w:after="0"/>
              <w:rPr>
                <w:sz w:val="22"/>
                <w:szCs w:val="22"/>
                <w:color w:val="auto"/>
              </w:rPr>
            </w:pP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Brendan Sheehey</w:t>
            </w:r>
          </w:p>
        </w:tc>
      </w:tr>
      <w:tr>
        <w:trPr>
          <w:trHeight w:val="240"/>
        </w:trPr>
        <w:tc>
          <w:tcPr>
            <w:tcW w:w="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Janis Hoyt</w:t>
            </w: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Brendan Sheehey</w:t>
            </w:r>
          </w:p>
        </w:tc>
      </w:tr>
      <w:tr>
        <w:trPr>
          <w:trHeight w:val="262"/>
        </w:trPr>
        <w:tc>
          <w:tcPr>
            <w:tcW w:w="50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 xml:space="preserve">Title: </w:t>
            </w:r>
            <w:r>
              <w:rPr>
                <w:rFonts w:ascii="Times New Roman" w:cs="Times New Roman" w:eastAsia="Times New Roman" w:hAnsi="Times New Roman"/>
                <w:sz w:val="20"/>
                <w:szCs w:val="20"/>
                <w:color w:val="auto"/>
              </w:rPr>
              <w:t>CPO</w:t>
            </w:r>
          </w:p>
        </w:tc>
        <w:tc>
          <w:tcPr>
            <w:tcW w:w="100" w:type="dxa"/>
            <w:vAlign w:val="bottom"/>
          </w:tcPr>
          <w:p>
            <w:pPr>
              <w:spacing w:after="0"/>
              <w:rPr>
                <w:sz w:val="22"/>
                <w:szCs w:val="22"/>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General Counsel &amp; Corporate Secretary</w:t>
            </w:r>
          </w:p>
        </w:tc>
      </w:tr>
      <w:tr>
        <w:trPr>
          <w:trHeight w:val="511"/>
        </w:trPr>
        <w:tc>
          <w:tcPr>
            <w:tcW w:w="5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Accepted and agreed:</w:t>
            </w: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62"/>
        </w:trPr>
        <w:tc>
          <w:tcPr>
            <w:tcW w:w="580" w:type="dxa"/>
            <w:vAlign w:val="bottom"/>
          </w:tcPr>
          <w:p>
            <w:pPr>
              <w:spacing w:after="0"/>
              <w:rPr>
                <w:sz w:val="22"/>
                <w:szCs w:val="22"/>
                <w:color w:val="auto"/>
              </w:rPr>
            </w:pP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Carla Vernón</w:t>
            </w:r>
          </w:p>
        </w:tc>
        <w:tc>
          <w:tcPr>
            <w:tcW w:w="100" w:type="dxa"/>
            <w:vAlign w:val="bottom"/>
          </w:tcPr>
          <w:p>
            <w:pPr>
              <w:spacing w:after="0"/>
              <w:rPr>
                <w:sz w:val="22"/>
                <w:szCs w:val="22"/>
                <w:color w:val="auto"/>
              </w:rPr>
            </w:pPr>
          </w:p>
        </w:tc>
        <w:tc>
          <w:tcPr>
            <w:tcW w:w="5320" w:type="dxa"/>
            <w:vAlign w:val="bottom"/>
          </w:tcPr>
          <w:p>
            <w:pPr>
              <w:spacing w:after="0"/>
              <w:rPr>
                <w:sz w:val="22"/>
                <w:szCs w:val="22"/>
                <w:color w:val="auto"/>
              </w:rPr>
            </w:pPr>
          </w:p>
        </w:tc>
      </w:tr>
      <w:tr>
        <w:trPr>
          <w:trHeight w:val="244"/>
        </w:trPr>
        <w:tc>
          <w:tcPr>
            <w:tcW w:w="580" w:type="dxa"/>
            <w:vAlign w:val="bottom"/>
          </w:tcPr>
          <w:p>
            <w:pPr>
              <w:spacing w:after="0"/>
              <w:rPr>
                <w:sz w:val="21"/>
                <w:szCs w:val="21"/>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Carla Vernón</w:t>
            </w:r>
          </w:p>
        </w:tc>
        <w:tc>
          <w:tcPr>
            <w:tcW w:w="100" w:type="dxa"/>
            <w:vAlign w:val="bottom"/>
          </w:tcPr>
          <w:p>
            <w:pPr>
              <w:spacing w:after="0"/>
              <w:rPr>
                <w:sz w:val="21"/>
                <w:szCs w:val="21"/>
                <w:color w:val="auto"/>
              </w:rPr>
            </w:pPr>
          </w:p>
        </w:tc>
        <w:tc>
          <w:tcPr>
            <w:tcW w:w="5320" w:type="dxa"/>
            <w:vAlign w:val="bottom"/>
          </w:tcPr>
          <w:p>
            <w:pPr>
              <w:spacing w:after="0"/>
              <w:rPr>
                <w:sz w:val="21"/>
                <w:szCs w:val="21"/>
                <w:color w:val="auto"/>
              </w:rPr>
            </w:pPr>
          </w:p>
        </w:tc>
      </w:tr>
      <w:tr>
        <w:trPr>
          <w:trHeight w:val="258"/>
        </w:trPr>
        <w:tc>
          <w:tcPr>
            <w:tcW w:w="580" w:type="dxa"/>
            <w:vAlign w:val="bottom"/>
          </w:tcPr>
          <w:p>
            <w:pPr>
              <w:spacing w:after="0"/>
              <w:rPr>
                <w:sz w:val="22"/>
                <w:szCs w:val="22"/>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 12/12/2022</w:t>
            </w:r>
          </w:p>
        </w:tc>
        <w:tc>
          <w:tcPr>
            <w:tcW w:w="100" w:type="dxa"/>
            <w:vAlign w:val="bottom"/>
          </w:tcPr>
          <w:p>
            <w:pPr>
              <w:spacing w:after="0"/>
              <w:rPr>
                <w:sz w:val="22"/>
                <w:szCs w:val="22"/>
                <w:color w:val="auto"/>
              </w:rPr>
            </w:pPr>
          </w:p>
        </w:tc>
        <w:tc>
          <w:tcPr>
            <w:tcW w:w="53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60"/>
          </w:cols>
          <w:pgMar w:left="400" w:top="1440" w:right="339" w:bottom="1440" w:gutter="0" w:footer="0" w:header="0"/>
        </w:sectPr>
      </w:pPr>
    </w:p>
    <w:bookmarkStart w:id="160" w:name="page161"/>
    <w:bookmarkEnd w:id="160"/>
    <w:p>
      <w:pPr>
        <w:spacing w:after="0" w:line="18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92"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20"/>
          <w:szCs w:val="20"/>
          <w:b w:val="1"/>
          <w:bCs w:val="1"/>
          <w:color w:val="auto"/>
        </w:rPr>
        <w:t>Employee Confidential Information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59"/>
          </w:cols>
          <w:pgMar w:left="400" w:top="1440"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4 To Second Amended And Restated Contract Manufacturing</w:t>
      </w:r>
    </w:p>
    <w:p>
      <w:pPr>
        <w:ind w:left="328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00" w:lineRule="exact"/>
        <w:rPr>
          <w:sz w:val="20"/>
          <w:szCs w:val="20"/>
          <w:color w:val="auto"/>
        </w:rPr>
      </w:pPr>
    </w:p>
    <w:p>
      <w:pPr>
        <w:spacing w:after="0" w:line="320" w:lineRule="exact"/>
        <w:rPr>
          <w:sz w:val="20"/>
          <w:szCs w:val="20"/>
          <w:color w:val="auto"/>
        </w:rPr>
      </w:pPr>
    </w:p>
    <w:p>
      <w:pPr>
        <w:ind w:right="400" w:firstLine="648"/>
        <w:spacing w:after="0" w:line="206" w:lineRule="auto"/>
        <w:rPr>
          <w:sz w:val="20"/>
          <w:szCs w:val="20"/>
          <w:color w:val="auto"/>
        </w:rPr>
      </w:pPr>
      <w:r>
        <w:rPr>
          <w:rFonts w:ascii="Times New Roman" w:cs="Times New Roman" w:eastAsia="Times New Roman" w:hAnsi="Times New Roman"/>
          <w:sz w:val="22"/>
          <w:szCs w:val="22"/>
          <w:color w:val="auto"/>
        </w:rPr>
        <w:t>This Amendment No.4 (the "Amendment") is made as of this 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December 2022 (the "Effective Date") to the Second Amendment and Restated Contract Manufacturing Agreement entered into as of January l, 2019 (the "Agreement"), as amended, by and between The Honest Company, Inc., a Delaware Company ("Honest") and Valor Brands LLC, a.k.a. Ontex North America, a limited liability company ("Supplier"). Capitalized words used herein and not defined shall have the meaning ascribed to them in the Agreement.</w:t>
      </w:r>
    </w:p>
    <w:p>
      <w:pPr>
        <w:spacing w:after="0" w:line="178" w:lineRule="exact"/>
        <w:rPr>
          <w:sz w:val="20"/>
          <w:szCs w:val="20"/>
          <w:color w:val="auto"/>
        </w:rPr>
      </w:pPr>
    </w:p>
    <w:p>
      <w:pPr>
        <w:ind w:right="1260" w:firstLine="648"/>
        <w:spacing w:after="0" w:line="236" w:lineRule="auto"/>
        <w:rPr>
          <w:sz w:val="20"/>
          <w:szCs w:val="20"/>
          <w:color w:val="auto"/>
        </w:rPr>
      </w:pPr>
      <w:r>
        <w:rPr>
          <w:rFonts w:ascii="Times New Roman" w:cs="Times New Roman" w:eastAsia="Times New Roman" w:hAnsi="Times New Roman"/>
          <w:sz w:val="22"/>
          <w:szCs w:val="22"/>
          <w:color w:val="auto"/>
        </w:rPr>
        <w:t>Whereas, Honest and Supplier entered into the Agreement for the supply and manufacture of certain Products set forth in the Agreement;</w:t>
      </w:r>
    </w:p>
    <w:p>
      <w:pPr>
        <w:spacing w:after="0" w:line="3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Whereas, Honest and Supplier desire to update pricing on certain items and amend other terms. Now,</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therefore, Honest and Supplier hereby agree to amend the Agreement as follows:</w:t>
      </w:r>
    </w:p>
    <w:p>
      <w:pPr>
        <w:spacing w:after="0" w:line="98" w:lineRule="exact"/>
        <w:rPr>
          <w:sz w:val="20"/>
          <w:szCs w:val="20"/>
          <w:color w:val="auto"/>
        </w:rPr>
      </w:pPr>
    </w:p>
    <w:p>
      <w:pPr>
        <w:ind w:left="960" w:right="480" w:hanging="642"/>
        <w:spacing w:after="0" w:line="225" w:lineRule="auto"/>
        <w:tabs>
          <w:tab w:leader="none" w:pos="9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Exhibit A of the Agreement shall be amended to insert a new price chart for Products in lieu of the price chart in Section 2. Such pricing, attached hereto as Schedule 1, shall become effective on purchase orders issued by Honest on the dates as indicated therein.</w:t>
      </w:r>
    </w:p>
    <w:p>
      <w:pPr>
        <w:spacing w:after="0" w:line="179" w:lineRule="exact"/>
        <w:rPr>
          <w:rFonts w:ascii="Times New Roman" w:cs="Times New Roman" w:eastAsia="Times New Roman" w:hAnsi="Times New Roman"/>
          <w:sz w:val="22"/>
          <w:szCs w:val="22"/>
          <w:color w:val="auto"/>
        </w:rPr>
      </w:pPr>
    </w:p>
    <w:p>
      <w:pPr>
        <w:ind w:left="960" w:right="560" w:hanging="642"/>
        <w:spacing w:after="0" w:line="231" w:lineRule="auto"/>
        <w:tabs>
          <w:tab w:leader="none" w:pos="96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 of Exhibit A of the Agreement shall be amended to delete the following text “G5 Pricing for the period from April 1, 2018 through December 31, 2018 ("Straddle Period"). The Parties acknowledge that the following pricing reflects the G5 diaper pricing during the Straddle Period, which occurred prior to the Effective Date of the Agreement” and replace in lieu thereof the following text:</w:t>
      </w:r>
    </w:p>
    <w:p>
      <w:pPr>
        <w:spacing w:after="0" w:line="177" w:lineRule="exact"/>
        <w:rPr>
          <w:rFonts w:ascii="Times New Roman" w:cs="Times New Roman" w:eastAsia="Times New Roman" w:hAnsi="Times New Roman"/>
          <w:sz w:val="21"/>
          <w:szCs w:val="21"/>
          <w:color w:val="auto"/>
        </w:rPr>
      </w:pPr>
    </w:p>
    <w:p>
      <w:pPr>
        <w:ind w:left="9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“Product pricing shall be as follows on the dates designated therein. [***]</w:t>
      </w:r>
    </w:p>
    <w:p>
      <w:pPr>
        <w:spacing w:after="0" w:line="206" w:lineRule="exact"/>
        <w:rPr>
          <w:rFonts w:ascii="Times New Roman" w:cs="Times New Roman" w:eastAsia="Times New Roman" w:hAnsi="Times New Roman"/>
          <w:sz w:val="21"/>
          <w:szCs w:val="21"/>
          <w:color w:val="auto"/>
        </w:rPr>
      </w:pPr>
    </w:p>
    <w:p>
      <w:pPr>
        <w:ind w:left="960" w:hanging="642"/>
        <w:spacing w:after="0"/>
        <w:tabs>
          <w:tab w:leader="none" w:pos="9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Exhibit A is amended to include the following sentence at the end of the paragraph: [***]</w:t>
      </w:r>
    </w:p>
    <w:p>
      <w:pPr>
        <w:spacing w:after="0" w:line="206" w:lineRule="exact"/>
        <w:rPr>
          <w:rFonts w:ascii="Times New Roman" w:cs="Times New Roman" w:eastAsia="Times New Roman" w:hAnsi="Times New Roman"/>
          <w:sz w:val="22"/>
          <w:szCs w:val="22"/>
          <w:color w:val="auto"/>
        </w:rPr>
      </w:pPr>
    </w:p>
    <w:p>
      <w:pPr>
        <w:ind w:left="960" w:hanging="642"/>
        <w:spacing w:after="0"/>
        <w:tabs>
          <w:tab w:leader="none" w:pos="9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2.7(h) of the Agreement will be replaced by the following paragraph:</w:t>
      </w:r>
    </w:p>
    <w:p>
      <w:pPr>
        <w:spacing w:after="0" w:line="206" w:lineRule="exact"/>
        <w:rPr>
          <w:sz w:val="20"/>
          <w:szCs w:val="20"/>
          <w:color w:val="auto"/>
        </w:rPr>
      </w:pPr>
    </w:p>
    <w:p>
      <w:pPr>
        <w:ind w:left="1400" w:right="900"/>
        <w:spacing w:after="0" w:line="236" w:lineRule="auto"/>
        <w:rPr>
          <w:sz w:val="20"/>
          <w:szCs w:val="20"/>
          <w:color w:val="auto"/>
        </w:rPr>
      </w:pPr>
      <w:r>
        <w:rPr>
          <w:rFonts w:ascii="Times New Roman" w:cs="Times New Roman" w:eastAsia="Times New Roman" w:hAnsi="Times New Roman"/>
          <w:sz w:val="22"/>
          <w:szCs w:val="22"/>
          <w:color w:val="auto"/>
        </w:rPr>
        <w:t>The Parties agree either Party can request to renegotiate pricing and the Parties will negotiate in good faith: [***]</w:t>
      </w:r>
    </w:p>
    <w:p>
      <w:pPr>
        <w:spacing w:after="0" w:line="177" w:lineRule="exact"/>
        <w:rPr>
          <w:sz w:val="20"/>
          <w:szCs w:val="20"/>
          <w:color w:val="auto"/>
        </w:rPr>
      </w:pPr>
    </w:p>
    <w:p>
      <w:pPr>
        <w:ind w:left="960" w:right="1220" w:hanging="642"/>
        <w:spacing w:after="0" w:line="236" w:lineRule="auto"/>
        <w:tabs>
          <w:tab w:leader="none" w:pos="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G of the Agreement will be deleted as Products therein mentioned are already covered in Exhibit A above modified.</w:t>
      </w:r>
    </w:p>
    <w:p>
      <w:pPr>
        <w:spacing w:after="0" w:line="177" w:lineRule="exact"/>
        <w:rPr>
          <w:rFonts w:ascii="Times New Roman" w:cs="Times New Roman" w:eastAsia="Times New Roman" w:hAnsi="Times New Roman"/>
          <w:sz w:val="22"/>
          <w:szCs w:val="22"/>
          <w:color w:val="auto"/>
        </w:rPr>
      </w:pPr>
    </w:p>
    <w:p>
      <w:pPr>
        <w:ind w:left="960" w:right="480" w:hanging="643"/>
        <w:spacing w:after="0" w:line="206" w:lineRule="auto"/>
        <w:tabs>
          <w:tab w:leader="none" w:pos="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Section 9.1(b), Honest acknowledges and agrees in that, effective February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2023, Supplier will change subcontracting of the manufacturing of Products from its current contract manufacturer, Productos Internacionales Mabe, S.A. de C.V. to Ontex Mexico Operations, S.A. de C.V. Supplier agrees that such subcontractor will comply with the terms and conditions of this Agreement related to the manufacturing of Products, including, without limitation, the Regulatory Standards and the Vendor Compliance Statement.</w:t>
      </w:r>
    </w:p>
    <w:p>
      <w:pPr>
        <w:spacing w:after="0" w:line="176" w:lineRule="exact"/>
        <w:rPr>
          <w:rFonts w:ascii="Times New Roman" w:cs="Times New Roman" w:eastAsia="Times New Roman" w:hAnsi="Times New Roman"/>
          <w:sz w:val="22"/>
          <w:szCs w:val="22"/>
          <w:color w:val="auto"/>
        </w:rPr>
      </w:pPr>
    </w:p>
    <w:p>
      <w:pPr>
        <w:ind w:left="960" w:right="660" w:hanging="643"/>
        <w:spacing w:after="0" w:line="225" w:lineRule="auto"/>
        <w:tabs>
          <w:tab w:leader="none" w:pos="9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4.4 of Exhibit A of the Agreement shall be amended to insert a new annual volume rebate table in lieu of the table in Section 4.4. Such table, attached hereto as Schedule 2, is effective for calendar year 2022.</w:t>
      </w:r>
    </w:p>
    <w:p>
      <w:pPr>
        <w:spacing w:after="0" w:line="179" w:lineRule="exact"/>
        <w:rPr>
          <w:sz w:val="20"/>
          <w:szCs w:val="20"/>
          <w:color w:val="auto"/>
        </w:rPr>
      </w:pPr>
    </w:p>
    <w:p>
      <w:pPr>
        <w:jc w:val="both"/>
        <w:ind w:left="320" w:right="380"/>
        <w:spacing w:after="0" w:line="225" w:lineRule="auto"/>
        <w:rPr>
          <w:sz w:val="20"/>
          <w:szCs w:val="20"/>
          <w:color w:val="auto"/>
        </w:rPr>
      </w:pPr>
      <w:r>
        <w:rPr>
          <w:rFonts w:ascii="Times New Roman" w:cs="Times New Roman" w:eastAsia="Times New Roman" w:hAnsi="Times New Roman"/>
          <w:sz w:val="22"/>
          <w:szCs w:val="22"/>
          <w:color w:val="auto"/>
        </w:rPr>
        <w:t>Except to the extent expressly modified by this Amendment, the Agreement shall remain in full force and effect and is hereby ratified and confirmed. Terms not otherwise defined herein shall have the meaning assigned to them in the Agreement.</w:t>
      </w:r>
    </w:p>
    <w:p>
      <w:pPr>
        <w:spacing w:after="0" w:line="179" w:lineRule="exact"/>
        <w:rPr>
          <w:sz w:val="20"/>
          <w:szCs w:val="20"/>
          <w:color w:val="auto"/>
        </w:rPr>
      </w:pPr>
    </w:p>
    <w:p>
      <w:pPr>
        <w:ind w:right="640" w:firstLine="648"/>
        <w:spacing w:after="0" w:line="236" w:lineRule="auto"/>
        <w:rPr>
          <w:sz w:val="20"/>
          <w:szCs w:val="20"/>
          <w:color w:val="auto"/>
        </w:rPr>
      </w:pPr>
      <w:r>
        <w:rPr>
          <w:rFonts w:ascii="Times New Roman" w:cs="Times New Roman" w:eastAsia="Times New Roman" w:hAnsi="Times New Roman"/>
          <w:sz w:val="22"/>
          <w:szCs w:val="22"/>
          <w:color w:val="auto"/>
        </w:rPr>
        <w:t>This Agreement may be executed by facsimile or e-mail signatures and in counterparts, each of which shall constitute an original, and all of which shall constitute one and the same instrument.</w:t>
      </w:r>
    </w:p>
    <w:p>
      <w:pPr>
        <w:sectPr>
          <w:pgSz w:w="11900" w:h="16838" w:orient="portrait"/>
          <w:cols w:equalWidth="0" w:num="1">
            <w:col w:w="10560"/>
          </w:cols>
          <w:pgMar w:left="1000" w:top="74" w:right="339" w:bottom="1440" w:gutter="0" w:footer="0" w:header="0"/>
        </w:sectPr>
      </w:pPr>
    </w:p>
    <w:bookmarkStart w:id="162" w:name="page163"/>
    <w:bookmarkEnd w:id="162"/>
    <w:p>
      <w:pPr>
        <w:ind w:right="239"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and intending to be legally bound hereby, the Parties have caused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executed by their duly authorized representatives as of the Effective Date.</w:t>
      </w:r>
    </w:p>
    <w:p>
      <w:pPr>
        <w:sectPr>
          <w:pgSz w:w="11900" w:h="16838" w:orient="portrait"/>
          <w:cols w:equalWidth="0" w:num="1">
            <w:col w:w="9459"/>
          </w:cols>
          <w:pgMar w:left="1000" w:top="9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The Honest Company,</w:t>
            </w:r>
          </w:p>
        </w:tc>
        <w:tc>
          <w:tcPr>
            <w:tcW w:w="3120" w:type="dxa"/>
            <w:vAlign w:val="bottom"/>
            <w:gridSpan w:val="3"/>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Valor Brands LLC a.k.a. Ontex</w:t>
            </w:r>
          </w:p>
        </w:tc>
        <w:tc>
          <w:tcPr>
            <w:tcW w:w="0" w:type="dxa"/>
            <w:vAlign w:val="bottom"/>
          </w:tcPr>
          <w:p>
            <w:pPr>
              <w:spacing w:after="0"/>
              <w:rPr>
                <w:sz w:val="1"/>
                <w:szCs w:val="1"/>
                <w:color w:val="auto"/>
              </w:rPr>
            </w:pPr>
          </w:p>
        </w:tc>
      </w:tr>
      <w:tr>
        <w:trPr>
          <w:trHeight w:val="216"/>
        </w:trPr>
        <w:tc>
          <w:tcPr>
            <w:tcW w:w="228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Inc.</w:t>
            </w:r>
          </w:p>
        </w:tc>
        <w:tc>
          <w:tcPr>
            <w:tcW w:w="3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North America</w:t>
            </w:r>
          </w:p>
        </w:tc>
        <w:tc>
          <w:tcPr>
            <w:tcW w:w="0" w:type="dxa"/>
            <w:vAlign w:val="bottom"/>
          </w:tcPr>
          <w:p>
            <w:pPr>
              <w:spacing w:after="0"/>
              <w:rPr>
                <w:sz w:val="1"/>
                <w:szCs w:val="1"/>
                <w:color w:val="auto"/>
              </w:rPr>
            </w:pPr>
          </w:p>
        </w:tc>
      </w:tr>
      <w:tr>
        <w:trPr>
          <w:trHeight w:val="230"/>
        </w:trPr>
        <w:tc>
          <w:tcPr>
            <w:tcW w:w="22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auto"/>
              </w:rPr>
              <w:t>By: /s/ Kelly Kennedy</w:t>
            </w:r>
          </w:p>
        </w:tc>
        <w:tc>
          <w:tcPr>
            <w:tcW w:w="312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22"/>
                <w:szCs w:val="22"/>
                <w:color w:val="auto"/>
              </w:rPr>
              <w:t>By: /s/ James Skinner</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Kelly Kennedy</w:t>
            </w:r>
          </w:p>
        </w:tc>
        <w:tc>
          <w:tcPr>
            <w:tcW w:w="31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Name: James Skinner</w:t>
            </w:r>
          </w:p>
        </w:tc>
        <w:tc>
          <w:tcPr>
            <w:tcW w:w="0" w:type="dxa"/>
            <w:vAlign w:val="bottom"/>
          </w:tcPr>
          <w:p>
            <w:pPr>
              <w:spacing w:after="0"/>
              <w:rPr>
                <w:sz w:val="1"/>
                <w:szCs w:val="1"/>
                <w:color w:val="auto"/>
              </w:rPr>
            </w:pPr>
          </w:p>
        </w:tc>
      </w:tr>
      <w:tr>
        <w:trPr>
          <w:trHeight w:val="216"/>
        </w:trPr>
        <w:tc>
          <w:tcPr>
            <w:tcW w:w="2280" w:type="dxa"/>
            <w:vAlign w:val="bottom"/>
            <w:gridSpan w:val="3"/>
          </w:tcPr>
          <w:p>
            <w:pPr>
              <w:spacing w:after="0" w:line="217" w:lineRule="exact"/>
              <w:rPr>
                <w:sz w:val="20"/>
                <w:szCs w:val="20"/>
                <w:color w:val="auto"/>
              </w:rPr>
            </w:pPr>
            <w:r>
              <w:rPr>
                <w:rFonts w:ascii="Times New Roman" w:cs="Times New Roman" w:eastAsia="Times New Roman" w:hAnsi="Times New Roman"/>
                <w:sz w:val="22"/>
                <w:szCs w:val="22"/>
                <w:color w:val="auto"/>
              </w:rPr>
              <w:t>Title: Chief Financial</w:t>
            </w:r>
          </w:p>
        </w:tc>
        <w:tc>
          <w:tcPr>
            <w:tcW w:w="3120" w:type="dxa"/>
            <w:vAlign w:val="bottom"/>
            <w:gridSpan w:val="3"/>
          </w:tcPr>
          <w:p>
            <w:pPr>
              <w:ind w:left="220"/>
              <w:spacing w:after="0" w:line="217" w:lineRule="exact"/>
              <w:rPr>
                <w:sz w:val="20"/>
                <w:szCs w:val="20"/>
                <w:color w:val="auto"/>
              </w:rPr>
            </w:pPr>
            <w:r>
              <w:rPr>
                <w:rFonts w:ascii="Times New Roman" w:cs="Times New Roman" w:eastAsia="Times New Roman" w:hAnsi="Times New Roman"/>
                <w:sz w:val="22"/>
                <w:szCs w:val="22"/>
                <w:color w:val="auto"/>
              </w:rPr>
              <w:t>Title: Vice-President &amp; General</w:t>
            </w:r>
          </w:p>
        </w:tc>
        <w:tc>
          <w:tcPr>
            <w:tcW w:w="0" w:type="dxa"/>
            <w:vAlign w:val="bottom"/>
          </w:tcPr>
          <w:p>
            <w:pPr>
              <w:spacing w:after="0"/>
              <w:rPr>
                <w:sz w:val="1"/>
                <w:szCs w:val="1"/>
                <w:color w:val="auto"/>
              </w:rPr>
            </w:pPr>
          </w:p>
        </w:tc>
      </w:tr>
      <w:tr>
        <w:trPr>
          <w:trHeight w:val="28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Officer</w:t>
            </w:r>
          </w:p>
        </w:tc>
        <w:tc>
          <w:tcPr>
            <w:tcW w:w="312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Manager</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Address:</w:t>
      </w:r>
    </w:p>
    <w:p>
      <w:pPr>
        <w:ind w:left="100"/>
        <w:spacing w:after="0" w:line="204" w:lineRule="auto"/>
        <w:rPr>
          <w:sz w:val="20"/>
          <w:szCs w:val="20"/>
          <w:color w:val="auto"/>
        </w:rPr>
      </w:pPr>
      <w:r>
        <w:rPr>
          <w:rFonts w:ascii="Times New Roman" w:cs="Times New Roman" w:eastAsia="Times New Roman" w:hAnsi="Times New Roman"/>
          <w:sz w:val="22"/>
          <w:szCs w:val="22"/>
          <w:color w:val="auto"/>
        </w:rPr>
        <w:t>12130 Millennium Drive,</w:t>
      </w:r>
    </w:p>
    <w:p>
      <w:pPr>
        <w:ind w:left="100"/>
        <w:spacing w:after="0" w:line="205"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Los Angeles, California 90094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4" w:lineRule="auto"/>
        <w:rPr>
          <w:sz w:val="20"/>
          <w:szCs w:val="20"/>
          <w:color w:val="auto"/>
        </w:rPr>
      </w:pPr>
      <w:r>
        <w:rPr>
          <w:rFonts w:ascii="Times New Roman" w:cs="Times New Roman" w:eastAsia="Times New Roman" w:hAnsi="Times New Roman"/>
          <w:sz w:val="22"/>
          <w:szCs w:val="22"/>
          <w:color w:val="auto"/>
        </w:rPr>
        <w:t>5900 Windward Parkway</w:t>
      </w:r>
    </w:p>
    <w:p>
      <w:pPr>
        <w:spacing w:after="0" w:line="205"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Alpharetta, Georgia 30005</w:t>
      </w:r>
    </w:p>
    <w:p>
      <w:pPr>
        <w:sectPr>
          <w:pgSz w:w="11900" w:h="16838" w:orient="portrait"/>
          <w:cols w:equalWidth="0" w:num="2">
            <w:col w:w="5400" w:space="620"/>
            <w:col w:w="3439"/>
          </w:cols>
          <w:pgMar w:left="1000" w:top="932" w:right="1440" w:bottom="1440" w:gutter="0" w:footer="0" w:header="0"/>
          <w:type w:val="continuous"/>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151515"/>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51515"/>
        </w:rPr>
        <w:t>AMENDMENT TWENTY–FOUR</w:t>
      </w:r>
    </w:p>
    <w:p>
      <w:pPr>
        <w:jc w:val="center"/>
        <w:spacing w:after="0"/>
        <w:rPr>
          <w:sz w:val="20"/>
          <w:szCs w:val="20"/>
          <w:color w:val="auto"/>
        </w:rPr>
      </w:pPr>
      <w:r>
        <w:rPr>
          <w:rFonts w:ascii="Times New Roman" w:cs="Times New Roman" w:eastAsia="Times New Roman" w:hAnsi="Times New Roman"/>
          <w:sz w:val="22"/>
          <w:szCs w:val="22"/>
          <w:b w:val="1"/>
          <w:bCs w:val="1"/>
          <w:color w:val="151515"/>
        </w:rPr>
        <w:t>TO THE LOGISTICS SERVICES AGREEMENT</w:t>
      </w:r>
    </w:p>
    <w:p>
      <w:pPr>
        <w:spacing w:after="0" w:line="17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151515"/>
        </w:rPr>
        <w:t xml:space="preserve">This </w:t>
      </w:r>
      <w:r>
        <w:rPr>
          <w:rFonts w:ascii="Times New Roman" w:cs="Times New Roman" w:eastAsia="Times New Roman" w:hAnsi="Times New Roman"/>
          <w:sz w:val="22"/>
          <w:szCs w:val="22"/>
          <w:b w:val="1"/>
          <w:bCs w:val="1"/>
          <w:color w:val="151515"/>
        </w:rPr>
        <w:t>AMENDMENT TWENTY–FOUR TO THE LOGISTICS SERVICES AGREEMENT</w:t>
      </w:r>
      <w:r>
        <w:rPr>
          <w:rFonts w:ascii="Times New Roman" w:cs="Times New Roman" w:eastAsia="Times New Roman" w:hAnsi="Times New Roman"/>
          <w:sz w:val="22"/>
          <w:szCs w:val="22"/>
          <w:color w:val="151515"/>
        </w:rPr>
        <w:t xml:space="preserve"> (the “</w:t>
      </w:r>
      <w:r>
        <w:rPr>
          <w:rFonts w:ascii="Times New Roman" w:cs="Times New Roman" w:eastAsia="Times New Roman" w:hAnsi="Times New Roman"/>
          <w:sz w:val="22"/>
          <w:szCs w:val="22"/>
          <w:b w:val="1"/>
          <w:bCs w:val="1"/>
          <w:color w:val="151515"/>
        </w:rPr>
        <w:t>Amendment</w:t>
      </w:r>
      <w:r>
        <w:rPr>
          <w:rFonts w:ascii="Times New Roman" w:cs="Times New Roman" w:eastAsia="Times New Roman" w:hAnsi="Times New Roman"/>
          <w:sz w:val="22"/>
          <w:szCs w:val="22"/>
          <w:color w:val="151515"/>
        </w:rPr>
        <w:t xml:space="preserve"> ”) is entered into as of February 28, 2023 (the “</w:t>
      </w:r>
      <w:r>
        <w:rPr>
          <w:rFonts w:ascii="Times New Roman" w:cs="Times New Roman" w:eastAsia="Times New Roman" w:hAnsi="Times New Roman"/>
          <w:sz w:val="22"/>
          <w:szCs w:val="22"/>
          <w:b w:val="1"/>
          <w:bCs w:val="1"/>
          <w:color w:val="151515"/>
        </w:rPr>
        <w:t>Amendment Date</w:t>
      </w:r>
      <w:r>
        <w:rPr>
          <w:rFonts w:ascii="Times New Roman" w:cs="Times New Roman" w:eastAsia="Times New Roman" w:hAnsi="Times New Roman"/>
          <w:sz w:val="22"/>
          <w:szCs w:val="22"/>
          <w:color w:val="151515"/>
        </w:rPr>
        <w:t>”), by and between The Honest Company, Inc. (“</w:t>
      </w:r>
      <w:r>
        <w:rPr>
          <w:rFonts w:ascii="Times New Roman" w:cs="Times New Roman" w:eastAsia="Times New Roman" w:hAnsi="Times New Roman"/>
          <w:sz w:val="22"/>
          <w:szCs w:val="22"/>
          <w:b w:val="1"/>
          <w:bCs w:val="1"/>
          <w:color w:val="151515"/>
        </w:rPr>
        <w:t>CLIENT</w:t>
      </w:r>
      <w:r>
        <w:rPr>
          <w:rFonts w:ascii="Times New Roman" w:cs="Times New Roman" w:eastAsia="Times New Roman" w:hAnsi="Times New Roman"/>
          <w:sz w:val="22"/>
          <w:szCs w:val="22"/>
          <w:color w:val="151515"/>
        </w:rPr>
        <w:t>”) and GEODIS Logistics LLC (“</w:t>
      </w:r>
      <w:r>
        <w:rPr>
          <w:rFonts w:ascii="Times New Roman" w:cs="Times New Roman" w:eastAsia="Times New Roman" w:hAnsi="Times New Roman"/>
          <w:sz w:val="22"/>
          <w:szCs w:val="22"/>
          <w:b w:val="1"/>
          <w:bCs w:val="1"/>
          <w:color w:val="151515"/>
        </w:rPr>
        <w:t>GEODIS</w:t>
      </w:r>
      <w:r>
        <w:rPr>
          <w:rFonts w:ascii="Times New Roman" w:cs="Times New Roman" w:eastAsia="Times New Roman" w:hAnsi="Times New Roman"/>
          <w:sz w:val="22"/>
          <w:szCs w:val="22"/>
          <w:color w:val="151515"/>
        </w:rPr>
        <w:t>,” collectively referred to as the “</w:t>
      </w:r>
      <w:r>
        <w:rPr>
          <w:rFonts w:ascii="Times New Roman" w:cs="Times New Roman" w:eastAsia="Times New Roman" w:hAnsi="Times New Roman"/>
          <w:sz w:val="22"/>
          <w:szCs w:val="22"/>
          <w:b w:val="1"/>
          <w:bCs w:val="1"/>
          <w:color w:val="151515"/>
        </w:rPr>
        <w:t>Parties</w:t>
      </w:r>
      <w:r>
        <w:rPr>
          <w:rFonts w:ascii="Times New Roman" w:cs="Times New Roman" w:eastAsia="Times New Roman" w:hAnsi="Times New Roman"/>
          <w:sz w:val="22"/>
          <w:szCs w:val="22"/>
          <w:color w:val="151515"/>
        </w:rPr>
        <w:t>,” and each a “</w:t>
      </w:r>
      <w:r>
        <w:rPr>
          <w:rFonts w:ascii="Times New Roman" w:cs="Times New Roman" w:eastAsia="Times New Roman" w:hAnsi="Times New Roman"/>
          <w:sz w:val="22"/>
          <w:szCs w:val="22"/>
          <w:b w:val="1"/>
          <w:bCs w:val="1"/>
          <w:color w:val="151515"/>
        </w:rPr>
        <w:t>Party</w:t>
      </w:r>
      <w:r>
        <w:rPr>
          <w:rFonts w:ascii="Times New Roman" w:cs="Times New Roman" w:eastAsia="Times New Roman" w:hAnsi="Times New Roman"/>
          <w:sz w:val="22"/>
          <w:szCs w:val="22"/>
          <w:color w:val="151515"/>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151515"/>
        </w:rPr>
        <w:t>RECITALS:</w:t>
      </w:r>
    </w:p>
    <w:p>
      <w:pPr>
        <w:spacing w:after="0" w:line="210" w:lineRule="exact"/>
        <w:rPr>
          <w:sz w:val="20"/>
          <w:szCs w:val="20"/>
          <w:color w:val="auto"/>
        </w:rPr>
      </w:pPr>
    </w:p>
    <w:p>
      <w:pPr>
        <w:ind w:left="660" w:hanging="328"/>
        <w:spacing w:after="0" w:line="236" w:lineRule="auto"/>
        <w:tabs>
          <w:tab w:leader="none" w:pos="654" w:val="left"/>
        </w:tabs>
        <w:numPr>
          <w:ilvl w:val="0"/>
          <w:numId w:val="121"/>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The Parties entered into that certain Logistics Services Agreement dated January 27, 2014, as amended from time-to-time (the “</w:t>
      </w:r>
      <w:r>
        <w:rPr>
          <w:rFonts w:ascii="Times New Roman" w:cs="Times New Roman" w:eastAsia="Times New Roman" w:hAnsi="Times New Roman"/>
          <w:sz w:val="22"/>
          <w:szCs w:val="22"/>
          <w:b w:val="1"/>
          <w:bCs w:val="1"/>
          <w:color w:val="151515"/>
        </w:rPr>
        <w:t>Agreement</w:t>
      </w:r>
      <w:r>
        <w:rPr>
          <w:rFonts w:ascii="Times New Roman" w:cs="Times New Roman" w:eastAsia="Times New Roman" w:hAnsi="Times New Roman"/>
          <w:sz w:val="22"/>
          <w:szCs w:val="22"/>
          <w:color w:val="151515"/>
        </w:rPr>
        <w:t>”);</w:t>
      </w:r>
    </w:p>
    <w:p>
      <w:pPr>
        <w:spacing w:after="0" w:line="177" w:lineRule="exact"/>
        <w:rPr>
          <w:rFonts w:ascii="Times New Roman" w:cs="Times New Roman" w:eastAsia="Times New Roman" w:hAnsi="Times New Roman"/>
          <w:sz w:val="22"/>
          <w:szCs w:val="22"/>
          <w:b w:val="1"/>
          <w:bCs w:val="1"/>
          <w:color w:val="151515"/>
        </w:rPr>
      </w:pPr>
    </w:p>
    <w:p>
      <w:pPr>
        <w:jc w:val="both"/>
        <w:ind w:left="660" w:hanging="328"/>
        <w:spacing w:after="0" w:line="225" w:lineRule="auto"/>
        <w:tabs>
          <w:tab w:leader="none" w:pos="656" w:val="left"/>
        </w:tabs>
        <w:numPr>
          <w:ilvl w:val="0"/>
          <w:numId w:val="121"/>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Pursuant to the Agreement, GEODIS provides logistics and warehousing services for CLIENT at the facility located at 5550 Donovan Way, Las Vegas, NV 89081(the “</w:t>
      </w:r>
      <w:r>
        <w:rPr>
          <w:rFonts w:ascii="Times New Roman" w:cs="Times New Roman" w:eastAsia="Times New Roman" w:hAnsi="Times New Roman"/>
          <w:sz w:val="22"/>
          <w:szCs w:val="22"/>
          <w:b w:val="1"/>
          <w:bCs w:val="1"/>
          <w:color w:val="151515"/>
        </w:rPr>
        <w:t>Las Vegas Facility</w:t>
      </w:r>
      <w:r>
        <w:rPr>
          <w:rFonts w:ascii="Times New Roman" w:cs="Times New Roman" w:eastAsia="Times New Roman" w:hAnsi="Times New Roman"/>
          <w:sz w:val="22"/>
          <w:szCs w:val="22"/>
          <w:color w:val="151515"/>
        </w:rPr>
        <w:t>”) and the facility located at 651 Boulder Drive, Breinigsville, PA 18031 (the “</w:t>
      </w:r>
      <w:r>
        <w:rPr>
          <w:rFonts w:ascii="Times New Roman" w:cs="Times New Roman" w:eastAsia="Times New Roman" w:hAnsi="Times New Roman"/>
          <w:sz w:val="22"/>
          <w:szCs w:val="22"/>
          <w:b w:val="1"/>
          <w:bCs w:val="1"/>
          <w:color w:val="151515"/>
        </w:rPr>
        <w:t>PA Facility</w:t>
      </w:r>
      <w:r>
        <w:rPr>
          <w:rFonts w:ascii="Times New Roman" w:cs="Times New Roman" w:eastAsia="Times New Roman" w:hAnsi="Times New Roman"/>
          <w:sz w:val="22"/>
          <w:szCs w:val="22"/>
          <w:color w:val="151515"/>
        </w:rPr>
        <w:t>”);</w:t>
      </w:r>
    </w:p>
    <w:p>
      <w:pPr>
        <w:spacing w:after="0" w:line="179" w:lineRule="exact"/>
        <w:rPr>
          <w:rFonts w:ascii="Times New Roman" w:cs="Times New Roman" w:eastAsia="Times New Roman" w:hAnsi="Times New Roman"/>
          <w:sz w:val="22"/>
          <w:szCs w:val="22"/>
          <w:b w:val="1"/>
          <w:bCs w:val="1"/>
          <w:color w:val="151515"/>
        </w:rPr>
      </w:pPr>
    </w:p>
    <w:p>
      <w:pPr>
        <w:ind w:left="660" w:hanging="328"/>
        <w:spacing w:after="0" w:line="236" w:lineRule="auto"/>
        <w:tabs>
          <w:tab w:leader="none" w:pos="712" w:val="left"/>
        </w:tabs>
        <w:numPr>
          <w:ilvl w:val="0"/>
          <w:numId w:val="121"/>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The Parties are in the process of negotiating a new master services agreement that will, upon execution, govern the terms of the Services provided under this Agreement; and</w:t>
      </w:r>
    </w:p>
    <w:p>
      <w:pPr>
        <w:spacing w:after="0" w:line="177" w:lineRule="exact"/>
        <w:rPr>
          <w:rFonts w:ascii="Times New Roman" w:cs="Times New Roman" w:eastAsia="Times New Roman" w:hAnsi="Times New Roman"/>
          <w:sz w:val="22"/>
          <w:szCs w:val="22"/>
          <w:b w:val="1"/>
          <w:bCs w:val="1"/>
          <w:color w:val="151515"/>
        </w:rPr>
      </w:pPr>
    </w:p>
    <w:p>
      <w:pPr>
        <w:ind w:left="640" w:hanging="308"/>
        <w:spacing w:after="0"/>
        <w:tabs>
          <w:tab w:leader="none" w:pos="640" w:val="left"/>
        </w:tabs>
        <w:numPr>
          <w:ilvl w:val="0"/>
          <w:numId w:val="121"/>
        </w:numPr>
        <w:rPr>
          <w:rFonts w:ascii="Times New Roman" w:cs="Times New Roman" w:eastAsia="Times New Roman" w:hAnsi="Times New Roman"/>
          <w:sz w:val="22"/>
          <w:szCs w:val="22"/>
          <w:b w:val="1"/>
          <w:bCs w:val="1"/>
          <w:color w:val="151515"/>
        </w:rPr>
      </w:pPr>
      <w:r>
        <w:rPr>
          <w:rFonts w:ascii="Times New Roman" w:cs="Times New Roman" w:eastAsia="Times New Roman" w:hAnsi="Times New Roman"/>
          <w:sz w:val="22"/>
          <w:szCs w:val="22"/>
          <w:color w:val="151515"/>
        </w:rPr>
        <w:t>The Parties desire to amend Agreement as set forth herein.</w:t>
      </w:r>
    </w:p>
    <w:p>
      <w:pPr>
        <w:spacing w:after="0" w:line="20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151515"/>
        </w:rPr>
        <w:t>NOW THEREFORE</w:t>
      </w:r>
      <w:r>
        <w:rPr>
          <w:rFonts w:ascii="Times New Roman" w:cs="Times New Roman" w:eastAsia="Times New Roman" w:hAnsi="Times New Roman"/>
          <w:sz w:val="22"/>
          <w:szCs w:val="22"/>
          <w:color w:val="151515"/>
        </w:rPr>
        <w:t>, for good and valuable consideration, the receipt and sufficiency of which are hereby</w:t>
      </w:r>
      <w:r>
        <w:rPr>
          <w:rFonts w:ascii="Times New Roman" w:cs="Times New Roman" w:eastAsia="Times New Roman" w:hAnsi="Times New Roman"/>
          <w:sz w:val="22"/>
          <w:szCs w:val="22"/>
          <w:b w:val="1"/>
          <w:bCs w:val="1"/>
          <w:color w:val="151515"/>
        </w:rPr>
        <w:t xml:space="preserve"> </w:t>
      </w:r>
      <w:r>
        <w:rPr>
          <w:rFonts w:ascii="Times New Roman" w:cs="Times New Roman" w:eastAsia="Times New Roman" w:hAnsi="Times New Roman"/>
          <w:sz w:val="22"/>
          <w:szCs w:val="22"/>
          <w:color w:val="151515"/>
        </w:rPr>
        <w:t>acknowledged, the Parties agree to amend the Agreement as follows:</w:t>
      </w:r>
    </w:p>
    <w:p>
      <w:pPr>
        <w:spacing w:after="0" w:line="177"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The Las Vegas Term and the PA Term shall both be extended until August 31, 2023.</w:t>
      </w:r>
    </w:p>
    <w:p>
      <w:pPr>
        <w:spacing w:after="0" w:line="206" w:lineRule="exact"/>
        <w:rPr>
          <w:rFonts w:ascii="Times New Roman" w:cs="Times New Roman" w:eastAsia="Times New Roman" w:hAnsi="Times New Roman"/>
          <w:sz w:val="22"/>
          <w:szCs w:val="22"/>
          <w:color w:val="151515"/>
        </w:rPr>
      </w:pPr>
    </w:p>
    <w:p>
      <w:pPr>
        <w:jc w:val="both"/>
        <w:ind w:left="340" w:hanging="332"/>
        <w:spacing w:after="0" w:line="220" w:lineRule="auto"/>
        <w:tabs>
          <w:tab w:leader="none" w:pos="340" w:val="left"/>
        </w:tabs>
        <w:numPr>
          <w:ilvl w:val="0"/>
          <w:numId w:val="122"/>
        </w:numPr>
        <w:rPr>
          <w:rFonts w:ascii="Times New Roman" w:cs="Times New Roman" w:eastAsia="Times New Roman" w:hAnsi="Times New Roman"/>
          <w:sz w:val="22"/>
          <w:szCs w:val="22"/>
          <w:color w:val="151515"/>
        </w:rPr>
      </w:pPr>
      <w:r>
        <w:rPr>
          <w:rFonts w:ascii="Times New Roman" w:cs="Times New Roman" w:eastAsia="Times New Roman" w:hAnsi="Times New Roman"/>
          <w:sz w:val="22"/>
          <w:szCs w:val="22"/>
          <w:color w:val="151515"/>
        </w:rPr>
        <w:t>Any capitalized terms not defined herein shall have the meanings set forth in the Agreement, as amended. Except as provided herein, the Agreement shall remain unchanged and in full force and effect in accordance with its terms. It is specifically understood and agreed that the foregoing shall not be deemed to be a waiver or amendment of any other provision of the Agreement or either Party’s rights or remedies under the Agreement.</w:t>
      </w:r>
    </w:p>
    <w:p>
      <w:pPr>
        <w:spacing w:after="0" w:line="200" w:lineRule="exact"/>
        <w:rPr>
          <w:sz w:val="20"/>
          <w:szCs w:val="20"/>
          <w:color w:val="auto"/>
        </w:rPr>
      </w:pPr>
    </w:p>
    <w:p>
      <w:pPr>
        <w:spacing w:after="0" w:line="21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151515"/>
        </w:rPr>
        <w:t>IN WITNESS WHEREOF</w:t>
      </w:r>
      <w:r>
        <w:rPr>
          <w:rFonts w:ascii="Times New Roman" w:cs="Times New Roman" w:eastAsia="Times New Roman" w:hAnsi="Times New Roman"/>
          <w:sz w:val="22"/>
          <w:szCs w:val="22"/>
          <w:color w:val="151515"/>
        </w:rPr>
        <w:t>, the Parties have caused this Amendment to be executed by their duly authorized</w:t>
      </w:r>
      <w:r>
        <w:rPr>
          <w:rFonts w:ascii="Times New Roman" w:cs="Times New Roman" w:eastAsia="Times New Roman" w:hAnsi="Times New Roman"/>
          <w:sz w:val="22"/>
          <w:szCs w:val="22"/>
          <w:b w:val="1"/>
          <w:bCs w:val="1"/>
          <w:color w:val="151515"/>
        </w:rPr>
        <w:t xml:space="preserve"> </w:t>
      </w:r>
      <w:r>
        <w:rPr>
          <w:rFonts w:ascii="Times New Roman" w:cs="Times New Roman" w:eastAsia="Times New Roman" w:hAnsi="Times New Roman"/>
          <w:sz w:val="22"/>
          <w:szCs w:val="22"/>
          <w:color w:val="151515"/>
        </w:rPr>
        <w:t>representatives as of the Amendment Date set forth above.</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44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THE HONEST COMPANY, INC.</w:t>
            </w:r>
          </w:p>
        </w:tc>
        <w:tc>
          <w:tcPr>
            <w:tcW w:w="3900" w:type="dxa"/>
            <w:vAlign w:val="bottom"/>
            <w:gridSpan w:val="3"/>
          </w:tcPr>
          <w:p>
            <w:pPr>
              <w:ind w:left="1320"/>
              <w:spacing w:after="0"/>
              <w:rPr>
                <w:sz w:val="20"/>
                <w:szCs w:val="20"/>
                <w:color w:val="auto"/>
              </w:rPr>
            </w:pPr>
            <w:r>
              <w:rPr>
                <w:rFonts w:ascii="Times New Roman" w:cs="Times New Roman" w:eastAsia="Times New Roman" w:hAnsi="Times New Roman"/>
                <w:sz w:val="22"/>
                <w:szCs w:val="22"/>
                <w:b w:val="1"/>
                <w:bCs w:val="1"/>
                <w:color w:val="auto"/>
                <w:w w:val="97"/>
              </w:rPr>
              <w:t>GEODIS LOGISTICS LLC</w:t>
            </w:r>
          </w:p>
        </w:tc>
      </w:tr>
      <w:tr>
        <w:trPr>
          <w:trHeight w:val="212"/>
        </w:trPr>
        <w:tc>
          <w:tcPr>
            <w:tcW w:w="444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151515"/>
              </w:rPr>
              <w:t>By: /s/ Kelly Kennedy</w:t>
            </w:r>
          </w:p>
        </w:tc>
        <w:tc>
          <w:tcPr>
            <w:tcW w:w="3900" w:type="dxa"/>
            <w:vAlign w:val="bottom"/>
            <w:gridSpan w:val="3"/>
          </w:tcPr>
          <w:p>
            <w:pPr>
              <w:ind w:left="1320"/>
              <w:spacing w:after="0" w:line="212" w:lineRule="exact"/>
              <w:rPr>
                <w:sz w:val="20"/>
                <w:szCs w:val="20"/>
                <w:color w:val="auto"/>
              </w:rPr>
            </w:pPr>
            <w:r>
              <w:rPr>
                <w:rFonts w:ascii="Times New Roman" w:cs="Times New Roman" w:eastAsia="Times New Roman" w:hAnsi="Times New Roman"/>
                <w:sz w:val="20"/>
                <w:szCs w:val="20"/>
                <w:color w:val="151515"/>
              </w:rPr>
              <w:t>By: /s/ Anthony Jordan</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151515"/>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shd w:val="clear" w:color="auto" w:fill="15151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81"/>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151515"/>
              </w:rPr>
              <w:t>Name: Kelly Kennedy</w:t>
            </w:r>
          </w:p>
        </w:tc>
        <w:tc>
          <w:tcPr>
            <w:tcW w:w="390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151515"/>
              </w:rPr>
              <w:t>Name: Anthony Jordan</w:t>
            </w:r>
          </w:p>
        </w:tc>
      </w:tr>
      <w:tr>
        <w:trPr>
          <w:trHeight w:val="257"/>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151515"/>
              </w:rPr>
              <w:t>Title: Chief Financial Officer</w:t>
            </w:r>
          </w:p>
        </w:tc>
        <w:tc>
          <w:tcPr>
            <w:tcW w:w="390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151515"/>
              </w:rPr>
              <w:t>Title: COO</w:t>
            </w:r>
          </w:p>
        </w:tc>
      </w:tr>
      <w:tr>
        <w:trPr>
          <w:trHeight w:val="258"/>
        </w:trPr>
        <w:tc>
          <w:tcPr>
            <w:tcW w:w="4440" w:type="dxa"/>
            <w:vAlign w:val="bottom"/>
            <w:gridSpan w:val="3"/>
          </w:tcPr>
          <w:p>
            <w:pPr>
              <w:spacing w:after="0"/>
              <w:rPr>
                <w:sz w:val="20"/>
                <w:szCs w:val="20"/>
                <w:color w:val="auto"/>
              </w:rPr>
            </w:pPr>
            <w:r>
              <w:rPr>
                <w:rFonts w:ascii="Times New Roman" w:cs="Times New Roman" w:eastAsia="Times New Roman" w:hAnsi="Times New Roman"/>
                <w:sz w:val="20"/>
                <w:szCs w:val="20"/>
                <w:color w:val="151515"/>
              </w:rPr>
              <w:t>Date: 2/28/2023</w:t>
            </w:r>
          </w:p>
        </w:tc>
        <w:tc>
          <w:tcPr>
            <w:tcW w:w="3900" w:type="dxa"/>
            <w:vAlign w:val="bottom"/>
            <w:gridSpan w:val="3"/>
          </w:tcPr>
          <w:p>
            <w:pPr>
              <w:ind w:left="1320"/>
              <w:spacing w:after="0"/>
              <w:rPr>
                <w:sz w:val="20"/>
                <w:szCs w:val="20"/>
                <w:color w:val="auto"/>
              </w:rPr>
            </w:pPr>
            <w:r>
              <w:rPr>
                <w:rFonts w:ascii="Times New Roman" w:cs="Times New Roman" w:eastAsia="Times New Roman" w:hAnsi="Times New Roman"/>
                <w:sz w:val="20"/>
                <w:szCs w:val="20"/>
                <w:color w:val="151515"/>
              </w:rPr>
              <w:t>Date: 2/28/2023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21"/>
          <w:szCs w:val="21"/>
          <w:color w:val="151515"/>
        </w:rPr>
        <w:t xml:space="preserve">Page </w:t>
      </w:r>
      <w:r>
        <w:rPr>
          <w:rFonts w:ascii="Times New Roman" w:cs="Times New Roman" w:eastAsia="Times New Roman" w:hAnsi="Times New Roman"/>
          <w:sz w:val="21"/>
          <w:szCs w:val="21"/>
          <w:b w:val="1"/>
          <w:bCs w:val="1"/>
          <w:color w:val="151515"/>
        </w:rPr>
        <w:t>1</w:t>
      </w:r>
      <w:r>
        <w:rPr>
          <w:rFonts w:ascii="Times New Roman" w:cs="Times New Roman" w:eastAsia="Times New Roman" w:hAnsi="Times New Roman"/>
          <w:sz w:val="21"/>
          <w:szCs w:val="21"/>
          <w:color w:val="151515"/>
        </w:rPr>
        <w:t xml:space="preserve"> of </w:t>
      </w:r>
      <w:r>
        <w:rPr>
          <w:rFonts w:ascii="Times New Roman" w:cs="Times New Roman" w:eastAsia="Times New Roman" w:hAnsi="Times New Roman"/>
          <w:sz w:val="21"/>
          <w:szCs w:val="21"/>
          <w:b w:val="1"/>
          <w:bCs w:val="1"/>
          <w:color w:val="151515"/>
        </w:rPr>
        <w:t>1</w:t>
      </w:r>
    </w:p>
    <w:p>
      <w:pPr>
        <w:sectPr>
          <w:pgSz w:w="11900" w:h="16838" w:orient="portrait"/>
          <w:cols w:equalWidth="0" w:num="1">
            <w:col w:w="11240"/>
          </w:cols>
          <w:pgMar w:left="320" w:top="9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Significant Subsidiaries of The Honest Company,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413"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333-255848) and No. 333-263912) of The Honest Company, Inc. of our report dated March 16, 2023 relating to the financial statements, which appear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ectPr>
          <w:pgSz w:w="11900" w:h="16838" w:orient="portrait"/>
          <w:cols w:equalWidth="0" w:num="1">
            <w:col w:w="11240"/>
          </w:cols>
          <w:pgMar w:left="320" w:top="1413" w:right="339" w:bottom="1440" w:gutter="0" w:footer="0" w:header="0"/>
        </w:sectPr>
      </w:pPr>
    </w:p>
    <w:bookmarkStart w:id="166" w:name="page167"/>
    <w:bookmarkEnd w:id="166"/>
    <w:p>
      <w:pPr>
        <w:ind w:left="9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Carla Vernón, certify that:</w:t>
      </w:r>
    </w:p>
    <w:p>
      <w:pPr>
        <w:spacing w:after="0" w:line="252" w:lineRule="exact"/>
        <w:rPr>
          <w:sz w:val="20"/>
          <w:szCs w:val="20"/>
          <w:color w:val="auto"/>
        </w:rPr>
      </w:pPr>
    </w:p>
    <w:p>
      <w:pPr>
        <w:ind w:left="560" w:hanging="545"/>
        <w:spacing w:after="0"/>
        <w:tabs>
          <w:tab w:leader="none" w:pos="5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560" w:right="20" w:hanging="545"/>
        <w:spacing w:after="0" w:line="281" w:lineRule="auto"/>
        <w:tabs>
          <w:tab w:leader="none" w:pos="5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560" w:right="20" w:hanging="545"/>
        <w:spacing w:after="0" w:line="297" w:lineRule="auto"/>
        <w:tabs>
          <w:tab w:leader="none" w:pos="5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Times New Roman" w:cs="Times New Roman" w:eastAsia="Times New Roman" w:hAnsi="Times New Roman"/>
          <w:sz w:val="18"/>
          <w:szCs w:val="18"/>
          <w:color w:val="auto"/>
        </w:rPr>
      </w:pPr>
    </w:p>
    <w:p>
      <w:pPr>
        <w:jc w:val="both"/>
        <w:ind w:left="560" w:right="260" w:hanging="545"/>
        <w:spacing w:after="0" w:line="290" w:lineRule="auto"/>
        <w:tabs>
          <w:tab w:leader="none" w:pos="54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65" w:lineRule="exact"/>
        <w:rPr>
          <w:rFonts w:ascii="Times New Roman" w:cs="Times New Roman" w:eastAsia="Times New Roman" w:hAnsi="Times New Roman"/>
          <w:sz w:val="17"/>
          <w:szCs w:val="17"/>
          <w:color w:val="auto"/>
        </w:rPr>
      </w:pPr>
    </w:p>
    <w:p>
      <w:pPr>
        <w:ind w:left="1100" w:right="180" w:hanging="539"/>
        <w:spacing w:after="0" w:line="281" w:lineRule="auto"/>
        <w:tabs>
          <w:tab w:leader="none" w:pos="109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1100" w:right="100" w:hanging="539"/>
        <w:spacing w:after="0" w:line="266" w:lineRule="auto"/>
        <w:tabs>
          <w:tab w:leader="none" w:pos="108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00" w:right="260" w:hanging="539"/>
        <w:spacing w:after="0" w:line="297" w:lineRule="auto"/>
        <w:tabs>
          <w:tab w:leader="none" w:pos="109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1100" w:right="280" w:hanging="539"/>
        <w:spacing w:after="0" w:line="281" w:lineRule="auto"/>
        <w:tabs>
          <w:tab w:leader="none" w:pos="108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4" w:lineRule="exact"/>
        <w:rPr>
          <w:rFonts w:ascii="Times New Roman" w:cs="Times New Roman" w:eastAsia="Times New Roman" w:hAnsi="Times New Roman"/>
          <w:sz w:val="18"/>
          <w:szCs w:val="18"/>
          <w:color w:val="auto"/>
        </w:rPr>
      </w:pPr>
    </w:p>
    <w:p>
      <w:pPr>
        <w:ind w:left="560" w:right="220" w:hanging="545"/>
        <w:spacing w:after="0" w:line="412" w:lineRule="auto"/>
        <w:tabs>
          <w:tab w:leader="none" w:pos="549"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7"/>
          <w:szCs w:val="17"/>
          <w:color w:val="auto"/>
        </w:rPr>
      </w:pPr>
    </w:p>
    <w:p>
      <w:pPr>
        <w:ind w:left="1060" w:hanging="485"/>
        <w:spacing w:after="0" w:line="282" w:lineRule="auto"/>
        <w:tabs>
          <w:tab w:leader="none" w:pos="1057"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left="1100" w:right="220" w:hanging="539"/>
        <w:spacing w:after="0" w:line="313" w:lineRule="auto"/>
        <w:tabs>
          <w:tab w:leader="none" w:pos="1089"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7"/>
          <w:szCs w:val="17"/>
          <w:color w:val="auto"/>
        </w:rPr>
        <w:t>By: /s/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20" w:top="1413" w:right="47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 Kelly J. Kennedy, certify that:</w:t>
      </w:r>
    </w:p>
    <w:p>
      <w:pPr>
        <w:spacing w:after="0" w:line="220" w:lineRule="exact"/>
        <w:rPr>
          <w:sz w:val="20"/>
          <w:szCs w:val="20"/>
          <w:color w:val="auto"/>
        </w:rPr>
      </w:pPr>
    </w:p>
    <w:p>
      <w:pPr>
        <w:ind w:left="1600" w:hanging="656"/>
        <w:spacing w:after="0"/>
        <w:tabs>
          <w:tab w:leader="none" w:pos="16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Honest Company, Inc.;</w:t>
      </w:r>
    </w:p>
    <w:p>
      <w:pPr>
        <w:spacing w:after="0" w:line="252" w:lineRule="exact"/>
        <w:rPr>
          <w:rFonts w:ascii="Times New Roman" w:cs="Times New Roman" w:eastAsia="Times New Roman" w:hAnsi="Times New Roman"/>
          <w:sz w:val="18"/>
          <w:szCs w:val="18"/>
          <w:color w:val="auto"/>
        </w:rPr>
      </w:pPr>
    </w:p>
    <w:p>
      <w:pPr>
        <w:jc w:val="both"/>
        <w:ind w:left="300" w:firstLine="644"/>
        <w:spacing w:after="0" w:line="281" w:lineRule="auto"/>
        <w:tabs>
          <w:tab w:leader="none" w:pos="15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Times New Roman" w:cs="Times New Roman" w:eastAsia="Times New Roman" w:hAnsi="Times New Roman"/>
          <w:sz w:val="18"/>
          <w:szCs w:val="18"/>
          <w:color w:val="auto"/>
        </w:rPr>
      </w:pPr>
    </w:p>
    <w:p>
      <w:pPr>
        <w:jc w:val="both"/>
        <w:ind w:left="300" w:right="220" w:firstLine="644"/>
        <w:spacing w:after="0" w:line="328" w:lineRule="auto"/>
        <w:tabs>
          <w:tab w:leader="none" w:pos="15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300" w:right="100" w:firstLine="644"/>
        <w:spacing w:after="0" w:line="289" w:lineRule="auto"/>
        <w:tabs>
          <w:tab w:leader="none" w:pos="159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sz w:val="20"/>
          <w:szCs w:val="20"/>
          <w:color w:val="auto"/>
        </w:rPr>
      </w:pPr>
    </w:p>
    <w:p>
      <w:pPr>
        <w:jc w:val="both"/>
        <w:ind w:left="300" w:right="160" w:firstLine="644"/>
        <w:spacing w:after="0" w:line="281" w:lineRule="auto"/>
        <w:tabs>
          <w:tab w:leader="none" w:pos="15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300" w:firstLine="644"/>
        <w:spacing w:after="0" w:line="266" w:lineRule="auto"/>
        <w:tabs>
          <w:tab w:leader="none" w:pos="15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300" w:right="80" w:firstLine="644"/>
        <w:spacing w:after="0" w:line="281" w:lineRule="auto"/>
        <w:tabs>
          <w:tab w:leader="none" w:pos="15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4" w:lineRule="exact"/>
        <w:rPr>
          <w:rFonts w:ascii="Times New Roman" w:cs="Times New Roman" w:eastAsia="Times New Roman" w:hAnsi="Times New Roman"/>
          <w:sz w:val="18"/>
          <w:szCs w:val="18"/>
          <w:color w:val="auto"/>
        </w:rPr>
      </w:pPr>
    </w:p>
    <w:p>
      <w:pPr>
        <w:ind w:left="300" w:right="280" w:firstLine="644"/>
        <w:spacing w:after="0" w:line="281" w:lineRule="auto"/>
        <w:tabs>
          <w:tab w:leader="none" w:pos="159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sz w:val="20"/>
          <w:szCs w:val="20"/>
          <w:color w:val="auto"/>
        </w:rPr>
      </w:pPr>
    </w:p>
    <w:p>
      <w:pPr>
        <w:ind w:left="300" w:right="80" w:firstLine="644"/>
        <w:spacing w:after="0" w:line="274" w:lineRule="auto"/>
        <w:tabs>
          <w:tab w:leader="none" w:pos="15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ind w:left="300" w:right="240" w:firstLine="644"/>
        <w:spacing w:after="0" w:line="329" w:lineRule="auto"/>
        <w:tabs>
          <w:tab w:leader="none" w:pos="1593"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Times New Roman" w:cs="Times New Roman" w:eastAsia="Times New Roman" w:hAnsi="Times New Roman"/>
          <w:sz w:val="17"/>
          <w:szCs w:val="17"/>
          <w:color w:val="auto"/>
        </w:rPr>
      </w:pPr>
    </w:p>
    <w:p>
      <w:pPr>
        <w:ind w:left="300" w:right="620" w:firstLine="644"/>
        <w:spacing w:after="0" w:line="313" w:lineRule="auto"/>
        <w:tabs>
          <w:tab w:leader="none" w:pos="159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spacing w:after="0"/>
        <w:tabs>
          <w:tab w:leader="none" w:pos="438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 /s/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34290</wp:posOffset>
            </wp:positionV>
            <wp:extent cx="39344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5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Kelly J. Kennedy</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ectPr>
          <w:pgSz w:w="11900" w:h="16838" w:orient="portrait"/>
          <w:cols w:equalWidth="0" w:num="1">
            <w:col w:w="10560"/>
          </w:cols>
          <w:pgMar w:left="680" w:top="1413" w:right="659" w:bottom="1440" w:gutter="0" w:footer="0" w:header="0"/>
        </w:sectPr>
      </w:pPr>
    </w:p>
    <w:bookmarkStart w:id="168" w:name="page169"/>
    <w:bookmarkEnd w:id="168"/>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2022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4800" w:val="left"/>
          <w:tab w:leader="none" w:pos="550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Carla Vernón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Carla Vernón</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00" w:lineRule="exact"/>
        <w:rPr>
          <w:sz w:val="20"/>
          <w:szCs w:val="20"/>
          <w:color w:val="auto"/>
        </w:rPr>
      </w:pPr>
    </w:p>
    <w:p>
      <w:pPr>
        <w:spacing w:after="0" w:line="260"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In connection with the Annual Report on Form 10-K of The Honest Company, Inc. (the “Company”) for the period ended December 31, 2022 as filed with the Securities and Exchange Commission on the date hereof (the “Report”), I, Kelly J. Kennedy,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spacing w:after="0" w:line="209" w:lineRule="exact"/>
        <w:rPr>
          <w:sz w:val="20"/>
          <w:szCs w:val="20"/>
          <w:color w:val="auto"/>
        </w:rPr>
      </w:pPr>
    </w:p>
    <w:p>
      <w:pPr>
        <w:ind w:left="560" w:hanging="504"/>
        <w:spacing w:after="0"/>
        <w:tabs>
          <w:tab w:leader="none" w:pos="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252" w:lineRule="exact"/>
        <w:rPr>
          <w:rFonts w:ascii="Times New Roman" w:cs="Times New Roman" w:eastAsia="Times New Roman" w:hAnsi="Times New Roman"/>
          <w:sz w:val="18"/>
          <w:szCs w:val="18"/>
          <w:color w:val="auto"/>
        </w:rPr>
      </w:pPr>
    </w:p>
    <w:p>
      <w:pPr>
        <w:ind w:left="560" w:hanging="504"/>
        <w:spacing w:after="0"/>
        <w:tabs>
          <w:tab w:leader="none" w:pos="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160" w:val="left"/>
          <w:tab w:leader="none" w:pos="6860" w:val="left"/>
        </w:tabs>
        <w:rPr>
          <w:sz w:val="20"/>
          <w:szCs w:val="20"/>
          <w:color w:val="auto"/>
        </w:rPr>
      </w:pPr>
      <w:r>
        <w:rPr>
          <w:rFonts w:ascii="Times New Roman" w:cs="Times New Roman" w:eastAsia="Times New Roman" w:hAnsi="Times New Roman"/>
          <w:sz w:val="18"/>
          <w:szCs w:val="18"/>
          <w:color w:val="auto"/>
        </w:rPr>
        <w:t>Date: March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175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Kelly J. Kennedy</w:t>
      </w:r>
    </w:p>
    <w:p>
      <w:pPr>
        <w:spacing w:after="0" w:line="2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i w:val="1"/>
          <w:iCs w:val="1"/>
          <w:color w:val="auto"/>
        </w:rPr>
        <w:t>(Principal Financial Officer and Accounting Officer)</w:t>
      </w:r>
    </w:p>
    <w:p>
      <w:pPr>
        <w:spacing w:after="0" w:line="200" w:lineRule="exact"/>
        <w:rPr>
          <w:sz w:val="20"/>
          <w:szCs w:val="20"/>
          <w:color w:val="auto"/>
        </w:rPr>
      </w:pPr>
    </w:p>
    <w:p>
      <w:pPr>
        <w:spacing w:after="0" w:line="2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1)"/>
      <w:numFmt w:val="decimal"/>
      <w:start w:val="3"/>
    </w:lvl>
  </w:abstractNum>
  <w:abstractNum w:abstractNumId="28">
    <w:nsid w:val="1A32234B"/>
    <w:multiLevelType w:val="hybridMultilevel"/>
    <w:lvl w:ilvl="0">
      <w:lvlJc w:val="left"/>
      <w:lvlText w:val="(%1)"/>
      <w:numFmt w:val="decimal"/>
      <w:start w:val="2"/>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1."/>
      <w:numFmt w:val="decimal"/>
      <w:start w:val="2"/>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lowerRoman"/>
      <w:start w:val="1"/>
    </w:lvl>
  </w:abstractNum>
  <w:abstractNum w:abstractNumId="38">
    <w:nsid w:val="100F59DC"/>
    <w:multiLevelType w:val="hybridMultilevel"/>
    <w:lvl w:ilvl="0">
      <w:lvlJc w:val="left"/>
      <w:lvlText w:val="%1."/>
      <w:numFmt w:val="decimal"/>
      <w:start w:val="5"/>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emdash "/>
      <w:numFmt w:val="bullet"/>
      <w:start w:val="1"/>
    </w:lvl>
  </w:abstractNum>
  <w:abstractNum w:abstractNumId="43">
    <w:nsid w:val="885E1B"/>
    <w:multiLevelType w:val="hybridMultilevel"/>
    <w:lvl w:ilvl="0">
      <w:lvlJc w:val="left"/>
      <w:lvlText w:val="%1."/>
      <w:numFmt w:val="decimal"/>
      <w:start w:val="6"/>
    </w:lvl>
  </w:abstractNum>
  <w:abstractNum w:abstractNumId="44">
    <w:nsid w:val="76272110"/>
    <w:multiLevelType w:val="hybridMultilevel"/>
    <w:lvl w:ilvl="0">
      <w:lvlJc w:val="left"/>
      <w:lvlText w:val="%1."/>
      <w:numFmt w:val="decimal"/>
      <w:start w:val="7"/>
    </w:lvl>
  </w:abstractNum>
  <w:abstractNum w:abstractNumId="45">
    <w:nsid w:val="4C04A8AF"/>
    <w:multiLevelType w:val="hybridMultilevel"/>
    <w:lvl w:ilvl="0">
      <w:lvlJc w:val="left"/>
      <w:lvlText w:val="%1."/>
      <w:numFmt w:val="decimal"/>
      <w:start w:val="8"/>
    </w:lvl>
  </w:abstractNum>
  <w:abstractNum w:abstractNumId="46">
    <w:nsid w:val="1716703B"/>
    <w:multiLevelType w:val="hybridMultilevel"/>
    <w:lvl w:ilvl="0">
      <w:lvlJc w:val="left"/>
      <w:lvlText w:val="%1."/>
      <w:numFmt w:val="decimal"/>
      <w:start w:val="11"/>
    </w:lvl>
  </w:abstractNum>
  <w:abstractNum w:abstractNumId="47">
    <w:nsid w:val="14E17E33"/>
    <w:multiLevelType w:val="hybridMultilevel"/>
    <w:lvl w:ilvl="0">
      <w:lvlJc w:val="left"/>
      <w:lvlText w:val="%1."/>
      <w:numFmt w:val="decimal"/>
      <w:start w:val="12"/>
    </w:lvl>
  </w:abstractNum>
  <w:abstractNum w:abstractNumId="48">
    <w:nsid w:val="3222E7CD"/>
    <w:multiLevelType w:val="hybridMultilevel"/>
    <w:lvl w:ilvl="0">
      <w:lvlJc w:val="left"/>
      <w:lvlText w:val="%1."/>
      <w:numFmt w:val="decimal"/>
      <w:start w:val="13"/>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14"/>
    </w:lvl>
  </w:abstractNum>
  <w:abstractNum w:abstractNumId="51">
    <w:nsid w:val="2DF6D648"/>
    <w:multiLevelType w:val="hybridMultilevel"/>
    <w:lvl w:ilvl="0">
      <w:lvlJc w:val="left"/>
      <w:lvlText w:val="%1."/>
      <w:numFmt w:val="decimal"/>
      <w:start w:val="15"/>
    </w:lvl>
  </w:abstractNum>
  <w:abstractNum w:abstractNumId="52">
    <w:nsid w:val="46B7D447"/>
    <w:multiLevelType w:val="hybridMultilevel"/>
    <w:lvl w:ilvl="0">
      <w:lvlJc w:val="left"/>
      <w:lvlText w:val="%1."/>
      <w:numFmt w:val="decimal"/>
      <w:start w:val="16"/>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1"/>
    </w:lvl>
  </w:abstractNum>
  <w:abstractNum w:abstractNumId="55">
    <w:nsid w:val="57FC4FBB"/>
    <w:multiLevelType w:val="hybridMultilevel"/>
    <w:lvl w:ilvl="0">
      <w:lvlJc w:val="left"/>
      <w:lvlText w:val="%1."/>
      <w:numFmt w:val="decimal"/>
      <w:start w:val="17"/>
    </w:lvl>
  </w:abstractNum>
  <w:abstractNum w:abstractNumId="56">
    <w:nsid w:val="CC1016F"/>
    <w:multiLevelType w:val="hybridMultilevel"/>
    <w:lvl w:ilvl="0">
      <w:lvlJc w:val="left"/>
      <w:lvlText w:val="%1"/>
      <w:numFmt w:val="decimal"/>
      <w:start w:val="104"/>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1)"/>
      <w:numFmt w:val="lowerLetter"/>
      <w:start w:val="35"/>
    </w:lvl>
  </w:abstractNum>
  <w:abstractNum w:abstractNumId="61">
    <w:nsid w:val="49DA307D"/>
    <w:multiLevelType w:val="hybridMultilevel"/>
    <w:lvl w:ilvl="0">
      <w:lvlJc w:val="left"/>
      <w:lvlText w:val="(%1)"/>
      <w:numFmt w:val="lowerLetter"/>
      <w:start w:val="2"/>
    </w:lvl>
  </w:abstractNum>
  <w:abstractNum w:abstractNumId="62">
    <w:nsid w:val="7055A5F5"/>
    <w:multiLevelType w:val="hybridMultilevel"/>
    <w:lvl w:ilvl="0">
      <w:lvlJc w:val="left"/>
      <w:lvlText w:val="(%1)"/>
      <w:numFmt w:val="lowerRoman"/>
      <w:start w:val="1"/>
    </w:lvl>
  </w:abstractNum>
  <w:abstractNum w:abstractNumId="63">
    <w:nsid w:val="5FB8370B"/>
    <w:multiLevelType w:val="hybridMultilevel"/>
    <w:lvl w:ilvl="0">
      <w:lvlJc w:val="left"/>
      <w:lvlText w:val="(%1)"/>
      <w:numFmt w:val="upperLetter"/>
      <w:start w:val="1"/>
    </w:lvl>
  </w:abstractNum>
  <w:abstractNum w:abstractNumId="64">
    <w:nsid w:val="50801EE1"/>
    <w:multiLevelType w:val="hybridMultilevel"/>
    <w:lvl w:ilvl="0">
      <w:lvlJc w:val="left"/>
      <w:lvlText w:val="(%1)"/>
      <w:numFmt w:val="lowerRoman"/>
      <w:start w:val="4"/>
    </w:lvl>
  </w:abstractNum>
  <w:abstractNum w:abstractNumId="65">
    <w:nsid w:val="488AC1A"/>
    <w:multiLevelType w:val="hybridMultilevel"/>
    <w:lvl w:ilvl="0">
      <w:lvlJc w:val="left"/>
      <w:lvlText w:val="(%1)"/>
      <w:numFmt w:val="lowerLetter"/>
      <w:start w:val="3"/>
    </w:lvl>
  </w:abstractNum>
  <w:abstractNum w:abstractNumId="66">
    <w:nsid w:val="5FB8011C"/>
    <w:multiLevelType w:val="hybridMultilevel"/>
    <w:lvl w:ilvl="0">
      <w:lvlJc w:val="left"/>
      <w:lvlText w:val="(%1)"/>
      <w:numFmt w:val="lowerLetter"/>
      <w:start w:val="4"/>
    </w:lvl>
  </w:abstractNum>
  <w:abstractNum w:abstractNumId="67">
    <w:nsid w:val="6AA78F7F"/>
    <w:multiLevelType w:val="hybridMultilevel"/>
    <w:lvl w:ilvl="0">
      <w:lvlJc w:val="left"/>
      <w:lvlText w:val="(%1)"/>
      <w:numFmt w:val="lowerLetter"/>
      <w:start w:val="7"/>
    </w:lvl>
  </w:abstractNum>
  <w:abstractNum w:abstractNumId="68">
    <w:nsid w:val="7672BD23"/>
    <w:multiLevelType w:val="hybridMultilevel"/>
    <w:lvl w:ilvl="0">
      <w:lvlJc w:val="left"/>
      <w:lvlText w:val="(%1)"/>
      <w:numFmt w:val="lowerRoman"/>
      <w:start w:val="2"/>
    </w:lvl>
    <w:lvl w:ilvl="1">
      <w:lvlJc w:val="left"/>
      <w:lvlText w:val="(%2)"/>
      <w:numFmt w:val="upperLetter"/>
      <w:start w:val="1"/>
    </w:lvl>
  </w:abstractNum>
  <w:abstractNum w:abstractNumId="69">
    <w:nsid w:val="6FC75AF8"/>
    <w:multiLevelType w:val="hybridMultilevel"/>
    <w:lvl w:ilvl="0">
      <w:lvlJc w:val="left"/>
      <w:lvlText w:val="(%1)"/>
      <w:numFmt w:val="lowerRoman"/>
      <w:start w:val="5"/>
    </w:lvl>
  </w:abstractNum>
  <w:abstractNum w:abstractNumId="70">
    <w:nsid w:val="6A5F7029"/>
    <w:multiLevelType w:val="hybridMultilevel"/>
    <w:lvl w:ilvl="0">
      <w:lvlJc w:val="left"/>
      <w:lvlText w:val="(%1)"/>
      <w:numFmt w:val="lowerLetter"/>
      <w:start w:val="1"/>
    </w:lvl>
  </w:abstractNum>
  <w:abstractNum w:abstractNumId="71">
    <w:nsid w:val="7D5E18F8"/>
    <w:multiLevelType w:val="hybridMultilevel"/>
    <w:lvl w:ilvl="0">
      <w:lvlJc w:val="left"/>
      <w:lvlText w:val="(%1)"/>
      <w:numFmt w:val="lowerLetter"/>
      <w:start w:val="4"/>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1"/>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2"/>
    </w:lvl>
  </w:abstractNum>
  <w:abstractNum w:abstractNumId="78">
    <w:nsid w:val="6A3DD3E8"/>
    <w:multiLevelType w:val="hybridMultilevel"/>
    <w:lvl w:ilvl="0">
      <w:lvlJc w:val="left"/>
      <w:lvlText w:val="(%1)"/>
      <w:numFmt w:val="lowerLetter"/>
      <w:start w:val="1"/>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Letter"/>
      <w:start w:val="4"/>
    </w:lvl>
  </w:abstractNum>
  <w:abstractNum w:abstractNumId="81">
    <w:nsid w:val="53299938"/>
    <w:multiLevelType w:val="hybridMultilevel"/>
    <w:lvl w:ilvl="0">
      <w:lvlJc w:val="left"/>
      <w:lvlText w:val="(%1)"/>
      <w:numFmt w:val="lowerLetter"/>
      <w:start w:val="1"/>
    </w:lvl>
  </w:abstractNum>
  <w:abstractNum w:abstractNumId="82">
    <w:nsid w:val="1FBFE8E0"/>
    <w:multiLevelType w:val="hybridMultilevel"/>
    <w:lvl w:ilvl="0">
      <w:lvlJc w:val="left"/>
      <w:lvlText w:val="(%1)"/>
      <w:numFmt w:val="lowerLetter"/>
      <w:start w:val="7"/>
    </w:lvl>
  </w:abstractNum>
  <w:abstractNum w:abstractNumId="83">
    <w:nsid w:val="5092CA79"/>
    <w:multiLevelType w:val="hybridMultilevel"/>
    <w:lvl w:ilvl="0">
      <w:lvlJc w:val="left"/>
      <w:lvlText w:val="(%1)"/>
      <w:numFmt w:val="lowerLetter"/>
      <w:start w:val="1"/>
    </w:lvl>
  </w:abstractNum>
  <w:abstractNum w:abstractNumId="84">
    <w:nsid w:val="1D545C4D"/>
    <w:multiLevelType w:val="hybridMultilevel"/>
    <w:lvl w:ilvl="0">
      <w:lvlJc w:val="left"/>
      <w:lvlText w:val="(%1)"/>
      <w:numFmt w:val="lowerLetter"/>
      <w:start w:val="1"/>
    </w:lvl>
  </w:abstractNum>
  <w:abstractNum w:abstractNumId="85">
    <w:nsid w:val="59ADEA3D"/>
    <w:multiLevelType w:val="hybridMultilevel"/>
    <w:lvl w:ilvl="0">
      <w:lvlJc w:val="left"/>
      <w:lvlText w:val="(%1)"/>
      <w:numFmt w:val="lowerLetter"/>
      <w:start w:val="2"/>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3"/>
    </w:lvl>
  </w:abstractNum>
  <w:abstractNum w:abstractNumId="88">
    <w:nsid w:val="1D9F6E5F"/>
    <w:multiLevelType w:val="hybridMultilevel"/>
    <w:lvl w:ilvl="0">
      <w:lvlJc w:val="left"/>
      <w:lvlText w:val="(%1)"/>
      <w:numFmt w:val="lowerLetter"/>
      <w:start w:val="4"/>
    </w:lvl>
  </w:abstractNum>
  <w:abstractNum w:abstractNumId="89">
    <w:nsid w:val="97E1B4E"/>
    <w:multiLevelType w:val="hybridMultilevel"/>
    <w:lvl w:ilvl="0">
      <w:lvlJc w:val="left"/>
      <w:lvlText w:val="(%1)"/>
      <w:numFmt w:val="lowerLetter"/>
      <w:start w:val="5"/>
    </w:lvl>
  </w:abstractNum>
  <w:abstractNum w:abstractNumId="90">
    <w:nsid w:val="51088277"/>
    <w:multiLevelType w:val="hybridMultilevel"/>
    <w:lvl w:ilvl="0">
      <w:lvlJc w:val="left"/>
      <w:lvlText w:val="(%1)"/>
      <w:numFmt w:val="lowerRoman"/>
      <w:start w:val="1"/>
    </w:lvl>
  </w:abstractNum>
  <w:abstractNum w:abstractNumId="91">
    <w:nsid w:val="1CA0C5FA"/>
    <w:multiLevelType w:val="hybridMultilevel"/>
    <w:lvl w:ilvl="0">
      <w:lvlJc w:val="left"/>
      <w:lvlText w:val="(%1)"/>
      <w:numFmt w:val="lowerRoman"/>
      <w:start w:val="5"/>
    </w:lvl>
  </w:abstractNum>
  <w:abstractNum w:abstractNumId="92">
    <w:nsid w:val="53584BCB"/>
    <w:multiLevelType w:val="hybridMultilevel"/>
    <w:lvl w:ilvl="0">
      <w:lvlJc w:val="left"/>
      <w:lvlText w:val="(%1)"/>
      <w:numFmt w:val="lowerLetter"/>
      <w:start w:val="1"/>
    </w:lvl>
  </w:abstractNum>
  <w:abstractNum w:abstractNumId="93">
    <w:nsid w:val="415E286C"/>
    <w:multiLevelType w:val="hybridMultilevel"/>
    <w:lvl w:ilvl="0">
      <w:lvlJc w:val="left"/>
      <w:lvlText w:val="%1."/>
      <w:numFmt w:val="upperLetter"/>
      <w:start w:val="1"/>
    </w:lvl>
  </w:abstractNum>
  <w:abstractNum w:abstractNumId="94">
    <w:nsid w:val="7C58FD05"/>
    <w:multiLevelType w:val="hybridMultilevel"/>
    <w:lvl w:ilvl="0">
      <w:lvlJc w:val="left"/>
      <w:lvlText w:val="•"/>
      <w:numFmt w:val="bullet"/>
      <w:start w:val="1"/>
    </w:lvl>
    <w:lvl w:ilvl="1">
      <w:lvlJc w:val="left"/>
      <w:lvlText w:val="%2."/>
      <w:numFmt w:val="decimal"/>
      <w:start w:val="3"/>
    </w:lvl>
  </w:abstractNum>
  <w:abstractNum w:abstractNumId="95">
    <w:nsid w:val="23D86AAC"/>
    <w:multiLevelType w:val="hybridMultilevel"/>
    <w:lvl w:ilvl="0">
      <w:lvlJc w:val="left"/>
      <w:lvlText w:val="%1."/>
      <w:numFmt w:val="upperLetter"/>
      <w:start w:val="1"/>
    </w:lvl>
  </w:abstractNum>
  <w:abstractNum w:abstractNumId="96">
    <w:nsid w:val="45E6D486"/>
    <w:multiLevelType w:val="hybridMultilevel"/>
    <w:lvl w:ilvl="0">
      <w:lvlJc w:val="left"/>
      <w:lvlText w:val="%1."/>
      <w:numFmt w:val="decimal"/>
      <w:start w:val="1"/>
    </w:lvl>
    <w:lvl w:ilvl="1">
      <w:lvlJc w:val="left"/>
      <w:lvlText w:val="%2."/>
      <w:numFmt w:val="decimal"/>
      <w:start w:val="1"/>
    </w:lvl>
  </w:abstractNum>
  <w:abstractNum w:abstractNumId="97">
    <w:nsid w:val="5C10FE21"/>
    <w:multiLevelType w:val="hybridMultilevel"/>
    <w:lvl w:ilvl="0">
      <w:lvlJc w:val="left"/>
      <w:lvlText w:val="%1."/>
      <w:numFmt w:val="decimal"/>
      <w:start w:val="2"/>
    </w:lvl>
  </w:abstractNum>
  <w:abstractNum w:abstractNumId="98">
    <w:nsid w:val="E7FFA2B"/>
    <w:multiLevelType w:val="hybridMultilevel"/>
    <w:lvl w:ilvl="0">
      <w:lvlJc w:val="left"/>
      <w:lvlText w:val="%1."/>
      <w:numFmt w:val="decimal"/>
      <w:start w:val="4"/>
    </w:lvl>
  </w:abstractNum>
  <w:abstractNum w:abstractNumId="99">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0">
    <w:nsid w:val="4BD8591A"/>
    <w:multiLevelType w:val="hybridMultilevel"/>
    <w:lvl w:ilvl="0">
      <w:lvlJc w:val="left"/>
      <w:lvlText w:val="(%1)"/>
      <w:numFmt w:val="lowerLetter"/>
      <w:start w:val="2"/>
    </w:lvl>
    <w:lvl w:ilvl="1">
      <w:lvlJc w:val="left"/>
      <w:lvlText w:val="%2."/>
      <w:numFmt w:val="decimal"/>
      <w:start w:val="5"/>
    </w:lvl>
    <w:lvl w:ilvl="2">
      <w:lvlJc w:val="left"/>
      <w:lvlText w:val="(%3)"/>
      <w:numFmt w:val="lowerLetter"/>
      <w:start w:val="1"/>
    </w:lvl>
  </w:abstractNum>
  <w:abstractNum w:abstractNumId="101">
    <w:nsid w:val="78DF6A55"/>
    <w:multiLevelType w:val="hybridMultilevel"/>
    <w:lvl w:ilvl="0">
      <w:lvlJc w:val="left"/>
      <w:lvlText w:val="%1"/>
      <w:numFmt w:val="decimal"/>
      <w:start w:val="1"/>
    </w:lvl>
    <w:lvl w:ilvl="1">
      <w:lvlJc w:val="left"/>
      <w:lvlText w:val="(%2)"/>
      <w:numFmt w:val="lowerLetter"/>
      <w:start w:val="2"/>
    </w:lvl>
  </w:abstractNum>
  <w:abstractNum w:abstractNumId="102">
    <w:nsid w:val="39B7AAA2"/>
    <w:multiLevelType w:val="hybridMultilevel"/>
    <w:lvl w:ilvl="0">
      <w:lvlJc w:val="left"/>
      <w:lvlText w:val="%1."/>
      <w:numFmt w:val="decimal"/>
      <w:start w:val="7"/>
    </w:lvl>
    <w:lvl w:ilvl="1">
      <w:lvlJc w:val="left"/>
      <w:lvlText w:val="%2"/>
      <w:numFmt w:val="lowerLetter"/>
      <w:start w:val="1"/>
    </w:lvl>
  </w:abstractNum>
  <w:abstractNum w:abstractNumId="103">
    <w:nsid w:val="2B0D8DBE"/>
    <w:multiLevelType w:val="hybridMultilevel"/>
    <w:lvl w:ilvl="0">
      <w:lvlJc w:val="left"/>
      <w:lvlText w:val="%1"/>
      <w:numFmt w:val="decimal"/>
      <w:start w:val="1"/>
    </w:lvl>
    <w:lvl w:ilvl="1">
      <w:lvlJc w:val="left"/>
      <w:lvlText w:val="(%2)"/>
      <w:numFmt w:val="lowerLetter"/>
      <w:start w:val="1"/>
    </w:lvl>
  </w:abstractNum>
  <w:abstractNum w:abstractNumId="104">
    <w:nsid w:val="6C80EC70"/>
    <w:multiLevelType w:val="hybridMultilevel"/>
    <w:lvl w:ilvl="0">
      <w:lvlJc w:val="left"/>
      <w:lvlText w:val="%1."/>
      <w:numFmt w:val="decimal"/>
      <w:start w:val="8"/>
    </w:lvl>
    <w:lvl w:ilvl="1">
      <w:lvlJc w:val="left"/>
      <w:lvlText w:val="%2"/>
      <w:numFmt w:val="lowerLetter"/>
      <w:start w:val="1"/>
    </w:lvl>
  </w:abstractNum>
  <w:abstractNum w:abstractNumId="105">
    <w:nsid w:val="379E21B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06">
    <w:nsid w:val="69E373"/>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107">
    <w:nsid w:val="2C27173B"/>
    <w:multiLevelType w:val="hybridMultilevel"/>
    <w:lvl w:ilvl="0">
      <w:lvlJc w:val="left"/>
      <w:lvlText w:val="%1."/>
      <w:numFmt w:val="decimal"/>
      <w:start w:val="10"/>
    </w:lvl>
  </w:abstractNum>
  <w:abstractNum w:abstractNumId="108">
    <w:nsid w:val="4C9B0904"/>
    <w:multiLevelType w:val="hybridMultilevel"/>
    <w:lvl w:ilvl="0">
      <w:lvlJc w:val="left"/>
      <w:lvlText w:val="%1."/>
      <w:numFmt w:val="decimal"/>
      <w:start w:val="1"/>
    </w:lvl>
  </w:abstractNum>
  <w:abstractNum w:abstractNumId="109">
    <w:nsid w:val="6AA7B75C"/>
    <w:multiLevelType w:val="hybridMultilevel"/>
    <w:lvl w:ilvl="0">
      <w:lvlJc w:val="left"/>
      <w:lvlText w:val="%1."/>
      <w:numFmt w:val="decimal"/>
      <w:start w:val="3"/>
    </w:lvl>
  </w:abstractNum>
  <w:abstractNum w:abstractNumId="110">
    <w:nsid w:val="1DF029D3"/>
    <w:multiLevelType w:val="hybridMultilevel"/>
    <w:lvl w:ilvl="0">
      <w:lvlJc w:val="left"/>
      <w:lvlText w:val="%1."/>
      <w:numFmt w:val="decimal"/>
      <w:start w:val="5"/>
    </w:lvl>
  </w:abstractNum>
  <w:abstractNum w:abstractNumId="111">
    <w:nsid w:val="5675FF36"/>
    <w:multiLevelType w:val="hybridMultilevel"/>
    <w:lvl w:ilvl="0">
      <w:lvlJc w:val="left"/>
      <w:lvlText w:val="%1"/>
      <w:numFmt w:val="upperLetter"/>
      <w:start w:val="1"/>
    </w:lvl>
    <w:lvl w:ilvl="1">
      <w:lvlJc w:val="left"/>
      <w:lvlText w:val="(%2)"/>
      <w:numFmt w:val="lowerLetter"/>
      <w:start w:val="1"/>
    </w:lvl>
  </w:abstractNum>
  <w:abstractNum w:abstractNumId="112">
    <w:nsid w:val="3DD15094"/>
    <w:multiLevelType w:val="hybridMultilevel"/>
    <w:lvl w:ilvl="0">
      <w:lvlJc w:val="left"/>
      <w:lvlText w:val="(%1)"/>
      <w:numFmt w:val="upperLetter"/>
      <w:start w:val="2"/>
    </w:lvl>
    <w:lvl w:ilvl="1">
      <w:lvlJc w:val="left"/>
      <w:lvlText w:val="%2"/>
      <w:numFmt w:val="lowerLetter"/>
      <w:start w:val="1"/>
    </w:lvl>
  </w:abstractNum>
  <w:abstractNum w:abstractNumId="113">
    <w:nsid w:val="3DB012B3"/>
    <w:multiLevelType w:val="hybridMultilevel"/>
    <w:lvl w:ilvl="0">
      <w:lvlJc w:val="left"/>
      <w:lvlText w:val="(%1)"/>
      <w:numFmt w:val="lowerLetter"/>
      <w:start w:val="3"/>
    </w:lvl>
  </w:abstractNum>
  <w:abstractNum w:abstractNumId="114">
    <w:nsid w:val="2708C9AF"/>
    <w:multiLevelType w:val="hybridMultilevel"/>
    <w:lvl w:ilvl="0">
      <w:lvlJc w:val="left"/>
      <w:lvlText w:val="%1."/>
      <w:numFmt w:val="decimal"/>
      <w:start w:val="8"/>
    </w:lvl>
  </w:abstractNum>
  <w:abstractNum w:abstractNumId="115">
    <w:nsid w:val="5B25ACE2"/>
    <w:multiLevelType w:val="hybridMultilevel"/>
    <w:lvl w:ilvl="0">
      <w:lvlJc w:val="left"/>
      <w:lvlText w:val="%1."/>
      <w:numFmt w:val="decimal"/>
      <w:start w:val="9"/>
    </w:lvl>
  </w:abstractNum>
  <w:abstractNum w:abstractNumId="116">
    <w:nsid w:val="175DFCF0"/>
    <w:multiLevelType w:val="hybridMultilevel"/>
    <w:lvl w:ilvl="0">
      <w:lvlJc w:val="left"/>
      <w:lvlText w:val="(%1)"/>
      <w:numFmt w:val="lowerRoman"/>
      <w:start w:val="3"/>
    </w:lvl>
    <w:lvl w:ilvl="1">
      <w:lvlJc w:val="left"/>
      <w:lvlText w:val="%2."/>
      <w:numFmt w:val="decimal"/>
      <w:start w:val="11"/>
    </w:lvl>
  </w:abstractNum>
  <w:abstractNum w:abstractNumId="117">
    <w:nsid w:val="4F97E3E4"/>
    <w:multiLevelType w:val="hybridMultilevel"/>
    <w:lvl w:ilvl="0">
      <w:lvlJc w:val="left"/>
      <w:lvlText w:val="%1."/>
      <w:numFmt w:val="decimal"/>
      <w:start w:val="12"/>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5"/>
    </w:lvl>
  </w:abstractNum>
  <w:abstractNum w:abstractNumId="120">
    <w:nsid w:val="5915FF32"/>
    <w:multiLevelType w:val="hybridMultilevel"/>
    <w:lvl w:ilvl="0">
      <w:lvlJc w:val="left"/>
      <w:lvlText w:val="%1."/>
      <w:numFmt w:val="upperLetter"/>
      <w:start w:val="1"/>
    </w:lvl>
  </w:abstractNum>
  <w:abstractNum w:abstractNumId="121">
    <w:nsid w:val="56438D15"/>
    <w:multiLevelType w:val="hybridMultilevel"/>
    <w:lvl w:ilvl="0">
      <w:lvlJc w:val="left"/>
      <w:lvlText w:val="%1."/>
      <w:numFmt w:val="decimal"/>
      <w:start w:val="1"/>
    </w:lvl>
  </w:abstractNum>
  <w:abstractNum w:abstractNumId="122">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23">
    <w:nsid w:val="2C6E4AFD"/>
    <w:multiLevelType w:val="hybridMultilevel"/>
    <w:lvl w:ilvl="0">
      <w:lvlJc w:val="left"/>
      <w:lvlText w:val="%1."/>
      <w:numFmt w:val="decimal"/>
      <w:start w:val="1"/>
    </w:lvl>
  </w:abstractNum>
  <w:abstractNum w:abstractNumId="124">
    <w:nsid w:val="17A1B582"/>
    <w:multiLevelType w:val="hybridMultilevel"/>
    <w:lvl w:ilvl="0">
      <w:lvlJc w:val="left"/>
      <w:lvlText w:val="(%1)"/>
      <w:numFmt w:val="lowerLetter"/>
      <w:start w:val="1"/>
    </w:lvl>
  </w:abstractNum>
  <w:abstractNum w:abstractNumId="125">
    <w:nsid w:val="4DF72E4E"/>
    <w:multiLevelType w:val="hybridMultilevel"/>
    <w:lvl w:ilvl="0">
      <w:lvlJc w:val="left"/>
      <w:lvlText w:val="%1."/>
      <w:numFmt w:val="decimal"/>
      <w:start w:val="5"/>
    </w:lvl>
  </w:abstractNum>
  <w:abstractNum w:abstractNumId="126">
    <w:nsid w:val="5046B5A9"/>
    <w:multiLevelType w:val="hybridMultilevel"/>
    <w:lvl w:ilvl="0">
      <w:lvlJc w:val="left"/>
      <w:lvlText w:val="(%1)"/>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3"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35" Type="http://schemas.openxmlformats.org/officeDocument/2006/relationships/hyperlink" Target="https://www.sec.gov/Archives/edgar/data/0001530979/000119312521157761/d488865dex31.htm" TargetMode="External"/><Relationship Id="rId136" Type="http://schemas.openxmlformats.org/officeDocument/2006/relationships/hyperlink" Target="https://www.sec.gov/Archives/edgar/data/1530979/000119312521130292/d27841dex41.htm" TargetMode="External"/><Relationship Id="rId137" Type="http://schemas.openxmlformats.org/officeDocument/2006/relationships/hyperlink" Target="https://www.sec.gov/Archives/edgar/data/1530979/000153097922000024/honestcoq4-21exhibit42.htm" TargetMode="External"/><Relationship Id="rId138" Type="http://schemas.openxmlformats.org/officeDocument/2006/relationships/hyperlink" Target="https://www.sec.gov/Archives/edgar/data/1530979/000153097922000111/q2-22ex101xgeodisamendment.htm" TargetMode="External"/><Relationship Id="rId139" Type="http://schemas.openxmlformats.org/officeDocument/2006/relationships/hyperlink" Target="https://www.sec.gov/Archives/edgar/data/1530979/000153097922000111/q2-22ex102xhonestcoxlsaam2.htm" TargetMode="External"/><Relationship Id="rId140" Type="http://schemas.openxmlformats.org/officeDocument/2006/relationships/hyperlink" Target="https://www.sec.gov/Archives/edgar/data/1530979/000153097922000128/honestco-q3x22ex101lsaam21.htm" TargetMode="External"/><Relationship Id="rId141" Type="http://schemas.openxmlformats.org/officeDocument/2006/relationships/hyperlink" Target="https://www.sec.gov/Archives/edgar/data/1530979/000153097923000013/honestcoexhibit101.htm" TargetMode="External"/><Relationship Id="rId142" Type="http://schemas.openxmlformats.org/officeDocument/2006/relationships/hyperlink" Target="https://www.sec.gov/Archives/edgar/data/1530979/000153097922000068/honestcoq1-22ex101swinchel.htm" TargetMode="External"/><Relationship Id="rId144" Type="http://schemas.openxmlformats.org/officeDocument/2006/relationships/hyperlink" Target="https://www.sec.gov/Archives/edgar/data/1530979/000153097923000036/honestcoq4-22exhibit101.htm" TargetMode="External"/><Relationship Id="rId145" Type="http://schemas.openxmlformats.org/officeDocument/2006/relationships/hyperlink" Target="https://www.sec.gov/Archives/edgar/data/1530979/000153097923000036/honestcoq4-22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2023-03-16T08:19:48Z</dcterms:created>
  <dcterms:modified xsi:type="dcterms:W3CDTF">2023-03-16T08:19:48Z</dcterms:modified>
</cp:coreProperties>
</file>