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3880" w:right="1620" w:hanging="3807"/>
        <w:spacing w:after="0" w:line="194" w:lineRule="auto"/>
        <w:tabs>
          <w:tab w:leader="none" w:pos="466" w:val="left"/>
        </w:tabs>
        <w:numPr>
          <w:ilvl w:val="0"/>
          <w:numId w:val="1"/>
        </w:numPr>
        <w:rPr>
          <w:rFonts w:ascii="MS PGothic" w:cs="MS PGothic" w:eastAsia="MS PGothic" w:hAnsi="MS PGothic"/>
          <w:sz w:val="40"/>
          <w:szCs w:val="40"/>
          <w:color w:val="auto"/>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387"/>
        <w:spacing w:after="0"/>
        <w:tabs>
          <w:tab w:leader="none" w:pos="46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4" w:lineRule="exact"/>
        <w:rPr>
          <w:sz w:val="24"/>
          <w:szCs w:val="24"/>
          <w:color w:val="auto"/>
        </w:rPr>
      </w:pPr>
    </w:p>
    <w:p>
      <w:pPr>
        <w:ind w:left="43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52"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Commission File Number: 001-40378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188595</wp:posOffset>
            </wp:positionV>
            <wp:extent cx="2931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3179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283210</wp:posOffset>
            </wp:positionV>
            <wp:extent cx="1800225" cy="334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The Honest Company, Inc.</w:t>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26670</wp:posOffset>
            </wp:positionV>
            <wp:extent cx="2931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2760" w:type="dxa"/>
            <w:vAlign w:val="bottom"/>
          </w:tcPr>
          <w:p>
            <w:pPr>
              <w:jc w:val="center"/>
              <w:ind w:right="35"/>
              <w:spacing w:after="0"/>
              <w:rPr>
                <w:sz w:val="20"/>
                <w:szCs w:val="20"/>
                <w:color w:val="auto"/>
              </w:rPr>
            </w:pPr>
            <w:r>
              <w:rPr>
                <w:rFonts w:ascii="Arial" w:cs="Arial" w:eastAsia="Arial" w:hAnsi="Arial"/>
                <w:sz w:val="18"/>
                <w:szCs w:val="18"/>
                <w:b w:val="1"/>
                <w:bCs w:val="1"/>
                <w:color w:val="auto"/>
                <w:w w:val="91"/>
              </w:rPr>
              <w:t>Delaware</w:t>
            </w:r>
          </w:p>
        </w:tc>
        <w:tc>
          <w:tcPr>
            <w:tcW w:w="5840" w:type="dxa"/>
            <w:vAlign w:val="bottom"/>
          </w:tcPr>
          <w:p>
            <w:pPr>
              <w:jc w:val="right"/>
              <w:ind w:right="75"/>
              <w:spacing w:after="0"/>
              <w:rPr>
                <w:sz w:val="20"/>
                <w:szCs w:val="20"/>
                <w:color w:val="auto"/>
              </w:rPr>
            </w:pPr>
            <w:r>
              <w:rPr>
                <w:rFonts w:ascii="Arial" w:cs="Arial" w:eastAsia="Arial" w:hAnsi="Arial"/>
                <w:sz w:val="18"/>
                <w:szCs w:val="18"/>
                <w:b w:val="1"/>
                <w:bCs w:val="1"/>
                <w:color w:val="auto"/>
              </w:rPr>
              <w:t>90-0750205</w:t>
            </w:r>
          </w:p>
        </w:tc>
      </w:tr>
      <w:tr>
        <w:trPr>
          <w:trHeight w:val="250"/>
        </w:trPr>
        <w:tc>
          <w:tcPr>
            <w:tcW w:w="2760" w:type="dxa"/>
            <w:vAlign w:val="bottom"/>
          </w:tcPr>
          <w:p>
            <w:pPr>
              <w:jc w:val="center"/>
              <w:ind w:right="55"/>
              <w:spacing w:after="0"/>
              <w:rPr>
                <w:sz w:val="20"/>
                <w:szCs w:val="20"/>
                <w:color w:val="auto"/>
              </w:rPr>
            </w:pPr>
            <w:r>
              <w:rPr>
                <w:rFonts w:ascii="Arial" w:cs="Arial" w:eastAsia="Arial" w:hAnsi="Arial"/>
                <w:sz w:val="16"/>
                <w:szCs w:val="16"/>
                <w:color w:val="auto"/>
                <w:w w:val="93"/>
              </w:rPr>
              <w:t>(State or Other Jurisdiction of</w:t>
            </w:r>
          </w:p>
        </w:tc>
        <w:tc>
          <w:tcPr>
            <w:tcW w:w="5840" w:type="dxa"/>
            <w:vAlign w:val="bottom"/>
          </w:tcPr>
          <w:p>
            <w:pPr>
              <w:jc w:val="center"/>
              <w:ind w:left="4575"/>
              <w:spacing w:after="0"/>
              <w:rPr>
                <w:sz w:val="20"/>
                <w:szCs w:val="20"/>
                <w:color w:val="auto"/>
              </w:rPr>
            </w:pPr>
            <w:r>
              <w:rPr>
                <w:rFonts w:ascii="Arial" w:cs="Arial" w:eastAsia="Arial" w:hAnsi="Arial"/>
                <w:sz w:val="16"/>
                <w:szCs w:val="16"/>
                <w:color w:val="auto"/>
                <w:w w:val="93"/>
              </w:rPr>
              <w:t>(I.R.S. Employer</w:t>
            </w:r>
          </w:p>
        </w:tc>
      </w:tr>
      <w:tr>
        <w:trPr>
          <w:trHeight w:val="243"/>
        </w:trPr>
        <w:tc>
          <w:tcPr>
            <w:tcW w:w="2760" w:type="dxa"/>
            <w:vAlign w:val="bottom"/>
          </w:tcPr>
          <w:p>
            <w:pPr>
              <w:jc w:val="center"/>
              <w:ind w:right="35"/>
              <w:spacing w:after="0"/>
              <w:rPr>
                <w:sz w:val="20"/>
                <w:szCs w:val="20"/>
                <w:color w:val="auto"/>
              </w:rPr>
            </w:pPr>
            <w:r>
              <w:rPr>
                <w:rFonts w:ascii="Arial" w:cs="Arial" w:eastAsia="Arial" w:hAnsi="Arial"/>
                <w:sz w:val="16"/>
                <w:szCs w:val="16"/>
                <w:color w:val="auto"/>
                <w:w w:val="94"/>
              </w:rPr>
              <w:t>Incorporation or Organization)</w:t>
            </w:r>
          </w:p>
        </w:tc>
        <w:tc>
          <w:tcPr>
            <w:tcW w:w="5840" w:type="dxa"/>
            <w:vAlign w:val="bottom"/>
          </w:tcPr>
          <w:p>
            <w:pPr>
              <w:jc w:val="center"/>
              <w:ind w:left="4555"/>
              <w:spacing w:after="0"/>
              <w:rPr>
                <w:sz w:val="20"/>
                <w:szCs w:val="20"/>
                <w:color w:val="auto"/>
              </w:rPr>
            </w:pPr>
            <w:r>
              <w:rPr>
                <w:rFonts w:ascii="Arial" w:cs="Arial" w:eastAsia="Arial" w:hAnsi="Arial"/>
                <w:sz w:val="16"/>
                <w:szCs w:val="16"/>
                <w:color w:val="auto"/>
                <w:w w:val="96"/>
              </w:rPr>
              <w:t>Identification No.)</w:t>
            </w:r>
          </w:p>
        </w:tc>
      </w:tr>
      <w:tr>
        <w:trPr>
          <w:trHeight w:val="263"/>
        </w:trPr>
        <w:tc>
          <w:tcPr>
            <w:tcW w:w="2760" w:type="dxa"/>
            <w:vAlign w:val="bottom"/>
          </w:tcPr>
          <w:p>
            <w:pPr>
              <w:jc w:val="center"/>
              <w:ind w:right="35"/>
              <w:spacing w:after="0"/>
              <w:rPr>
                <w:sz w:val="20"/>
                <w:szCs w:val="20"/>
                <w:color w:val="auto"/>
              </w:rPr>
            </w:pPr>
            <w:r>
              <w:rPr>
                <w:rFonts w:ascii="Arial" w:cs="Arial" w:eastAsia="Arial" w:hAnsi="Arial"/>
                <w:sz w:val="18"/>
                <w:szCs w:val="18"/>
                <w:b w:val="1"/>
                <w:bCs w:val="1"/>
                <w:color w:val="auto"/>
                <w:w w:val="93"/>
              </w:rPr>
              <w:t>12130 Millennium Drive, #500</w:t>
            </w:r>
          </w:p>
        </w:tc>
        <w:tc>
          <w:tcPr>
            <w:tcW w:w="5840" w:type="dxa"/>
            <w:vAlign w:val="bottom"/>
          </w:tcPr>
          <w:p>
            <w:pPr>
              <w:spacing w:after="0"/>
              <w:rPr>
                <w:sz w:val="22"/>
                <w:szCs w:val="22"/>
                <w:color w:val="auto"/>
              </w:rPr>
            </w:pPr>
          </w:p>
        </w:tc>
      </w:tr>
      <w:tr>
        <w:trPr>
          <w:trHeight w:val="270"/>
        </w:trPr>
        <w:tc>
          <w:tcPr>
            <w:tcW w:w="2760" w:type="dxa"/>
            <w:vAlign w:val="bottom"/>
          </w:tcPr>
          <w:p>
            <w:pPr>
              <w:jc w:val="center"/>
              <w:ind w:right="35"/>
              <w:spacing w:after="0"/>
              <w:rPr>
                <w:sz w:val="20"/>
                <w:szCs w:val="20"/>
                <w:color w:val="auto"/>
              </w:rPr>
            </w:pPr>
            <w:r>
              <w:rPr>
                <w:rFonts w:ascii="Arial" w:cs="Arial" w:eastAsia="Arial" w:hAnsi="Arial"/>
                <w:sz w:val="18"/>
                <w:szCs w:val="18"/>
                <w:b w:val="1"/>
                <w:bCs w:val="1"/>
                <w:color w:val="auto"/>
                <w:w w:val="89"/>
              </w:rPr>
              <w:t>Los Angeles, CA</w:t>
            </w:r>
          </w:p>
        </w:tc>
        <w:tc>
          <w:tcPr>
            <w:tcW w:w="5840" w:type="dxa"/>
            <w:vAlign w:val="bottom"/>
          </w:tcPr>
          <w:p>
            <w:pPr>
              <w:jc w:val="right"/>
              <w:ind w:right="275"/>
              <w:spacing w:after="0"/>
              <w:rPr>
                <w:sz w:val="20"/>
                <w:szCs w:val="20"/>
                <w:color w:val="auto"/>
              </w:rPr>
            </w:pPr>
            <w:r>
              <w:rPr>
                <w:rFonts w:ascii="Arial" w:cs="Arial" w:eastAsia="Arial" w:hAnsi="Arial"/>
                <w:sz w:val="18"/>
                <w:szCs w:val="18"/>
                <w:b w:val="1"/>
                <w:bCs w:val="1"/>
                <w:color w:val="auto"/>
              </w:rPr>
              <w:t>90094</w:t>
            </w:r>
          </w:p>
        </w:tc>
      </w:tr>
      <w:tr>
        <w:trPr>
          <w:trHeight w:val="250"/>
        </w:trPr>
        <w:tc>
          <w:tcPr>
            <w:tcW w:w="2760" w:type="dxa"/>
            <w:vAlign w:val="bottom"/>
          </w:tcPr>
          <w:p>
            <w:pPr>
              <w:jc w:val="center"/>
              <w:ind w:right="35"/>
              <w:spacing w:after="0"/>
              <w:rPr>
                <w:sz w:val="20"/>
                <w:szCs w:val="20"/>
                <w:color w:val="auto"/>
              </w:rPr>
            </w:pPr>
            <w:r>
              <w:rPr>
                <w:rFonts w:ascii="Arial" w:cs="Arial" w:eastAsia="Arial" w:hAnsi="Arial"/>
                <w:sz w:val="16"/>
                <w:szCs w:val="16"/>
                <w:color w:val="auto"/>
                <w:w w:val="93"/>
              </w:rPr>
              <w:t>(Address of Principal Executive Offices)</w:t>
            </w:r>
          </w:p>
        </w:tc>
        <w:tc>
          <w:tcPr>
            <w:tcW w:w="5840" w:type="dxa"/>
            <w:vAlign w:val="bottom"/>
          </w:tcPr>
          <w:p>
            <w:pPr>
              <w:jc w:val="center"/>
              <w:ind w:left="4555"/>
              <w:spacing w:after="0"/>
              <w:rPr>
                <w:sz w:val="20"/>
                <w:szCs w:val="20"/>
                <w:color w:val="auto"/>
              </w:rPr>
            </w:pPr>
            <w:r>
              <w:rPr>
                <w:rFonts w:ascii="Arial" w:cs="Arial" w:eastAsia="Arial" w:hAnsi="Arial"/>
                <w:sz w:val="16"/>
                <w:szCs w:val="16"/>
                <w:color w:val="auto"/>
                <w:w w:val="95"/>
              </w:rPr>
              <w:t>(Zip Code)</w:t>
            </w:r>
          </w:p>
        </w:tc>
      </w:tr>
      <w:tr>
        <w:trPr>
          <w:trHeight w:val="263"/>
        </w:trPr>
        <w:tc>
          <w:tcPr>
            <w:tcW w:w="2760" w:type="dxa"/>
            <w:vAlign w:val="bottom"/>
          </w:tcPr>
          <w:p>
            <w:pPr>
              <w:spacing w:after="0"/>
              <w:rPr>
                <w:sz w:val="22"/>
                <w:szCs w:val="22"/>
                <w:color w:val="auto"/>
              </w:rPr>
            </w:pPr>
          </w:p>
        </w:tc>
        <w:tc>
          <w:tcPr>
            <w:tcW w:w="5840" w:type="dxa"/>
            <w:vAlign w:val="bottom"/>
          </w:tcPr>
          <w:p>
            <w:pPr>
              <w:jc w:val="center"/>
              <w:ind w:right="1955"/>
              <w:spacing w:after="0"/>
              <w:rPr>
                <w:sz w:val="20"/>
                <w:szCs w:val="20"/>
                <w:color w:val="auto"/>
              </w:rPr>
            </w:pPr>
            <w:r>
              <w:rPr>
                <w:rFonts w:ascii="Arial" w:cs="Arial" w:eastAsia="Arial" w:hAnsi="Arial"/>
                <w:sz w:val="18"/>
                <w:szCs w:val="18"/>
                <w:b w:val="1"/>
                <w:bCs w:val="1"/>
                <w:color w:val="auto"/>
                <w:w w:val="90"/>
              </w:rPr>
              <w:t>(888) 862-8818</w:t>
            </w:r>
          </w:p>
        </w:tc>
      </w:tr>
      <w:tr>
        <w:trPr>
          <w:trHeight w:val="250"/>
        </w:trPr>
        <w:tc>
          <w:tcPr>
            <w:tcW w:w="2760" w:type="dxa"/>
            <w:vAlign w:val="bottom"/>
          </w:tcPr>
          <w:p>
            <w:pPr>
              <w:spacing w:after="0"/>
              <w:rPr>
                <w:sz w:val="21"/>
                <w:szCs w:val="21"/>
                <w:color w:val="auto"/>
              </w:rPr>
            </w:pPr>
          </w:p>
        </w:tc>
        <w:tc>
          <w:tcPr>
            <w:tcW w:w="5840" w:type="dxa"/>
            <w:vAlign w:val="bottom"/>
          </w:tcPr>
          <w:p>
            <w:pPr>
              <w:jc w:val="center"/>
              <w:ind w:right="1955"/>
              <w:spacing w:after="0"/>
              <w:rPr>
                <w:sz w:val="20"/>
                <w:szCs w:val="20"/>
                <w:color w:val="auto"/>
              </w:rPr>
            </w:pPr>
            <w:r>
              <w:rPr>
                <w:rFonts w:ascii="Arial" w:cs="Arial" w:eastAsia="Arial" w:hAnsi="Arial"/>
                <w:sz w:val="16"/>
                <w:szCs w:val="16"/>
                <w:color w:val="auto"/>
                <w:w w:val="92"/>
              </w:rPr>
              <w:t>(Registrant’s Telephone Number, Including Area Code)</w:t>
            </w:r>
          </w:p>
        </w:tc>
      </w:tr>
      <w:tr>
        <w:trPr>
          <w:trHeight w:val="263"/>
        </w:trPr>
        <w:tc>
          <w:tcPr>
            <w:tcW w:w="2760" w:type="dxa"/>
            <w:vAlign w:val="bottom"/>
          </w:tcPr>
          <w:p>
            <w:pPr>
              <w:spacing w:after="0"/>
              <w:rPr>
                <w:sz w:val="22"/>
                <w:szCs w:val="22"/>
                <w:color w:val="auto"/>
              </w:rPr>
            </w:pPr>
          </w:p>
        </w:tc>
        <w:tc>
          <w:tcPr>
            <w:tcW w:w="5840" w:type="dxa"/>
            <w:vAlign w:val="bottom"/>
          </w:tcPr>
          <w:p>
            <w:pPr>
              <w:jc w:val="center"/>
              <w:ind w:right="1955"/>
              <w:spacing w:after="0"/>
              <w:rPr>
                <w:sz w:val="20"/>
                <w:szCs w:val="20"/>
                <w:color w:val="auto"/>
              </w:rPr>
            </w:pPr>
            <w:r>
              <w:rPr>
                <w:rFonts w:ascii="Arial" w:cs="Arial" w:eastAsia="Arial" w:hAnsi="Arial"/>
                <w:sz w:val="18"/>
                <w:szCs w:val="18"/>
                <w:b w:val="1"/>
                <w:bCs w:val="1"/>
                <w:color w:val="auto"/>
              </w:rPr>
              <w:t>N/A</w:t>
            </w:r>
          </w:p>
        </w:tc>
      </w:tr>
    </w:tbl>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251"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4440" w:type="dxa"/>
            <w:vAlign w:val="bottom"/>
          </w:tcPr>
          <w:p>
            <w:pPr>
              <w:spacing w:after="0"/>
              <w:rPr>
                <w:sz w:val="18"/>
                <w:szCs w:val="18"/>
                <w:color w:val="auto"/>
              </w:rPr>
            </w:pPr>
          </w:p>
        </w:tc>
      </w:tr>
      <w:tr>
        <w:trPr>
          <w:trHeight w:val="234"/>
        </w:trPr>
        <w:tc>
          <w:tcPr>
            <w:tcW w:w="4420" w:type="dxa"/>
            <w:vAlign w:val="bottom"/>
          </w:tcPr>
          <w:p>
            <w:pPr>
              <w:ind w:left="1540"/>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Symbol(s)</w:t>
            </w:r>
          </w:p>
        </w:tc>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6"/>
        </w:trPr>
        <w:tc>
          <w:tcPr>
            <w:tcW w:w="4420" w:type="dxa"/>
            <w:vAlign w:val="bottom"/>
          </w:tcPr>
          <w:p>
            <w:pPr>
              <w:ind w:left="560"/>
              <w:spacing w:after="0"/>
              <w:rPr>
                <w:sz w:val="20"/>
                <w:szCs w:val="20"/>
                <w:color w:val="auto"/>
              </w:rPr>
            </w:pPr>
            <w:r>
              <w:rPr>
                <w:rFonts w:ascii="Arial" w:cs="Arial" w:eastAsia="Arial" w:hAnsi="Arial"/>
                <w:sz w:val="18"/>
                <w:szCs w:val="18"/>
                <w:color w:val="auto"/>
              </w:rPr>
              <w:t>Common Stock, $0.0001 par value per share</w:t>
            </w:r>
          </w:p>
        </w:tc>
        <w:tc>
          <w:tcPr>
            <w:tcW w:w="100" w:type="dxa"/>
            <w:vAlign w:val="bottom"/>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HNST</w:t>
            </w: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0" w:lineRule="exact"/>
        <w:rPr>
          <w:sz w:val="24"/>
          <w:szCs w:val="24"/>
          <w:color w:val="auto"/>
        </w:rPr>
      </w:pPr>
    </w:p>
    <w:p>
      <w:pPr>
        <w:spacing w:after="0" w:line="258" w:lineRule="exact"/>
        <w:rPr>
          <w:sz w:val="24"/>
          <w:szCs w:val="24"/>
          <w:color w:val="auto"/>
        </w:rPr>
      </w:pPr>
    </w:p>
    <w:p>
      <w:pPr>
        <w:jc w:val="both"/>
        <w:ind w:firstLine="539"/>
        <w:spacing w:after="0" w:line="22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firstLine="539"/>
        <w:spacing w:after="0" w:line="18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53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2"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55" w:lineRule="exact"/>
        <w:rPr>
          <w:sz w:val="24"/>
          <w:szCs w:val="24"/>
          <w:color w:val="auto"/>
        </w:rPr>
      </w:pPr>
    </w:p>
    <w:p>
      <w:pPr>
        <w:ind w:right="280" w:firstLine="539"/>
        <w:spacing w:after="0" w:line="20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120" w:right="339" w:bottom="0" w:gutter="0" w:footer="0" w:header="0"/>
        </w:sectPr>
      </w:pPr>
    </w:p>
    <w:bookmarkStart w:id="1" w:name="page2"/>
    <w:bookmarkEnd w:id="1"/>
    <w:p>
      <w:pPr>
        <w:ind w:right="159" w:firstLine="1"/>
        <w:spacing w:after="0" w:line="34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9, 2021, the registrant had 90,272,332 shares of common stock, $0.0001 par value per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990600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-328930</wp:posOffset>
            </wp:positionH>
            <wp:positionV relativeFrom="paragraph">
              <wp:posOffset>17780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9599"/>
          </w:cols>
          <w:pgMar w:left="860" w:top="295" w:right="1440"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The Honest Company, Inc.</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64"/>
        </w:trPr>
        <w:tc>
          <w:tcPr>
            <w:tcW w:w="8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200" w:type="dxa"/>
            <w:vAlign w:val="bottom"/>
          </w:tcPr>
          <w:p>
            <w:pPr>
              <w:ind w:left="140"/>
              <w:spacing w:after="0"/>
              <w:rPr>
                <w:rFonts w:ascii="Arial" w:cs="Arial" w:eastAsia="Arial" w:hAnsi="Arial"/>
                <w:sz w:val="18"/>
                <w:szCs w:val="18"/>
                <w:color w:val="auto"/>
              </w:rPr>
            </w:pPr>
            <w:hyperlink w:anchor="page4">
              <w:r>
                <w:rPr>
                  <w:rFonts w:ascii="Arial" w:cs="Arial" w:eastAsia="Arial" w:hAnsi="Arial"/>
                  <w:sz w:val="18"/>
                  <w:szCs w:val="18"/>
                  <w:color w:val="auto"/>
                </w:rPr>
                <w:t>FINANCIAL INFORMATION</w:t>
              </w:r>
            </w:hyperlink>
          </w:p>
        </w:tc>
        <w:tc>
          <w:tcPr>
            <w:tcW w:w="940" w:type="dxa"/>
            <w:vAlign w:val="bottom"/>
            <w:gridSpan w:val="2"/>
          </w:tcPr>
          <w:p>
            <w:pPr>
              <w:jc w:val="center"/>
              <w:ind w:left="668"/>
              <w:spacing w:after="0"/>
              <w:rPr>
                <w:rFonts w:ascii="Arial" w:cs="Arial" w:eastAsia="Arial" w:hAnsi="Arial"/>
                <w:sz w:val="20"/>
                <w:szCs w:val="20"/>
                <w:color w:val="0000FF"/>
                <w:w w:val="89"/>
              </w:rPr>
            </w:pPr>
            <w:hyperlink w:anchor="page4">
              <w:r>
                <w:rPr>
                  <w:rFonts w:ascii="Arial" w:cs="Arial" w:eastAsia="Arial" w:hAnsi="Arial"/>
                  <w:sz w:val="20"/>
                  <w:szCs w:val="20"/>
                  <w:color w:val="0000FF"/>
                  <w:w w:val="89"/>
                </w:rPr>
                <w:t>3</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20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Financial Statements (unaudited)</w:t>
              </w:r>
            </w:hyperlink>
          </w:p>
        </w:tc>
        <w:tc>
          <w:tcPr>
            <w:tcW w:w="940" w:type="dxa"/>
            <w:vAlign w:val="bottom"/>
            <w:gridSpan w:val="2"/>
          </w:tcPr>
          <w:p>
            <w:pPr>
              <w:jc w:val="center"/>
              <w:ind w:left="668"/>
              <w:spacing w:after="0"/>
              <w:rPr>
                <w:rFonts w:ascii="Arial" w:cs="Arial" w:eastAsia="Arial" w:hAnsi="Arial"/>
                <w:sz w:val="20"/>
                <w:szCs w:val="20"/>
                <w:color w:val="0000FF"/>
                <w:w w:val="89"/>
              </w:rPr>
            </w:pPr>
            <w:hyperlink w:anchor="page5">
              <w:r>
                <w:rPr>
                  <w:rFonts w:ascii="Arial" w:cs="Arial" w:eastAsia="Arial" w:hAnsi="Arial"/>
                  <w:sz w:val="20"/>
                  <w:szCs w:val="20"/>
                  <w:color w:val="0000FF"/>
                  <w:w w:val="89"/>
                </w:rPr>
                <w:t>3</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9200" w:type="dxa"/>
            <w:vAlign w:val="bottom"/>
          </w:tcPr>
          <w:p>
            <w:pPr>
              <w:ind w:left="18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Balance Sheets</w:t>
              </w:r>
            </w:hyperlink>
          </w:p>
        </w:tc>
        <w:tc>
          <w:tcPr>
            <w:tcW w:w="940" w:type="dxa"/>
            <w:vAlign w:val="bottom"/>
            <w:gridSpan w:val="2"/>
          </w:tcPr>
          <w:p>
            <w:pPr>
              <w:jc w:val="center"/>
              <w:ind w:left="668"/>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3</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spacing w:after="0"/>
              <w:rPr>
                <w:sz w:val="22"/>
                <w:szCs w:val="22"/>
                <w:color w:val="auto"/>
              </w:rPr>
            </w:pPr>
          </w:p>
        </w:tc>
        <w:tc>
          <w:tcPr>
            <w:tcW w:w="9200" w:type="dxa"/>
            <w:vAlign w:val="bottom"/>
          </w:tcPr>
          <w:p>
            <w:pPr>
              <w:ind w:left="18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Comprehensive Income (Loss)</w:t>
              </w:r>
            </w:hyperlink>
          </w:p>
        </w:tc>
        <w:tc>
          <w:tcPr>
            <w:tcW w:w="940" w:type="dxa"/>
            <w:vAlign w:val="bottom"/>
            <w:gridSpan w:val="2"/>
          </w:tcPr>
          <w:p>
            <w:pPr>
              <w:jc w:val="center"/>
              <w:ind w:left="668"/>
              <w:spacing w:after="0"/>
              <w:rPr>
                <w:rFonts w:ascii="Arial" w:cs="Arial" w:eastAsia="Arial" w:hAnsi="Arial"/>
                <w:sz w:val="20"/>
                <w:szCs w:val="20"/>
                <w:color w:val="0000FF"/>
                <w:w w:val="89"/>
              </w:rPr>
            </w:pPr>
            <w:hyperlink w:anchor="page5">
              <w:r>
                <w:rPr>
                  <w:rFonts w:ascii="Arial" w:cs="Arial" w:eastAsia="Arial" w:hAnsi="Arial"/>
                  <w:sz w:val="20"/>
                  <w:szCs w:val="20"/>
                  <w:color w:val="0000FF"/>
                  <w:w w:val="89"/>
                </w:rPr>
                <w:t>4</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spacing w:after="0"/>
              <w:rPr>
                <w:sz w:val="22"/>
                <w:szCs w:val="22"/>
                <w:color w:val="auto"/>
              </w:rPr>
            </w:pPr>
          </w:p>
        </w:tc>
        <w:tc>
          <w:tcPr>
            <w:tcW w:w="9200" w:type="dxa"/>
            <w:vAlign w:val="bottom"/>
          </w:tcPr>
          <w:p>
            <w:pPr>
              <w:ind w:left="180"/>
              <w:spacing w:after="0"/>
              <w:rPr>
                <w:rFonts w:ascii="Arial" w:cs="Arial" w:eastAsia="Arial" w:hAnsi="Arial"/>
                <w:sz w:val="18"/>
                <w:szCs w:val="18"/>
                <w:color w:val="auto"/>
                <w:w w:val="97"/>
              </w:rPr>
            </w:pPr>
            <w:hyperlink w:anchor="page6">
              <w:r>
                <w:rPr>
                  <w:rFonts w:ascii="Arial" w:cs="Arial" w:eastAsia="Arial" w:hAnsi="Arial"/>
                  <w:sz w:val="18"/>
                  <w:szCs w:val="18"/>
                  <w:color w:val="auto"/>
                  <w:w w:val="97"/>
                </w:rPr>
                <w:t>Condensed Consolidated Statements of Redeemable Convertible Preferred Stock and Stockholders’ Equity (Deficit)</w:t>
              </w:r>
            </w:hyperlink>
          </w:p>
        </w:tc>
        <w:tc>
          <w:tcPr>
            <w:tcW w:w="940" w:type="dxa"/>
            <w:vAlign w:val="bottom"/>
            <w:gridSpan w:val="2"/>
          </w:tcPr>
          <w:p>
            <w:pPr>
              <w:jc w:val="center"/>
              <w:ind w:left="668"/>
              <w:spacing w:after="0"/>
              <w:rPr>
                <w:rFonts w:ascii="Arial" w:cs="Arial" w:eastAsia="Arial" w:hAnsi="Arial"/>
                <w:sz w:val="20"/>
                <w:szCs w:val="20"/>
                <w:color w:val="0000FF"/>
                <w:w w:val="89"/>
              </w:rPr>
            </w:pPr>
            <w:hyperlink w:anchor="page6">
              <w:r>
                <w:rPr>
                  <w:rFonts w:ascii="Arial" w:cs="Arial" w:eastAsia="Arial" w:hAnsi="Arial"/>
                  <w:sz w:val="20"/>
                  <w:szCs w:val="20"/>
                  <w:color w:val="0000FF"/>
                  <w:w w:val="89"/>
                </w:rPr>
                <w:t>5</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9200" w:type="dxa"/>
            <w:vAlign w:val="bottom"/>
          </w:tcPr>
          <w:p>
            <w:pPr>
              <w:ind w:left="180"/>
              <w:spacing w:after="0"/>
              <w:rPr>
                <w:rFonts w:ascii="Arial" w:cs="Arial" w:eastAsia="Arial" w:hAnsi="Arial"/>
                <w:sz w:val="18"/>
                <w:szCs w:val="18"/>
                <w:color w:val="auto"/>
              </w:rPr>
            </w:pPr>
            <w:hyperlink w:anchor="page8">
              <w:r>
                <w:rPr>
                  <w:rFonts w:ascii="Arial" w:cs="Arial" w:eastAsia="Arial" w:hAnsi="Arial"/>
                  <w:sz w:val="18"/>
                  <w:szCs w:val="18"/>
                  <w:color w:val="auto"/>
                </w:rPr>
                <w:t>Condensed Consolidated Statements of Cash Flows</w:t>
              </w:r>
            </w:hyperlink>
          </w:p>
        </w:tc>
        <w:tc>
          <w:tcPr>
            <w:tcW w:w="940" w:type="dxa"/>
            <w:vAlign w:val="bottom"/>
            <w:gridSpan w:val="2"/>
          </w:tcPr>
          <w:p>
            <w:pPr>
              <w:jc w:val="center"/>
              <w:ind w:left="668"/>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7</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9200" w:type="dxa"/>
            <w:vAlign w:val="bottom"/>
          </w:tcPr>
          <w:p>
            <w:pPr>
              <w:ind w:left="140"/>
              <w:spacing w:after="0"/>
              <w:rPr>
                <w:rFonts w:ascii="Arial" w:cs="Arial" w:eastAsia="Arial" w:hAnsi="Arial"/>
                <w:sz w:val="18"/>
                <w:szCs w:val="18"/>
                <w:color w:val="auto"/>
              </w:rPr>
            </w:pPr>
            <w:hyperlink w:anchor="page9">
              <w:r>
                <w:rPr>
                  <w:rFonts w:ascii="Arial" w:cs="Arial" w:eastAsia="Arial" w:hAnsi="Arial"/>
                  <w:sz w:val="18"/>
                  <w:szCs w:val="18"/>
                  <w:color w:val="auto"/>
                </w:rPr>
                <w:t>Notes to Condensed Consolidated Financial Statements</w:t>
              </w:r>
            </w:hyperlink>
          </w:p>
        </w:tc>
        <w:tc>
          <w:tcPr>
            <w:tcW w:w="940" w:type="dxa"/>
            <w:vAlign w:val="bottom"/>
            <w:gridSpan w:val="2"/>
          </w:tcPr>
          <w:p>
            <w:pPr>
              <w:jc w:val="center"/>
              <w:ind w:left="668"/>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8</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tcPr>
          <w:p>
            <w:pPr>
              <w:ind w:left="140"/>
              <w:spacing w:after="0"/>
              <w:rPr>
                <w:rFonts w:ascii="Arial" w:cs="Arial" w:eastAsia="Arial" w:hAnsi="Arial"/>
                <w:sz w:val="18"/>
                <w:szCs w:val="18"/>
                <w:color w:val="auto"/>
              </w:rPr>
            </w:pPr>
            <w:hyperlink w:anchor="page21">
              <w:r>
                <w:rPr>
                  <w:rFonts w:ascii="Arial" w:cs="Arial" w:eastAsia="Arial" w:hAnsi="Arial"/>
                  <w:sz w:val="18"/>
                  <w:szCs w:val="18"/>
                  <w:color w:val="auto"/>
                </w:rPr>
                <w:t>Management’s Discussion and Analysis of Financial Condition and Results of Operations</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19</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200" w:type="dxa"/>
            <w:vAlign w:val="bottom"/>
          </w:tcPr>
          <w:p>
            <w:pPr>
              <w:ind w:left="140"/>
              <w:spacing w:after="0"/>
              <w:rPr>
                <w:rFonts w:ascii="Arial" w:cs="Arial" w:eastAsia="Arial" w:hAnsi="Arial"/>
                <w:sz w:val="18"/>
                <w:szCs w:val="18"/>
                <w:color w:val="auto"/>
              </w:rPr>
            </w:pPr>
            <w:hyperlink w:anchor="page33">
              <w:r>
                <w:rPr>
                  <w:rFonts w:ascii="Arial" w:cs="Arial" w:eastAsia="Arial" w:hAnsi="Arial"/>
                  <w:sz w:val="18"/>
                  <w:szCs w:val="18"/>
                  <w:color w:val="auto"/>
                </w:rPr>
                <w:t>Quantitative and Qualitative Disclosures About Market Risk</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30</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200" w:type="dxa"/>
            <w:vAlign w:val="bottom"/>
          </w:tcPr>
          <w:p>
            <w:pPr>
              <w:ind w:left="140"/>
              <w:spacing w:after="0"/>
              <w:rPr>
                <w:rFonts w:ascii="Arial" w:cs="Arial" w:eastAsia="Arial" w:hAnsi="Arial"/>
                <w:sz w:val="18"/>
                <w:szCs w:val="18"/>
                <w:color w:val="auto"/>
              </w:rPr>
            </w:pPr>
            <w:hyperlink w:anchor="page34">
              <w:r>
                <w:rPr>
                  <w:rFonts w:ascii="Arial" w:cs="Arial" w:eastAsia="Arial" w:hAnsi="Arial"/>
                  <w:sz w:val="18"/>
                  <w:szCs w:val="18"/>
                  <w:color w:val="auto"/>
                </w:rPr>
                <w:t>Controls and Procedures</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31</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vMerge w:val="continue"/>
          </w:tcPr>
          <w:p>
            <w:pPr>
              <w:spacing w:after="0"/>
              <w:rPr>
                <w:sz w:val="21"/>
                <w:szCs w:val="21"/>
                <w:color w:val="auto"/>
              </w:rPr>
            </w:pPr>
          </w:p>
        </w:tc>
        <w:tc>
          <w:tcPr>
            <w:tcW w:w="9200" w:type="dxa"/>
            <w:vAlign w:val="bottom"/>
          </w:tcPr>
          <w:p>
            <w:pPr>
              <w:ind w:left="140"/>
              <w:spacing w:after="0"/>
              <w:rPr>
                <w:rFonts w:ascii="Arial" w:cs="Arial" w:eastAsia="Arial" w:hAnsi="Arial"/>
                <w:sz w:val="18"/>
                <w:szCs w:val="18"/>
                <w:color w:val="auto"/>
              </w:rPr>
            </w:pPr>
            <w:hyperlink w:anchor="page35">
              <w:r>
                <w:rPr>
                  <w:rFonts w:ascii="Arial" w:cs="Arial" w:eastAsia="Arial" w:hAnsi="Arial"/>
                  <w:sz w:val="18"/>
                  <w:szCs w:val="18"/>
                  <w:color w:val="auto"/>
                </w:rPr>
                <w:t>OTHER INFORMATION</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33</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200" w:type="dxa"/>
            <w:vAlign w:val="bottom"/>
          </w:tcPr>
          <w:p>
            <w:pPr>
              <w:ind w:left="140"/>
              <w:spacing w:after="0"/>
              <w:rPr>
                <w:rFonts w:ascii="Arial" w:cs="Arial" w:eastAsia="Arial" w:hAnsi="Arial"/>
                <w:sz w:val="18"/>
                <w:szCs w:val="18"/>
                <w:color w:val="auto"/>
              </w:rPr>
            </w:pPr>
            <w:hyperlink w:anchor="page36">
              <w:r>
                <w:rPr>
                  <w:rFonts w:ascii="Arial" w:cs="Arial" w:eastAsia="Arial" w:hAnsi="Arial"/>
                  <w:sz w:val="18"/>
                  <w:szCs w:val="18"/>
                  <w:color w:val="auto"/>
                </w:rPr>
                <w:t>Legal Proceedings</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33</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200" w:type="dxa"/>
            <w:vAlign w:val="bottom"/>
          </w:tcPr>
          <w:p>
            <w:pPr>
              <w:ind w:left="140"/>
              <w:spacing w:after="0"/>
              <w:rPr>
                <w:rFonts w:ascii="Arial" w:cs="Arial" w:eastAsia="Arial" w:hAnsi="Arial"/>
                <w:sz w:val="18"/>
                <w:szCs w:val="18"/>
                <w:color w:val="auto"/>
              </w:rPr>
            </w:pPr>
            <w:hyperlink w:anchor="page36">
              <w:r>
                <w:rPr>
                  <w:rFonts w:ascii="Arial" w:cs="Arial" w:eastAsia="Arial" w:hAnsi="Arial"/>
                  <w:sz w:val="18"/>
                  <w:szCs w:val="18"/>
                  <w:color w:val="auto"/>
                </w:rPr>
                <w:t>Risk Factors</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33</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tcPr>
          <w:p>
            <w:pPr>
              <w:ind w:left="140"/>
              <w:spacing w:after="0"/>
              <w:rPr>
                <w:rFonts w:ascii="Arial" w:cs="Arial" w:eastAsia="Arial" w:hAnsi="Arial"/>
                <w:sz w:val="18"/>
                <w:szCs w:val="18"/>
                <w:color w:val="auto"/>
              </w:rPr>
            </w:pPr>
            <w:hyperlink w:anchor="page38">
              <w:r>
                <w:rPr>
                  <w:rFonts w:ascii="Arial" w:cs="Arial" w:eastAsia="Arial" w:hAnsi="Arial"/>
                  <w:sz w:val="18"/>
                  <w:szCs w:val="18"/>
                  <w:color w:val="auto"/>
                </w:rPr>
                <w:t>Unregistered Sales of Equity Securities and Use of Proceeds</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35</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200" w:type="dxa"/>
            <w:vAlign w:val="bottom"/>
          </w:tcPr>
          <w:p>
            <w:pPr>
              <w:ind w:left="140"/>
              <w:spacing w:after="0"/>
              <w:rPr>
                <w:rFonts w:ascii="Arial" w:cs="Arial" w:eastAsia="Arial" w:hAnsi="Arial"/>
                <w:sz w:val="18"/>
                <w:szCs w:val="18"/>
                <w:color w:val="auto"/>
              </w:rPr>
            </w:pPr>
            <w:hyperlink w:anchor="page38">
              <w:r>
                <w:rPr>
                  <w:rFonts w:ascii="Arial" w:cs="Arial" w:eastAsia="Arial" w:hAnsi="Arial"/>
                  <w:sz w:val="18"/>
                  <w:szCs w:val="18"/>
                  <w:color w:val="auto"/>
                </w:rPr>
                <w:t>Defaults Under Senior Securities</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35</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200" w:type="dxa"/>
            <w:vAlign w:val="bottom"/>
          </w:tcPr>
          <w:p>
            <w:pPr>
              <w:ind w:left="140"/>
              <w:spacing w:after="0"/>
              <w:rPr>
                <w:rFonts w:ascii="Arial" w:cs="Arial" w:eastAsia="Arial" w:hAnsi="Arial"/>
                <w:sz w:val="18"/>
                <w:szCs w:val="18"/>
                <w:color w:val="auto"/>
              </w:rPr>
            </w:pPr>
            <w:hyperlink w:anchor="page38">
              <w:r>
                <w:rPr>
                  <w:rFonts w:ascii="Arial" w:cs="Arial" w:eastAsia="Arial" w:hAnsi="Arial"/>
                  <w:sz w:val="18"/>
                  <w:szCs w:val="18"/>
                  <w:color w:val="auto"/>
                </w:rPr>
                <w:t>Mine Safety Disclosures</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35</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9200" w:type="dxa"/>
            <w:vAlign w:val="bottom"/>
          </w:tcPr>
          <w:p>
            <w:pPr>
              <w:ind w:left="140"/>
              <w:spacing w:after="0"/>
              <w:rPr>
                <w:rFonts w:ascii="Arial" w:cs="Arial" w:eastAsia="Arial" w:hAnsi="Arial"/>
                <w:sz w:val="18"/>
                <w:szCs w:val="18"/>
                <w:color w:val="auto"/>
              </w:rPr>
            </w:pPr>
            <w:hyperlink w:anchor="page38">
              <w:r>
                <w:rPr>
                  <w:rFonts w:ascii="Arial" w:cs="Arial" w:eastAsia="Arial" w:hAnsi="Arial"/>
                  <w:sz w:val="18"/>
                  <w:szCs w:val="18"/>
                  <w:color w:val="auto"/>
                </w:rPr>
                <w:t>Other Information</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35</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200" w:type="dxa"/>
            <w:vAlign w:val="bottom"/>
          </w:tcPr>
          <w:p>
            <w:pPr>
              <w:ind w:left="140"/>
              <w:spacing w:after="0"/>
              <w:rPr>
                <w:rFonts w:ascii="Arial" w:cs="Arial" w:eastAsia="Arial" w:hAnsi="Arial"/>
                <w:sz w:val="18"/>
                <w:szCs w:val="18"/>
                <w:color w:val="auto"/>
              </w:rPr>
            </w:pPr>
            <w:hyperlink w:anchor="page39">
              <w:r>
                <w:rPr>
                  <w:rFonts w:ascii="Arial" w:cs="Arial" w:eastAsia="Arial" w:hAnsi="Arial"/>
                  <w:sz w:val="18"/>
                  <w:szCs w:val="18"/>
                  <w:color w:val="auto"/>
                </w:rPr>
                <w:t>Exhibits</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94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9200" w:type="dxa"/>
            <w:vAlign w:val="bottom"/>
          </w:tcPr>
          <w:p>
            <w:pPr>
              <w:ind w:left="140"/>
              <w:spacing w:after="0"/>
              <w:rPr>
                <w:rFonts w:ascii="Arial" w:cs="Arial" w:eastAsia="Arial" w:hAnsi="Arial"/>
                <w:sz w:val="18"/>
                <w:szCs w:val="18"/>
                <w:color w:val="auto"/>
              </w:rPr>
            </w:pPr>
            <w:hyperlink w:anchor="page41">
              <w:r>
                <w:rPr>
                  <w:rFonts w:ascii="Arial" w:cs="Arial" w:eastAsia="Arial" w:hAnsi="Arial"/>
                  <w:sz w:val="18"/>
                  <w:szCs w:val="18"/>
                  <w:color w:val="auto"/>
                </w:rPr>
                <w:t>Signatures</w:t>
              </w:r>
            </w:hyperlink>
          </w:p>
        </w:tc>
        <w:tc>
          <w:tcPr>
            <w:tcW w:w="940" w:type="dxa"/>
            <w:vAlign w:val="bottom"/>
            <w:gridSpan w:val="2"/>
          </w:tcPr>
          <w:p>
            <w:pPr>
              <w:jc w:val="center"/>
              <w:ind w:left="668"/>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39</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220345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769" w:right="4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(“Securities Act”), and Section 21E of the Securities Exchange Act of 1934, as amended)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those set forth in Part II, Item 1A, “Risk Factors,” if any, and other factors set forth in other parts of this Quarterly Report on Form 10-Q.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the following:</w:t>
      </w:r>
    </w:p>
    <w:p>
      <w:pPr>
        <w:spacing w:after="0" w:line="19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revenue, cost of revenue, operating expenses, gross margin, adjusted EBITDA and other operating results;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COVID-19 or other public health crises on our business and the global economy;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new consumers and successfully retain existing consumers, including their level of spend with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costs and success of our marketing efforts, and our ability to grow brand awareness and maintain, protect and enhance our brand;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inventory;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gauge consumer trends and changing consumer preferences;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and any costs associated therewith;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enter new markets and expand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complete acquisitions that complement and expand our reach and platform;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condition of, and our relationships with, our suppliers, manufacturers, distributors and retailers;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offset commodity prices, input cost and transportation cost inflation with productivity or pricing improvements;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suppliers and manufacturers to comply with safety, environmental or other laws or regulations;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or remain in compliance with laws and regulations that currently apply or become applicable to our business in the United States, such as the U.S. Food and Drug Administration governmental regulation and state regulation; and other jurisdictions where we elect to do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conditions and their impact on consumer spending;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outcome of legal or administrative proceedings;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240" w:type="dxa"/>
            <w:vAlign w:val="bottom"/>
            <w:gridSpan w:val="2"/>
          </w:tcPr>
          <w:p>
            <w:pPr>
              <w:jc w:val="center"/>
              <w:ind w:left="3910"/>
              <w:spacing w:after="0"/>
              <w:rPr>
                <w:sz w:val="20"/>
                <w:szCs w:val="20"/>
                <w:color w:val="auto"/>
              </w:rPr>
            </w:pPr>
            <w:r>
              <w:rPr>
                <w:rFonts w:ascii="Arial" w:cs="Arial" w:eastAsia="Arial" w:hAnsi="Arial"/>
                <w:sz w:val="18"/>
                <w:szCs w:val="18"/>
                <w:b w:val="1"/>
                <w:bCs w:val="1"/>
                <w:color w:val="auto"/>
              </w:rPr>
              <w:t>PART I—FINANCIAL INFORMATION</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6600" w:type="dxa"/>
            <w:vAlign w:val="bottom"/>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240" w:type="dxa"/>
            <w:vAlign w:val="bottom"/>
            <w:gridSpan w:val="2"/>
          </w:tcPr>
          <w:p>
            <w:pPr>
              <w:jc w:val="center"/>
              <w:ind w:left="3930"/>
              <w:spacing w:after="0"/>
              <w:rPr>
                <w:sz w:val="20"/>
                <w:szCs w:val="20"/>
                <w:color w:val="auto"/>
              </w:rPr>
            </w:pPr>
            <w:r>
              <w:rPr>
                <w:rFonts w:ascii="Arial" w:cs="Arial" w:eastAsia="Arial" w:hAnsi="Arial"/>
                <w:sz w:val="18"/>
                <w:szCs w:val="18"/>
                <w:b w:val="1"/>
                <w:bCs w:val="1"/>
                <w:color w:val="auto"/>
                <w:w w:val="91"/>
              </w:rPr>
              <w:t>The Honest Company, Inc.</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240" w:type="dxa"/>
            <w:vAlign w:val="bottom"/>
            <w:gridSpan w:val="2"/>
          </w:tcPr>
          <w:p>
            <w:pPr>
              <w:jc w:val="center"/>
              <w:ind w:left="393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5500"/>
              <w:spacing w:after="0"/>
              <w:rPr>
                <w:sz w:val="20"/>
                <w:szCs w:val="20"/>
                <w:color w:val="auto"/>
              </w:rPr>
            </w:pPr>
            <w:r>
              <w:rPr>
                <w:rFonts w:ascii="Arial" w:cs="Arial" w:eastAsia="Arial" w:hAnsi="Arial"/>
                <w:sz w:val="18"/>
                <w:szCs w:val="18"/>
                <w:i w:val="1"/>
                <w:iCs w:val="1"/>
                <w:color w:val="auto"/>
              </w:rPr>
              <w:t>(Unaudited)</w:t>
            </w: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gridSpan w:val="4"/>
          </w:tcPr>
          <w:p>
            <w:pPr>
              <w:jc w:val="center"/>
              <w:ind w:left="3050"/>
              <w:spacing w:after="0"/>
              <w:rPr>
                <w:sz w:val="20"/>
                <w:szCs w:val="20"/>
                <w:color w:val="auto"/>
              </w:rPr>
            </w:pPr>
            <w:r>
              <w:rPr>
                <w:rFonts w:ascii="Arial" w:cs="Arial" w:eastAsia="Arial" w:hAnsi="Arial"/>
                <w:sz w:val="18"/>
                <w:szCs w:val="18"/>
                <w:i w:val="1"/>
                <w:iCs w:val="1"/>
                <w:color w:val="auto"/>
                <w:w w:val="89"/>
              </w:rPr>
              <w:t>(in thousands, except share and per share amounts)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1500" w:type="dxa"/>
            <w:vAlign w:val="bottom"/>
            <w:gridSpan w:val="3"/>
          </w:tcPr>
          <w:p>
            <w:pPr>
              <w:ind w:left="180"/>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Pr>
          <w:p>
            <w:pPr>
              <w:spacing w:after="0"/>
              <w:rPr>
                <w:sz w:val="23"/>
                <w:szCs w:val="23"/>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 2020</w:t>
            </w:r>
          </w:p>
        </w:tc>
        <w:tc>
          <w:tcPr>
            <w:tcW w:w="0" w:type="dxa"/>
            <w:vAlign w:val="bottom"/>
          </w:tcPr>
          <w:p>
            <w:pPr>
              <w:spacing w:after="0"/>
              <w:rPr>
                <w:sz w:val="1"/>
                <w:szCs w:val="1"/>
                <w:color w:val="auto"/>
              </w:rPr>
            </w:pPr>
          </w:p>
        </w:tc>
      </w:tr>
      <w:tr>
        <w:trPr>
          <w:trHeight w:val="27"/>
        </w:trPr>
        <w:tc>
          <w:tcPr>
            <w:tcW w:w="6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6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41,438</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29,259</w:t>
            </w:r>
          </w:p>
        </w:tc>
        <w:tc>
          <w:tcPr>
            <w:tcW w:w="0" w:type="dxa"/>
            <w:vAlign w:val="bottom"/>
          </w:tcPr>
          <w:p>
            <w:pPr>
              <w:spacing w:after="0"/>
              <w:rPr>
                <w:sz w:val="1"/>
                <w:szCs w:val="1"/>
                <w:color w:val="auto"/>
              </w:rPr>
            </w:pPr>
          </w:p>
        </w:tc>
      </w:tr>
      <w:tr>
        <w:trPr>
          <w:trHeight w:val="270"/>
        </w:trPr>
        <w:tc>
          <w:tcPr>
            <w:tcW w:w="660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64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70"/>
        </w:trPr>
        <w:tc>
          <w:tcPr>
            <w:tcW w:w="660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53,673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34,425</w:t>
            </w:r>
          </w:p>
        </w:tc>
        <w:tc>
          <w:tcPr>
            <w:tcW w:w="0" w:type="dxa"/>
            <w:vAlign w:val="bottom"/>
          </w:tcPr>
          <w:p>
            <w:pPr>
              <w:spacing w:after="0"/>
              <w:rPr>
                <w:sz w:val="1"/>
                <w:szCs w:val="1"/>
                <w:color w:val="auto"/>
              </w:rPr>
            </w:pPr>
          </w:p>
        </w:tc>
      </w:tr>
      <w:tr>
        <w:trPr>
          <w:trHeight w:val="270"/>
        </w:trPr>
        <w:tc>
          <w:tcPr>
            <w:tcW w:w="660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27,396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22,795</w:t>
            </w:r>
          </w:p>
        </w:tc>
        <w:tc>
          <w:tcPr>
            <w:tcW w:w="0" w:type="dxa"/>
            <w:vAlign w:val="bottom"/>
          </w:tcPr>
          <w:p>
            <w:pPr>
              <w:spacing w:after="0"/>
              <w:rPr>
                <w:sz w:val="1"/>
                <w:szCs w:val="1"/>
                <w:color w:val="auto"/>
              </w:rPr>
            </w:pPr>
          </w:p>
        </w:tc>
      </w:tr>
      <w:tr>
        <w:trPr>
          <w:trHeight w:val="270"/>
        </w:trPr>
        <w:tc>
          <w:tcPr>
            <w:tcW w:w="6600" w:type="dxa"/>
            <w:vAlign w:val="bottom"/>
          </w:tcPr>
          <w:p>
            <w:pPr>
              <w:ind w:left="140"/>
              <w:spacing w:after="0"/>
              <w:rPr>
                <w:sz w:val="20"/>
                <w:szCs w:val="20"/>
                <w:color w:val="auto"/>
              </w:rPr>
            </w:pPr>
            <w:r>
              <w:rPr>
                <w:rFonts w:ascii="Arial" w:cs="Arial" w:eastAsia="Arial" w:hAnsi="Arial"/>
                <w:sz w:val="18"/>
                <w:szCs w:val="18"/>
                <w:color w:val="auto"/>
              </w:rPr>
              <w:t>Inventories, net</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82,413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76,669</w:t>
            </w:r>
          </w:p>
        </w:tc>
        <w:tc>
          <w:tcPr>
            <w:tcW w:w="0" w:type="dxa"/>
            <w:vAlign w:val="bottom"/>
          </w:tcPr>
          <w:p>
            <w:pPr>
              <w:spacing w:after="0"/>
              <w:rPr>
                <w:sz w:val="1"/>
                <w:szCs w:val="1"/>
                <w:color w:val="auto"/>
              </w:rPr>
            </w:pPr>
          </w:p>
        </w:tc>
      </w:tr>
      <w:tr>
        <w:trPr>
          <w:trHeight w:val="270"/>
        </w:trPr>
        <w:tc>
          <w:tcPr>
            <w:tcW w:w="660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10,698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6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215,618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173,557</w:t>
            </w:r>
          </w:p>
        </w:tc>
        <w:tc>
          <w:tcPr>
            <w:tcW w:w="0" w:type="dxa"/>
            <w:vAlign w:val="bottom"/>
          </w:tcPr>
          <w:p>
            <w:pPr>
              <w:spacing w:after="0"/>
              <w:rPr>
                <w:sz w:val="1"/>
                <w:szCs w:val="1"/>
                <w:color w:val="auto"/>
              </w:rPr>
            </w:pP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Restricted cash, net of current portion</w:t>
            </w:r>
          </w:p>
        </w:tc>
        <w:tc>
          <w:tcPr>
            <w:tcW w:w="64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6,189</w:t>
            </w:r>
          </w:p>
        </w:tc>
        <w:tc>
          <w:tcPr>
            <w:tcW w:w="0" w:type="dxa"/>
            <w:vAlign w:val="bottom"/>
          </w:tcPr>
          <w:p>
            <w:pPr>
              <w:spacing w:after="0"/>
              <w:rPr>
                <w:sz w:val="1"/>
                <w:szCs w:val="1"/>
                <w:color w:val="auto"/>
              </w:rPr>
            </w:pP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54,774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56,703</w:t>
            </w:r>
          </w:p>
        </w:tc>
        <w:tc>
          <w:tcPr>
            <w:tcW w:w="0" w:type="dxa"/>
            <w:vAlign w:val="bottom"/>
          </w:tcPr>
          <w:p>
            <w:pPr>
              <w:spacing w:after="0"/>
              <w:rPr>
                <w:sz w:val="1"/>
                <w:szCs w:val="1"/>
                <w:color w:val="auto"/>
              </w:rPr>
            </w:pP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4,010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277,108</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240,732</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8"/>
              </w:rPr>
              <w:t>Liabilities, Redeemable Convertible Preferred Stock and Stockholders’ Equity</w:t>
            </w: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6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(Deficit)</w:t>
            </w: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32,709</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31,132</w:t>
            </w:r>
          </w:p>
        </w:tc>
        <w:tc>
          <w:tcPr>
            <w:tcW w:w="0" w:type="dxa"/>
            <w:vAlign w:val="bottom"/>
          </w:tcPr>
          <w:p>
            <w:pPr>
              <w:spacing w:after="0"/>
              <w:rPr>
                <w:sz w:val="1"/>
                <w:szCs w:val="1"/>
                <w:color w:val="auto"/>
              </w:rPr>
            </w:pPr>
          </w:p>
        </w:tc>
      </w:tr>
      <w:tr>
        <w:trPr>
          <w:trHeight w:val="270"/>
        </w:trPr>
        <w:tc>
          <w:tcPr>
            <w:tcW w:w="660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17,612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270"/>
        </w:trPr>
        <w:tc>
          <w:tcPr>
            <w:tcW w:w="660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6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51,096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54,070</w:t>
            </w:r>
          </w:p>
        </w:tc>
        <w:tc>
          <w:tcPr>
            <w:tcW w:w="0" w:type="dxa"/>
            <w:vAlign w:val="bottom"/>
          </w:tcPr>
          <w:p>
            <w:pPr>
              <w:spacing w:after="0"/>
              <w:rPr>
                <w:sz w:val="1"/>
                <w:szCs w:val="1"/>
                <w:color w:val="auto"/>
              </w:rPr>
            </w:pP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Long term liabilities</w:t>
            </w: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140"/>
              <w:spacing w:after="0"/>
              <w:rPr>
                <w:sz w:val="20"/>
                <w:szCs w:val="20"/>
                <w:color w:val="auto"/>
              </w:rPr>
            </w:pPr>
            <w:r>
              <w:rPr>
                <w:rFonts w:ascii="Arial" w:cs="Arial" w:eastAsia="Arial" w:hAnsi="Arial"/>
                <w:sz w:val="18"/>
                <w:szCs w:val="18"/>
                <w:color w:val="auto"/>
              </w:rPr>
              <w:t>Lease financing obligation, net of current portion</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37,983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38,426</w:t>
            </w:r>
          </w:p>
        </w:tc>
        <w:tc>
          <w:tcPr>
            <w:tcW w:w="0" w:type="dxa"/>
            <w:vAlign w:val="bottom"/>
          </w:tcPr>
          <w:p>
            <w:pPr>
              <w:spacing w:after="0"/>
              <w:rPr>
                <w:sz w:val="1"/>
                <w:szCs w:val="1"/>
                <w:color w:val="auto"/>
              </w:rPr>
            </w:pPr>
          </w:p>
        </w:tc>
      </w:tr>
      <w:tr>
        <w:trPr>
          <w:trHeight w:val="270"/>
        </w:trPr>
        <w:tc>
          <w:tcPr>
            <w:tcW w:w="6600" w:type="dxa"/>
            <w:vAlign w:val="bottom"/>
          </w:tcPr>
          <w:p>
            <w:pPr>
              <w:ind w:left="140"/>
              <w:spacing w:after="0"/>
              <w:rPr>
                <w:sz w:val="20"/>
                <w:szCs w:val="20"/>
                <w:color w:val="auto"/>
              </w:rPr>
            </w:pPr>
            <w:r>
              <w:rPr>
                <w:rFonts w:ascii="Arial" w:cs="Arial" w:eastAsia="Arial" w:hAnsi="Arial"/>
                <w:sz w:val="18"/>
                <w:szCs w:val="18"/>
                <w:color w:val="auto"/>
              </w:rPr>
              <w:t>Other long-term liabilities</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8,242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6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97,321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101,153</w:t>
            </w:r>
          </w:p>
        </w:tc>
        <w:tc>
          <w:tcPr>
            <w:tcW w:w="0" w:type="dxa"/>
            <w:vAlign w:val="bottom"/>
          </w:tcPr>
          <w:p>
            <w:pPr>
              <w:spacing w:after="0"/>
              <w:rPr>
                <w:sz w:val="1"/>
                <w:szCs w:val="1"/>
                <w:color w:val="auto"/>
              </w:rPr>
            </w:pPr>
          </w:p>
        </w:tc>
      </w:tr>
      <w:tr>
        <w:trPr>
          <w:trHeight w:val="27"/>
        </w:trPr>
        <w:tc>
          <w:tcPr>
            <w:tcW w:w="6600" w:type="dxa"/>
            <w:vAlign w:val="bottom"/>
            <w:vMerge w:val="restart"/>
          </w:tcPr>
          <w:p>
            <w:pPr>
              <w:ind w:left="20"/>
              <w:spacing w:after="0"/>
              <w:rPr>
                <w:sz w:val="20"/>
                <w:szCs w:val="20"/>
                <w:color w:val="auto"/>
              </w:rPr>
            </w:pPr>
            <w:r>
              <w:rPr>
                <w:rFonts w:ascii="Arial" w:cs="Arial" w:eastAsia="Arial" w:hAnsi="Arial"/>
                <w:sz w:val="18"/>
                <w:szCs w:val="18"/>
                <w:color w:val="auto"/>
              </w:rPr>
              <w:t>Commitments and contingencies (Note 8)</w:t>
            </w: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600" w:type="dxa"/>
            <w:vAlign w:val="bottom"/>
          </w:tcPr>
          <w:p>
            <w:pPr>
              <w:ind w:left="20"/>
              <w:spacing w:after="0"/>
              <w:rPr>
                <w:sz w:val="20"/>
                <w:szCs w:val="20"/>
                <w:color w:val="auto"/>
              </w:rPr>
            </w:pPr>
            <w:r>
              <w:rPr>
                <w:rFonts w:ascii="Arial" w:cs="Arial" w:eastAsia="Arial" w:hAnsi="Arial"/>
                <w:sz w:val="18"/>
                <w:szCs w:val="18"/>
                <w:color w:val="auto"/>
                <w:w w:val="90"/>
              </w:rPr>
              <w:t>Redeemable convertible preferred stock, $0.0001 par value, 49,192,248 shares authorized</w:t>
            </w: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w w:val="95"/>
              </w:rPr>
              <w:t>at December 31, 2020; 49,100,928 shares issued and outstanding as of December 31,</w:t>
            </w: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2020; (liquidation preference of $396,726 as of December 31, 2020)</w:t>
            </w:r>
          </w:p>
        </w:tc>
        <w:tc>
          <w:tcPr>
            <w:tcW w:w="6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376,404</w:t>
            </w:r>
          </w:p>
        </w:tc>
        <w:tc>
          <w:tcPr>
            <w:tcW w:w="0" w:type="dxa"/>
            <w:vAlign w:val="bottom"/>
          </w:tcPr>
          <w:p>
            <w:pPr>
              <w:spacing w:after="0"/>
              <w:rPr>
                <w:sz w:val="1"/>
                <w:szCs w:val="1"/>
                <w:color w:val="auto"/>
              </w:rPr>
            </w:pP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600" w:type="dxa"/>
            <w:vAlign w:val="bottom"/>
          </w:tcPr>
          <w:p>
            <w:pPr>
              <w:ind w:left="140"/>
              <w:spacing w:after="0"/>
              <w:rPr>
                <w:sz w:val="20"/>
                <w:szCs w:val="20"/>
                <w:color w:val="auto"/>
              </w:rPr>
            </w:pPr>
            <w:r>
              <w:rPr>
                <w:rFonts w:ascii="Arial" w:cs="Arial" w:eastAsia="Arial" w:hAnsi="Arial"/>
                <w:sz w:val="18"/>
                <w:szCs w:val="18"/>
                <w:color w:val="auto"/>
                <w:w w:val="90"/>
              </w:rPr>
              <w:t>Preferred stock, $0.0001 par value, 20,000,000 shares authorized at June 30, 2021, none</w:t>
            </w: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issued or outstanding as of June 30, 2021</w:t>
            </w:r>
          </w:p>
        </w:tc>
        <w:tc>
          <w:tcPr>
            <w:tcW w:w="6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600" w:type="dxa"/>
            <w:vAlign w:val="bottom"/>
          </w:tcPr>
          <w:p>
            <w:pPr>
              <w:ind w:left="140"/>
              <w:spacing w:after="0"/>
              <w:rPr>
                <w:sz w:val="20"/>
                <w:szCs w:val="20"/>
                <w:color w:val="auto"/>
              </w:rPr>
            </w:pPr>
            <w:r>
              <w:rPr>
                <w:rFonts w:ascii="Arial" w:cs="Arial" w:eastAsia="Arial" w:hAnsi="Arial"/>
                <w:sz w:val="18"/>
                <w:szCs w:val="18"/>
                <w:color w:val="auto"/>
                <w:w w:val="91"/>
              </w:rPr>
              <w:t>Common stock, $0.0001 par value, 1,000,000,000 and 150,000,000 shares authorized at</w:t>
            </w: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40"/>
              <w:spacing w:after="0"/>
              <w:rPr>
                <w:sz w:val="20"/>
                <w:szCs w:val="20"/>
                <w:color w:val="auto"/>
              </w:rPr>
            </w:pPr>
            <w:r>
              <w:rPr>
                <w:rFonts w:ascii="Arial" w:cs="Arial" w:eastAsia="Arial" w:hAnsi="Arial"/>
                <w:sz w:val="18"/>
                <w:szCs w:val="18"/>
                <w:color w:val="auto"/>
                <w:w w:val="91"/>
              </w:rPr>
              <w:t>June 30, 2021 and December 31, 2020, respectively; 90,288,407 and 34,089,186 shares</w:t>
            </w: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w w:val="98"/>
              </w:rPr>
              <w:t>issued and outstanding as of June 30, 2021 and December 31, 2020, respectively</w:t>
            </w:r>
          </w:p>
        </w:tc>
        <w:tc>
          <w:tcPr>
            <w:tcW w:w="6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6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557,285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116,055</w:t>
            </w:r>
          </w:p>
        </w:tc>
        <w:tc>
          <w:tcPr>
            <w:tcW w:w="0" w:type="dxa"/>
            <w:vAlign w:val="bottom"/>
          </w:tcPr>
          <w:p>
            <w:pPr>
              <w:spacing w:after="0"/>
              <w:rPr>
                <w:sz w:val="1"/>
                <w:szCs w:val="1"/>
                <w:color w:val="auto"/>
              </w:rPr>
            </w:pPr>
          </w:p>
        </w:tc>
      </w:tr>
      <w:tr>
        <w:trPr>
          <w:trHeight w:val="270"/>
        </w:trPr>
        <w:tc>
          <w:tcPr>
            <w:tcW w:w="660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(377,495)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(352,977)</w:t>
            </w:r>
          </w:p>
        </w:tc>
        <w:tc>
          <w:tcPr>
            <w:tcW w:w="0" w:type="dxa"/>
            <w:vAlign w:val="bottom"/>
          </w:tcPr>
          <w:p>
            <w:pPr>
              <w:spacing w:after="0"/>
              <w:rPr>
                <w:sz w:val="1"/>
                <w:szCs w:val="1"/>
                <w:color w:val="auto"/>
              </w:rPr>
            </w:pPr>
          </w:p>
        </w:tc>
      </w:tr>
      <w:tr>
        <w:trPr>
          <w:trHeight w:val="270"/>
        </w:trPr>
        <w:tc>
          <w:tcPr>
            <w:tcW w:w="6600" w:type="dxa"/>
            <w:vAlign w:val="bottom"/>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00" w:type="dxa"/>
            <w:vAlign w:val="bottom"/>
          </w:tcPr>
          <w:p>
            <w:pPr>
              <w:ind w:left="240"/>
              <w:spacing w:after="0"/>
              <w:rPr>
                <w:sz w:val="20"/>
                <w:szCs w:val="20"/>
                <w:color w:val="auto"/>
              </w:rPr>
            </w:pPr>
            <w:r>
              <w:rPr>
                <w:rFonts w:ascii="Arial" w:cs="Arial" w:eastAsia="Arial" w:hAnsi="Arial"/>
                <w:sz w:val="18"/>
                <w:szCs w:val="18"/>
                <w:color w:val="auto"/>
              </w:rPr>
              <w:t>Total stockholders’ equity (deficit)</w:t>
            </w:r>
          </w:p>
        </w:tc>
        <w:tc>
          <w:tcPr>
            <w:tcW w:w="6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179,787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(236,825)</w:t>
            </w:r>
          </w:p>
        </w:tc>
        <w:tc>
          <w:tcPr>
            <w:tcW w:w="0" w:type="dxa"/>
            <w:vAlign w:val="bottom"/>
          </w:tcPr>
          <w:p>
            <w:pPr>
              <w:spacing w:after="0"/>
              <w:rPr>
                <w:sz w:val="1"/>
                <w:szCs w:val="1"/>
                <w:color w:val="auto"/>
              </w:rPr>
            </w:pPr>
          </w:p>
        </w:tc>
      </w:tr>
      <w:tr>
        <w:trPr>
          <w:trHeight w:val="27"/>
        </w:trPr>
        <w:tc>
          <w:tcPr>
            <w:tcW w:w="6600" w:type="dxa"/>
            <w:vAlign w:val="bottom"/>
            <w:vMerge w:val="restart"/>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6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0" w:type="dxa"/>
            <w:vAlign w:val="bottom"/>
            <w:vMerge w:val="continue"/>
          </w:tcPr>
          <w:p>
            <w:pPr>
              <w:spacing w:after="0"/>
              <w:rPr>
                <w:sz w:val="18"/>
                <w:szCs w:val="18"/>
                <w:color w:val="auto"/>
              </w:rPr>
            </w:pPr>
          </w:p>
        </w:tc>
        <w:tc>
          <w:tcPr>
            <w:tcW w:w="640" w:type="dxa"/>
            <w:vAlign w:val="bottom"/>
            <w:vMerge w:val="restart"/>
          </w:tcPr>
          <w:p>
            <w:pPr>
              <w:jc w:val="right"/>
              <w:ind w:right="45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277,108</w:t>
            </w:r>
          </w:p>
        </w:tc>
        <w:tc>
          <w:tcPr>
            <w:tcW w:w="8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240,732</w:t>
            </w:r>
          </w:p>
        </w:tc>
        <w:tc>
          <w:tcPr>
            <w:tcW w:w="0" w:type="dxa"/>
            <w:vAlign w:val="bottom"/>
          </w:tcPr>
          <w:p>
            <w:pPr>
              <w:spacing w:after="0"/>
              <w:rPr>
                <w:sz w:val="1"/>
                <w:szCs w:val="1"/>
                <w:color w:val="auto"/>
              </w:rPr>
            </w:pPr>
          </w:p>
        </w:tc>
      </w:tr>
      <w:tr>
        <w:trPr>
          <w:trHeight w:val="235"/>
        </w:trPr>
        <w:tc>
          <w:tcPr>
            <w:tcW w:w="6600" w:type="dxa"/>
            <w:vAlign w:val="bottom"/>
          </w:tcPr>
          <w:p>
            <w:pPr>
              <w:ind w:left="240"/>
              <w:spacing w:after="0"/>
              <w:rPr>
                <w:sz w:val="20"/>
                <w:szCs w:val="20"/>
                <w:color w:val="auto"/>
              </w:rPr>
            </w:pPr>
            <w:r>
              <w:rPr>
                <w:rFonts w:ascii="Arial" w:cs="Arial" w:eastAsia="Arial" w:hAnsi="Arial"/>
                <w:sz w:val="18"/>
                <w:szCs w:val="18"/>
                <w:color w:val="auto"/>
              </w:rPr>
              <w:t>(deficit)</w:t>
            </w:r>
          </w:p>
        </w:tc>
        <w:tc>
          <w:tcPr>
            <w:tcW w:w="6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960"/>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ectPr>
          <w:pgSz w:w="11900" w:h="16838" w:orient="portrait"/>
          <w:cols w:equalWidth="0" w:num="1">
            <w:col w:w="10139"/>
          </w:cols>
          <w:pgMar w:left="320" w:top="769" w:right="1440"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23"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Honest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3020" w:type="dxa"/>
            <w:vAlign w:val="bottom"/>
            <w:gridSpan w:val="6"/>
          </w:tcPr>
          <w:p>
            <w:pPr>
              <w:ind w:left="60"/>
              <w:spacing w:after="0"/>
              <w:rPr>
                <w:sz w:val="20"/>
                <w:szCs w:val="20"/>
                <w:color w:val="auto"/>
              </w:rPr>
            </w:pPr>
            <w:r>
              <w:rPr>
                <w:rFonts w:ascii="Arial" w:cs="Arial" w:eastAsia="Arial" w:hAnsi="Arial"/>
                <w:sz w:val="18"/>
                <w:szCs w:val="18"/>
                <w:b w:val="1"/>
                <w:bCs w:val="1"/>
                <w:color w:val="auto"/>
                <w:w w:val="93"/>
              </w:rPr>
              <w:t>For the three months ended June 30,</w:t>
            </w:r>
          </w:p>
        </w:tc>
        <w:tc>
          <w:tcPr>
            <w:tcW w:w="120" w:type="dxa"/>
            <w:vAlign w:val="bottom"/>
          </w:tcPr>
          <w:p>
            <w:pPr>
              <w:spacing w:after="0"/>
              <w:rPr>
                <w:sz w:val="20"/>
                <w:szCs w:val="20"/>
                <w:color w:val="auto"/>
              </w:rPr>
            </w:pPr>
          </w:p>
        </w:tc>
        <w:tc>
          <w:tcPr>
            <w:tcW w:w="28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89"/>
              </w:rPr>
              <w:t>For the six months ended June 30,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26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74,576</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72,354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155,607</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144,726</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47,633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45,867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100,284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92,434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26,943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55,323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52,292</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30,091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46,788</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29,646</w:t>
            </w:r>
          </w:p>
        </w:tc>
        <w:tc>
          <w:tcPr>
            <w:tcW w:w="0" w:type="dxa"/>
            <w:vAlign w:val="bottom"/>
          </w:tcPr>
          <w:p>
            <w:pPr>
              <w:spacing w:after="0"/>
              <w:rPr>
                <w:sz w:val="1"/>
                <w:szCs w:val="1"/>
                <w:color w:val="auto"/>
              </w:rPr>
            </w:pPr>
          </w:p>
        </w:tc>
      </w:tr>
      <w:tr>
        <w:trPr>
          <w:trHeight w:val="270"/>
        </w:trPr>
        <w:tc>
          <w:tcPr>
            <w:tcW w:w="5260" w:type="dxa"/>
            <w:vAlign w:val="bottom"/>
          </w:tcPr>
          <w:p>
            <w:pPr>
              <w:ind w:left="120"/>
              <w:spacing w:after="0"/>
              <w:rPr>
                <w:sz w:val="20"/>
                <w:szCs w:val="20"/>
                <w:color w:val="auto"/>
              </w:rPr>
            </w:pPr>
            <w:r>
              <w:rPr>
                <w:rFonts w:ascii="Arial" w:cs="Arial" w:eastAsia="Arial" w:hAnsi="Arial"/>
                <w:sz w:val="18"/>
                <w:szCs w:val="18"/>
                <w:color w:val="auto"/>
              </w:rPr>
              <w:t>Marketing</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14,009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28,182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19,818</w:t>
            </w:r>
          </w:p>
        </w:tc>
        <w:tc>
          <w:tcPr>
            <w:tcW w:w="0" w:type="dxa"/>
            <w:vAlign w:val="bottom"/>
          </w:tcPr>
          <w:p>
            <w:pPr>
              <w:spacing w:after="0"/>
              <w:rPr>
                <w:sz w:val="1"/>
                <w:szCs w:val="1"/>
                <w:color w:val="auto"/>
              </w:rPr>
            </w:pPr>
          </w:p>
        </w:tc>
      </w:tr>
      <w:tr>
        <w:trPr>
          <w:trHeight w:val="270"/>
        </w:trPr>
        <w:tc>
          <w:tcPr>
            <w:tcW w:w="52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3,991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46,445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78,961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51,730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(19,502)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(23,638)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(20,012)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(24,474)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6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(20,034)</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(24,518)</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
        </w:trPr>
        <w:tc>
          <w:tcPr>
            <w:tcW w:w="5260" w:type="dxa"/>
            <w:vAlign w:val="bottom"/>
            <w:vMerge w:val="restart"/>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8"/>
                <w:szCs w:val="18"/>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302"/>
        </w:trPr>
        <w:tc>
          <w:tcPr>
            <w:tcW w:w="5260" w:type="dxa"/>
            <w:vAlign w:val="bottom"/>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26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w w:val="90"/>
              </w:rPr>
              <w:t>Weighted-average shares used in computing net income (loss) per share</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2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attributable to common stockholders: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68,079,387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34,069,346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51,184,615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34,065,173</w:t>
            </w:r>
          </w:p>
        </w:tc>
        <w:tc>
          <w:tcPr>
            <w:tcW w:w="0" w:type="dxa"/>
            <w:vAlign w:val="bottom"/>
          </w:tcPr>
          <w:p>
            <w:pPr>
              <w:spacing w:after="0"/>
              <w:rPr>
                <w:sz w:val="1"/>
                <w:szCs w:val="1"/>
                <w:color w:val="auto"/>
              </w:rPr>
            </w:pPr>
          </w:p>
        </w:tc>
      </w:tr>
      <w:tr>
        <w:trPr>
          <w:trHeight w:val="270"/>
        </w:trPr>
        <w:tc>
          <w:tcPr>
            <w:tcW w:w="526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68,079,387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34,069,346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51,184,615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35,064,356</w:t>
            </w:r>
          </w:p>
        </w:tc>
        <w:tc>
          <w:tcPr>
            <w:tcW w:w="0" w:type="dxa"/>
            <w:vAlign w:val="bottom"/>
          </w:tcPr>
          <w:p>
            <w:pPr>
              <w:spacing w:after="0"/>
              <w:rPr>
                <w:sz w:val="1"/>
                <w:szCs w:val="1"/>
                <w:color w:val="auto"/>
              </w:rPr>
            </w:pPr>
          </w:p>
        </w:tc>
      </w:tr>
      <w:tr>
        <w:trPr>
          <w:trHeight w:val="540"/>
        </w:trPr>
        <w:tc>
          <w:tcPr>
            <w:tcW w:w="52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120"/>
              <w:spacing w:after="0"/>
              <w:rPr>
                <w:sz w:val="20"/>
                <w:szCs w:val="20"/>
                <w:color w:val="auto"/>
              </w:rPr>
            </w:pPr>
            <w:r>
              <w:rPr>
                <w:rFonts w:ascii="Arial" w:cs="Arial" w:eastAsia="Arial" w:hAnsi="Arial"/>
                <w:sz w:val="18"/>
                <w:szCs w:val="18"/>
                <w:color w:val="auto"/>
              </w:rPr>
              <w:t>Unrealized gain (loss) on short-term investments, net of taxes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60" w:type="dxa"/>
            <w:vAlign w:val="bottom"/>
          </w:tcPr>
          <w:p>
            <w:pPr>
              <w:ind w:left="22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(20,058)</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(24,624)</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The Honest Company, Inc.</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i w:val="1"/>
          <w:i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 except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740" w:type="dxa"/>
            <w:vAlign w:val="bottom"/>
          </w:tcPr>
          <w:p>
            <w:pPr>
              <w:spacing w:after="0"/>
              <w:rPr>
                <w:sz w:val="19"/>
                <w:szCs w:val="19"/>
                <w:color w:val="auto"/>
              </w:rPr>
            </w:pPr>
          </w:p>
        </w:tc>
        <w:tc>
          <w:tcPr>
            <w:tcW w:w="2700" w:type="dxa"/>
            <w:vAlign w:val="bottom"/>
            <w:tcBorders>
              <w:right w:val="single" w:sz="8" w:color="auto"/>
            </w:tcBorders>
            <w:gridSpan w:val="5"/>
            <w:vMerge w:val="restart"/>
          </w:tcPr>
          <w:p>
            <w:pPr>
              <w:jc w:val="center"/>
              <w:ind w:right="80"/>
              <w:spacing w:after="0"/>
              <w:rPr>
                <w:sz w:val="20"/>
                <w:szCs w:val="20"/>
                <w:color w:val="auto"/>
              </w:rPr>
            </w:pPr>
            <w:r>
              <w:rPr>
                <w:rFonts w:ascii="Arial" w:cs="Arial" w:eastAsia="Arial" w:hAnsi="Arial"/>
                <w:sz w:val="18"/>
                <w:szCs w:val="18"/>
                <w:b w:val="1"/>
                <w:bCs w:val="1"/>
                <w:color w:val="auto"/>
                <w:w w:val="90"/>
              </w:rPr>
              <w:t>Redeemable Convertible</w:t>
            </w: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9"/>
                <w:szCs w:val="19"/>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2700" w:type="dxa"/>
            <w:vAlign w:val="bottom"/>
            <w:tcBorders>
              <w:right w:val="single" w:sz="8" w:color="auto"/>
            </w:tcBorders>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2700" w:type="dxa"/>
            <w:vAlign w:val="bottom"/>
            <w:tcBorders>
              <w:right w:val="single" w:sz="8" w:color="auto"/>
            </w:tcBorders>
            <w:gridSpan w:val="5"/>
            <w:vMerge w:val="restart"/>
          </w:tcPr>
          <w:p>
            <w:pPr>
              <w:jc w:val="center"/>
              <w:ind w:right="80"/>
              <w:spacing w:after="0"/>
              <w:rPr>
                <w:sz w:val="20"/>
                <w:szCs w:val="20"/>
                <w:color w:val="auto"/>
              </w:rPr>
            </w:pPr>
            <w:r>
              <w:rPr>
                <w:rFonts w:ascii="Arial" w:cs="Arial" w:eastAsia="Arial" w:hAnsi="Arial"/>
                <w:sz w:val="18"/>
                <w:szCs w:val="18"/>
                <w:b w:val="1"/>
                <w:bCs w:val="1"/>
                <w:color w:val="auto"/>
                <w:w w:val="90"/>
              </w:rPr>
              <w:t>Preferred Stock</w:t>
            </w:r>
          </w:p>
        </w:tc>
        <w:tc>
          <w:tcPr>
            <w:tcW w:w="60" w:type="dxa"/>
            <w:vAlign w:val="bottom"/>
          </w:tcPr>
          <w:p>
            <w:pPr>
              <w:spacing w:after="0"/>
              <w:rPr>
                <w:sz w:val="5"/>
                <w:szCs w:val="5"/>
                <w:color w:val="auto"/>
              </w:rPr>
            </w:pPr>
          </w:p>
        </w:tc>
        <w:tc>
          <w:tcPr>
            <w:tcW w:w="2100" w:type="dxa"/>
            <w:vAlign w:val="bottom"/>
            <w:gridSpan w:val="5"/>
            <w:vMerge w:val="restart"/>
          </w:tcPr>
          <w:p>
            <w:pPr>
              <w:ind w:left="420"/>
              <w:spacing w:after="0"/>
              <w:rPr>
                <w:sz w:val="20"/>
                <w:szCs w:val="20"/>
                <w:color w:val="auto"/>
              </w:rPr>
            </w:pPr>
            <w:r>
              <w:rPr>
                <w:rFonts w:ascii="Arial" w:cs="Arial" w:eastAsia="Arial" w:hAnsi="Arial"/>
                <w:sz w:val="18"/>
                <w:szCs w:val="18"/>
                <w:b w:val="1"/>
                <w:bCs w:val="1"/>
                <w:color w:val="auto"/>
              </w:rPr>
              <w:t>Common Stock</w:t>
            </w:r>
          </w:p>
        </w:tc>
        <w:tc>
          <w:tcPr>
            <w:tcW w:w="102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2700" w:type="dxa"/>
            <w:vAlign w:val="bottom"/>
            <w:tcBorders>
              <w:right w:val="single" w:sz="8" w:color="auto"/>
            </w:tcBorders>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Paid-in</w:t>
            </w:r>
          </w:p>
        </w:tc>
        <w:tc>
          <w:tcPr>
            <w:tcW w:w="1140" w:type="dxa"/>
            <w:vAlign w:val="bottom"/>
            <w:gridSpan w:val="3"/>
            <w:vMerge w:val="restart"/>
          </w:tcPr>
          <w:p>
            <w:pPr>
              <w:ind w:left="20"/>
              <w:spacing w:after="0" w:line="194" w:lineRule="exact"/>
              <w:rPr>
                <w:sz w:val="20"/>
                <w:szCs w:val="20"/>
                <w:color w:val="auto"/>
              </w:rPr>
            </w:pPr>
            <w:r>
              <w:rPr>
                <w:rFonts w:ascii="Arial" w:cs="Arial" w:eastAsia="Arial" w:hAnsi="Arial"/>
                <w:sz w:val="18"/>
                <w:szCs w:val="18"/>
                <w:b w:val="1"/>
                <w:bCs w:val="1"/>
                <w:color w:val="auto"/>
                <w:w w:val="97"/>
              </w:rPr>
              <w:t>Accumulated</w:t>
            </w:r>
          </w:p>
        </w:tc>
        <w:tc>
          <w:tcPr>
            <w:tcW w:w="1340" w:type="dxa"/>
            <w:vAlign w:val="bottom"/>
            <w:gridSpan w:val="3"/>
            <w:vMerge w:val="restart"/>
          </w:tcPr>
          <w:p>
            <w:pPr>
              <w:ind w:left="40"/>
              <w:spacing w:after="0" w:line="194" w:lineRule="exact"/>
              <w:rPr>
                <w:sz w:val="20"/>
                <w:szCs w:val="20"/>
                <w:color w:val="auto"/>
              </w:rPr>
            </w:pPr>
            <w:r>
              <w:rPr>
                <w:rFonts w:ascii="Arial" w:cs="Arial" w:eastAsia="Arial" w:hAnsi="Arial"/>
                <w:sz w:val="18"/>
                <w:szCs w:val="18"/>
                <w:b w:val="1"/>
                <w:bCs w:val="1"/>
                <w:color w:val="auto"/>
                <w:w w:val="94"/>
              </w:rPr>
              <w:t>Comprehensive</w:t>
            </w:r>
          </w:p>
        </w:tc>
        <w:tc>
          <w:tcPr>
            <w:tcW w:w="160" w:type="dxa"/>
            <w:vAlign w:val="bottom"/>
          </w:tcPr>
          <w:p>
            <w:pPr>
              <w:spacing w:after="0"/>
              <w:rPr>
                <w:sz w:val="14"/>
                <w:szCs w:val="14"/>
                <w:color w:val="auto"/>
              </w:rPr>
            </w:pPr>
          </w:p>
        </w:tc>
        <w:tc>
          <w:tcPr>
            <w:tcW w:w="920" w:type="dxa"/>
            <w:vAlign w:val="bottom"/>
            <w:vMerge w:val="restart"/>
          </w:tcPr>
          <w:p>
            <w:pPr>
              <w:jc w:val="center"/>
              <w:ind w:right="70"/>
              <w:spacing w:after="0" w:line="194" w:lineRule="exact"/>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40" w:type="dxa"/>
            <w:vAlign w:val="bottom"/>
          </w:tcPr>
          <w:p>
            <w:pPr>
              <w:spacing w:after="0"/>
              <w:rPr>
                <w:sz w:val="20"/>
                <w:szCs w:val="20"/>
                <w:color w:val="auto"/>
              </w:rPr>
            </w:pPr>
          </w:p>
        </w:tc>
        <w:tc>
          <w:tcPr>
            <w:tcW w:w="1380" w:type="dxa"/>
            <w:vAlign w:val="bottom"/>
            <w:gridSpan w:val="2"/>
          </w:tcPr>
          <w:p>
            <w:pPr>
              <w:ind w:left="40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1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Deficit</w:t>
            </w:r>
          </w:p>
        </w:tc>
        <w:tc>
          <w:tcPr>
            <w:tcW w:w="13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Income (Loss)</w:t>
            </w:r>
          </w:p>
        </w:tc>
        <w:tc>
          <w:tcPr>
            <w:tcW w:w="160" w:type="dxa"/>
            <w:vAlign w:val="bottom"/>
          </w:tcPr>
          <w:p>
            <w:pPr>
              <w:spacing w:after="0"/>
              <w:rPr>
                <w:sz w:val="20"/>
                <w:szCs w:val="20"/>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(Deficit)</w:t>
            </w:r>
          </w:p>
        </w:tc>
        <w:tc>
          <w:tcPr>
            <w:tcW w:w="0" w:type="dxa"/>
            <w:vAlign w:val="bottom"/>
          </w:tcPr>
          <w:p>
            <w:pPr>
              <w:spacing w:after="0"/>
              <w:rPr>
                <w:sz w:val="1"/>
                <w:szCs w:val="1"/>
                <w:color w:val="auto"/>
              </w:rPr>
            </w:pPr>
          </w:p>
        </w:tc>
      </w:tr>
      <w:tr>
        <w:trPr>
          <w:trHeight w:val="27"/>
        </w:trPr>
        <w:tc>
          <w:tcPr>
            <w:tcW w:w="1740" w:type="dxa"/>
            <w:vAlign w:val="bottom"/>
            <w:vMerge w:val="restart"/>
          </w:tcPr>
          <w:p>
            <w:pPr>
              <w:spacing w:after="0"/>
              <w:rPr>
                <w:sz w:val="20"/>
                <w:szCs w:val="20"/>
                <w:color w:val="auto"/>
              </w:rPr>
            </w:pPr>
            <w:r>
              <w:rPr>
                <w:rFonts w:ascii="Arial" w:cs="Arial" w:eastAsia="Arial" w:hAnsi="Arial"/>
                <w:sz w:val="18"/>
                <w:szCs w:val="18"/>
                <w:b w:val="1"/>
                <w:bCs w:val="1"/>
                <w:color w:val="auto"/>
              </w:rPr>
              <w:t>Balances at</w:t>
            </w: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1"/>
        </w:trPr>
        <w:tc>
          <w:tcPr>
            <w:tcW w:w="17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1300" w:type="dxa"/>
            <w:vAlign w:val="bottom"/>
          </w:tcPr>
          <w:p>
            <w:pPr>
              <w:jc w:val="right"/>
              <w:spacing w:after="0"/>
              <w:rPr>
                <w:sz w:val="20"/>
                <w:szCs w:val="20"/>
                <w:color w:val="auto"/>
              </w:rPr>
            </w:pPr>
            <w:r>
              <w:rPr>
                <w:rFonts w:ascii="Arial" w:cs="Arial" w:eastAsia="Arial" w:hAnsi="Arial"/>
                <w:sz w:val="18"/>
                <w:szCs w:val="18"/>
                <w:color w:val="auto"/>
              </w:rPr>
              <w:t>49,100,928</w:t>
            </w:r>
          </w:p>
        </w:tc>
        <w:tc>
          <w:tcPr>
            <w:tcW w:w="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376,404</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34,033,074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108,109</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(338,511)</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(230,277)</w:t>
            </w:r>
          </w:p>
        </w:tc>
        <w:tc>
          <w:tcPr>
            <w:tcW w:w="0" w:type="dxa"/>
            <w:vAlign w:val="bottom"/>
          </w:tcPr>
          <w:p>
            <w:pPr>
              <w:spacing w:after="0"/>
              <w:rPr>
                <w:sz w:val="1"/>
                <w:szCs w:val="1"/>
                <w:color w:val="auto"/>
              </w:rPr>
            </w:pPr>
          </w:p>
        </w:tc>
      </w:tr>
      <w:tr>
        <w:trPr>
          <w:trHeight w:val="270"/>
        </w:trPr>
        <w:tc>
          <w:tcPr>
            <w:tcW w:w="174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56"/>
        </w:trPr>
        <w:tc>
          <w:tcPr>
            <w:tcW w:w="1740" w:type="dxa"/>
            <w:vAlign w:val="bottom"/>
          </w:tcPr>
          <w:p>
            <w:pPr>
              <w:ind w:left="100"/>
              <w:spacing w:after="0"/>
              <w:rPr>
                <w:sz w:val="20"/>
                <w:szCs w:val="20"/>
                <w:color w:val="auto"/>
              </w:rPr>
            </w:pPr>
            <w:r>
              <w:rPr>
                <w:rFonts w:ascii="Arial" w:cs="Arial" w:eastAsia="Arial" w:hAnsi="Arial"/>
                <w:sz w:val="18"/>
                <w:szCs w:val="18"/>
                <w:color w:val="auto"/>
                <w:w w:val="94"/>
              </w:rPr>
              <w:t>Other comprehensive</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100"/>
              <w:spacing w:after="0"/>
              <w:rPr>
                <w:sz w:val="20"/>
                <w:szCs w:val="20"/>
                <w:color w:val="auto"/>
              </w:rPr>
            </w:pPr>
            <w:r>
              <w:rPr>
                <w:rFonts w:ascii="Arial" w:cs="Arial" w:eastAsia="Arial" w:hAnsi="Arial"/>
                <w:sz w:val="18"/>
                <w:szCs w:val="18"/>
                <w:color w:val="auto"/>
              </w:rPr>
              <w:t>loss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6"/>
        </w:trPr>
        <w:tc>
          <w:tcPr>
            <w:tcW w:w="1740" w:type="dxa"/>
            <w:vAlign w:val="bottom"/>
          </w:tcPr>
          <w:p>
            <w:pPr>
              <w:ind w:left="100"/>
              <w:spacing w:after="0"/>
              <w:rPr>
                <w:sz w:val="20"/>
                <w:szCs w:val="20"/>
                <w:color w:val="auto"/>
              </w:rPr>
            </w:pPr>
            <w:r>
              <w:rPr>
                <w:rFonts w:ascii="Arial" w:cs="Arial" w:eastAsia="Arial" w:hAnsi="Arial"/>
                <w:sz w:val="18"/>
                <w:szCs w:val="18"/>
                <w:color w:val="auto"/>
              </w:rPr>
              <w:t>Stock options</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6"/>
        </w:trPr>
        <w:tc>
          <w:tcPr>
            <w:tcW w:w="1740" w:type="dxa"/>
            <w:vAlign w:val="bottom"/>
          </w:tcPr>
          <w:p>
            <w:pPr>
              <w:ind w:left="100"/>
              <w:spacing w:after="0"/>
              <w:rPr>
                <w:sz w:val="20"/>
                <w:szCs w:val="20"/>
                <w:color w:val="auto"/>
              </w:rPr>
            </w:pPr>
            <w:r>
              <w:rPr>
                <w:rFonts w:ascii="Arial" w:cs="Arial" w:eastAsia="Arial" w:hAnsi="Arial"/>
                <w:sz w:val="18"/>
                <w:szCs w:val="18"/>
                <w:color w:val="auto"/>
              </w:rPr>
              <w:t>Stock-based</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7"/>
        </w:trPr>
        <w:tc>
          <w:tcPr>
            <w:tcW w:w="1740" w:type="dxa"/>
            <w:vAlign w:val="bottom"/>
            <w:vMerge w:val="restart"/>
          </w:tcPr>
          <w:p>
            <w:pPr>
              <w:spacing w:after="0"/>
              <w:rPr>
                <w:sz w:val="20"/>
                <w:szCs w:val="20"/>
                <w:color w:val="auto"/>
              </w:rPr>
            </w:pPr>
            <w:r>
              <w:rPr>
                <w:rFonts w:ascii="Arial" w:cs="Arial" w:eastAsia="Arial" w:hAnsi="Arial"/>
                <w:sz w:val="18"/>
                <w:szCs w:val="18"/>
                <w:b w:val="1"/>
                <w:bCs w:val="1"/>
                <w:color w:val="auto"/>
                <w:w w:val="91"/>
              </w:rPr>
              <w:t>Balances at March 31,</w:t>
            </w: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74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300" w:type="dxa"/>
            <w:vAlign w:val="bottom"/>
          </w:tcPr>
          <w:p>
            <w:pPr>
              <w:jc w:val="right"/>
              <w:spacing w:after="0"/>
              <w:rPr>
                <w:sz w:val="20"/>
                <w:szCs w:val="20"/>
                <w:color w:val="auto"/>
              </w:rPr>
            </w:pPr>
            <w:r>
              <w:rPr>
                <w:rFonts w:ascii="Arial" w:cs="Arial" w:eastAsia="Arial" w:hAnsi="Arial"/>
                <w:sz w:val="18"/>
                <w:szCs w:val="18"/>
                <w:color w:val="auto"/>
              </w:rPr>
              <w:t>49,100,928</w:t>
            </w:r>
          </w:p>
        </w:tc>
        <w:tc>
          <w:tcPr>
            <w:tcW w:w="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376,404</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34,062,494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110,045</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(337,952)</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(227,789)</w:t>
            </w:r>
          </w:p>
        </w:tc>
        <w:tc>
          <w:tcPr>
            <w:tcW w:w="0" w:type="dxa"/>
            <w:vAlign w:val="bottom"/>
          </w:tcPr>
          <w:p>
            <w:pPr>
              <w:spacing w:after="0"/>
              <w:rPr>
                <w:sz w:val="1"/>
                <w:szCs w:val="1"/>
                <w:color w:val="auto"/>
              </w:rPr>
            </w:pPr>
          </w:p>
        </w:tc>
      </w:tr>
      <w:tr>
        <w:trPr>
          <w:trHeight w:val="270"/>
        </w:trPr>
        <w:tc>
          <w:tcPr>
            <w:tcW w:w="174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56"/>
        </w:trPr>
        <w:tc>
          <w:tcPr>
            <w:tcW w:w="1740" w:type="dxa"/>
            <w:vAlign w:val="bottom"/>
          </w:tcPr>
          <w:p>
            <w:pPr>
              <w:ind w:left="100"/>
              <w:spacing w:after="0"/>
              <w:rPr>
                <w:sz w:val="20"/>
                <w:szCs w:val="20"/>
                <w:color w:val="auto"/>
              </w:rPr>
            </w:pPr>
            <w:r>
              <w:rPr>
                <w:rFonts w:ascii="Arial" w:cs="Arial" w:eastAsia="Arial" w:hAnsi="Arial"/>
                <w:sz w:val="18"/>
                <w:szCs w:val="18"/>
                <w:color w:val="auto"/>
                <w:w w:val="94"/>
              </w:rPr>
              <w:t>Other comprehensive</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100"/>
              <w:spacing w:after="0"/>
              <w:rPr>
                <w:sz w:val="20"/>
                <w:szCs w:val="20"/>
                <w:color w:val="auto"/>
              </w:rPr>
            </w:pPr>
            <w:r>
              <w:rPr>
                <w:rFonts w:ascii="Arial" w:cs="Arial" w:eastAsia="Arial" w:hAnsi="Arial"/>
                <w:sz w:val="18"/>
                <w:szCs w:val="18"/>
                <w:color w:val="auto"/>
              </w:rPr>
              <w:t>loss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56"/>
        </w:trPr>
        <w:tc>
          <w:tcPr>
            <w:tcW w:w="1740" w:type="dxa"/>
            <w:vAlign w:val="bottom"/>
          </w:tcPr>
          <w:p>
            <w:pPr>
              <w:ind w:left="100"/>
              <w:spacing w:after="0"/>
              <w:rPr>
                <w:sz w:val="20"/>
                <w:szCs w:val="20"/>
                <w:color w:val="auto"/>
              </w:rPr>
            </w:pPr>
            <w:r>
              <w:rPr>
                <w:rFonts w:ascii="Arial" w:cs="Arial" w:eastAsia="Arial" w:hAnsi="Arial"/>
                <w:sz w:val="18"/>
                <w:szCs w:val="18"/>
                <w:color w:val="auto"/>
              </w:rPr>
              <w:t>Stock options</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6"/>
        </w:trPr>
        <w:tc>
          <w:tcPr>
            <w:tcW w:w="1740" w:type="dxa"/>
            <w:vAlign w:val="bottom"/>
          </w:tcPr>
          <w:p>
            <w:pPr>
              <w:ind w:left="100"/>
              <w:spacing w:after="0"/>
              <w:rPr>
                <w:sz w:val="20"/>
                <w:szCs w:val="20"/>
                <w:color w:val="auto"/>
              </w:rPr>
            </w:pPr>
            <w:r>
              <w:rPr>
                <w:rFonts w:ascii="Arial" w:cs="Arial" w:eastAsia="Arial" w:hAnsi="Arial"/>
                <w:sz w:val="18"/>
                <w:szCs w:val="18"/>
                <w:color w:val="auto"/>
              </w:rPr>
              <w:t>Stock-based</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7"/>
        </w:trPr>
        <w:tc>
          <w:tcPr>
            <w:tcW w:w="1740" w:type="dxa"/>
            <w:vAlign w:val="bottom"/>
            <w:vMerge w:val="restart"/>
          </w:tcPr>
          <w:p>
            <w:pPr>
              <w:spacing w:after="0"/>
              <w:rPr>
                <w:sz w:val="20"/>
                <w:szCs w:val="20"/>
                <w:color w:val="auto"/>
              </w:rPr>
            </w:pPr>
            <w:r>
              <w:rPr>
                <w:rFonts w:ascii="Arial" w:cs="Arial" w:eastAsia="Arial" w:hAnsi="Arial"/>
                <w:sz w:val="18"/>
                <w:szCs w:val="18"/>
                <w:b w:val="1"/>
                <w:bCs w:val="1"/>
                <w:color w:val="auto"/>
                <w:w w:val="97"/>
              </w:rPr>
              <w:t>Balances at June 30,</w:t>
            </w: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740" w:type="dxa"/>
            <w:vAlign w:val="bottom"/>
            <w:vMerge w:val="continue"/>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49,100,928</w:t>
            </w:r>
          </w:p>
        </w:tc>
        <w:tc>
          <w:tcPr>
            <w:tcW w:w="80" w:type="dxa"/>
            <w:vAlign w:val="bottom"/>
          </w:tcPr>
          <w:p>
            <w:pPr>
              <w:spacing w:after="0"/>
              <w:rPr>
                <w:sz w:val="17"/>
                <w:szCs w:val="17"/>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376,404</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9"/>
              </w:rPr>
              <w:t>34,083,994</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112,376</w:t>
            </w:r>
          </w:p>
        </w:tc>
        <w:tc>
          <w:tcPr>
            <w:tcW w:w="80" w:type="dxa"/>
            <w:vAlign w:val="bottom"/>
          </w:tcPr>
          <w:p>
            <w:pPr>
              <w:spacing w:after="0"/>
              <w:rPr>
                <w:sz w:val="17"/>
                <w:szCs w:val="17"/>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(338,327)</w:t>
            </w:r>
          </w:p>
        </w:tc>
        <w:tc>
          <w:tcPr>
            <w:tcW w:w="8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7"/>
                <w:szCs w:val="17"/>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(225,664)</w:t>
            </w:r>
          </w:p>
        </w:tc>
        <w:tc>
          <w:tcPr>
            <w:tcW w:w="0" w:type="dxa"/>
            <w:vAlign w:val="bottom"/>
          </w:tcPr>
          <w:p>
            <w:pPr>
              <w:spacing w:after="0"/>
              <w:rPr>
                <w:sz w:val="1"/>
                <w:szCs w:val="1"/>
                <w:color w:val="auto"/>
              </w:rPr>
            </w:pPr>
          </w:p>
        </w:tc>
      </w:tr>
      <w:tr>
        <w:trPr>
          <w:trHeight w:val="279"/>
        </w:trPr>
        <w:tc>
          <w:tcPr>
            <w:tcW w:w="174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30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vMerge w:val="continue"/>
          </w:tcPr>
          <w:p>
            <w:pPr>
              <w:spacing w:after="0"/>
              <w:rPr>
                <w:sz w:val="23"/>
                <w:szCs w:val="23"/>
                <w:color w:val="auto"/>
              </w:rPr>
            </w:pPr>
          </w:p>
        </w:tc>
        <w:tc>
          <w:tcPr>
            <w:tcW w:w="1020" w:type="dxa"/>
            <w:vAlign w:val="bottom"/>
            <w:tcBorders>
              <w:bottom w:val="single" w:sz="8" w:color="auto"/>
            </w:tcBorders>
            <w:vMerge w:val="continue"/>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vMerge w:val="continue"/>
          </w:tcPr>
          <w:p>
            <w:pPr>
              <w:spacing w:after="0"/>
              <w:rPr>
                <w:sz w:val="23"/>
                <w:szCs w:val="23"/>
                <w:color w:val="auto"/>
              </w:rPr>
            </w:pPr>
          </w:p>
        </w:tc>
        <w:tc>
          <w:tcPr>
            <w:tcW w:w="86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114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92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66040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69" w:right="3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The Honest Company, Inc.</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i w:val="1"/>
          <w:i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 except share amounts)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2700" w:type="dxa"/>
            <w:vAlign w:val="bottom"/>
            <w:tcBorders>
              <w:right w:val="single" w:sz="8" w:color="auto"/>
            </w:tcBorders>
            <w:gridSpan w:val="5"/>
            <w:vMerge w:val="restart"/>
          </w:tcPr>
          <w:p>
            <w:pPr>
              <w:jc w:val="center"/>
              <w:ind w:right="100"/>
              <w:spacing w:after="0"/>
              <w:rPr>
                <w:sz w:val="20"/>
                <w:szCs w:val="20"/>
                <w:color w:val="auto"/>
              </w:rPr>
            </w:pPr>
            <w:r>
              <w:rPr>
                <w:rFonts w:ascii="Arial" w:cs="Arial" w:eastAsia="Arial" w:hAnsi="Arial"/>
                <w:sz w:val="18"/>
                <w:szCs w:val="18"/>
                <w:b w:val="1"/>
                <w:bCs w:val="1"/>
                <w:color w:val="auto"/>
                <w:w w:val="89"/>
              </w:rPr>
              <w:t>Redeemable Convertible</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0"/>
                <w:szCs w:val="20"/>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2700" w:type="dxa"/>
            <w:vAlign w:val="bottom"/>
            <w:tcBorders>
              <w:right w:val="single" w:sz="8" w:color="auto"/>
            </w:tcBorders>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2700" w:type="dxa"/>
            <w:vAlign w:val="bottom"/>
            <w:tcBorders>
              <w:right w:val="single" w:sz="8" w:color="auto"/>
            </w:tcBorders>
            <w:gridSpan w:val="5"/>
            <w:vMerge w:val="restart"/>
          </w:tcPr>
          <w:p>
            <w:pPr>
              <w:jc w:val="center"/>
              <w:ind w:right="100"/>
              <w:spacing w:after="0"/>
              <w:rPr>
                <w:sz w:val="20"/>
                <w:szCs w:val="20"/>
                <w:color w:val="auto"/>
              </w:rPr>
            </w:pPr>
            <w:r>
              <w:rPr>
                <w:rFonts w:ascii="Arial" w:cs="Arial" w:eastAsia="Arial" w:hAnsi="Arial"/>
                <w:sz w:val="18"/>
                <w:szCs w:val="18"/>
                <w:b w:val="1"/>
                <w:bCs w:val="1"/>
                <w:color w:val="auto"/>
                <w:w w:val="89"/>
              </w:rPr>
              <w:t>Preferred Stock</w:t>
            </w:r>
          </w:p>
        </w:tc>
        <w:tc>
          <w:tcPr>
            <w:tcW w:w="60" w:type="dxa"/>
            <w:vAlign w:val="bottom"/>
          </w:tcPr>
          <w:p>
            <w:pPr>
              <w:spacing w:after="0"/>
              <w:rPr>
                <w:sz w:val="5"/>
                <w:szCs w:val="5"/>
                <w:color w:val="auto"/>
              </w:rPr>
            </w:pPr>
          </w:p>
        </w:tc>
        <w:tc>
          <w:tcPr>
            <w:tcW w:w="2100" w:type="dxa"/>
            <w:vAlign w:val="bottom"/>
            <w:gridSpan w:val="5"/>
            <w:vMerge w:val="restart"/>
          </w:tcPr>
          <w:p>
            <w:pPr>
              <w:ind w:left="420"/>
              <w:spacing w:after="0"/>
              <w:rPr>
                <w:sz w:val="20"/>
                <w:szCs w:val="20"/>
                <w:color w:val="auto"/>
              </w:rPr>
            </w:pPr>
            <w:r>
              <w:rPr>
                <w:rFonts w:ascii="Arial" w:cs="Arial" w:eastAsia="Arial" w:hAnsi="Arial"/>
                <w:sz w:val="18"/>
                <w:szCs w:val="18"/>
                <w:b w:val="1"/>
                <w:bCs w:val="1"/>
                <w:color w:val="auto"/>
              </w:rPr>
              <w:t>Common Stock</w:t>
            </w:r>
          </w:p>
        </w:tc>
        <w:tc>
          <w:tcPr>
            <w:tcW w:w="102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2700" w:type="dxa"/>
            <w:vAlign w:val="bottom"/>
            <w:tcBorders>
              <w:right w:val="single" w:sz="8" w:color="auto"/>
            </w:tcBorders>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Paid-in</w:t>
            </w:r>
          </w:p>
        </w:tc>
        <w:tc>
          <w:tcPr>
            <w:tcW w:w="1140" w:type="dxa"/>
            <w:vAlign w:val="bottom"/>
            <w:gridSpan w:val="3"/>
            <w:vMerge w:val="restart"/>
          </w:tcPr>
          <w:p>
            <w:pPr>
              <w:ind w:left="20"/>
              <w:spacing w:after="0" w:line="194" w:lineRule="exact"/>
              <w:rPr>
                <w:sz w:val="20"/>
                <w:szCs w:val="20"/>
                <w:color w:val="auto"/>
              </w:rPr>
            </w:pPr>
            <w:r>
              <w:rPr>
                <w:rFonts w:ascii="Arial" w:cs="Arial" w:eastAsia="Arial" w:hAnsi="Arial"/>
                <w:sz w:val="18"/>
                <w:szCs w:val="18"/>
                <w:b w:val="1"/>
                <w:bCs w:val="1"/>
                <w:color w:val="auto"/>
                <w:w w:val="97"/>
              </w:rPr>
              <w:t>Accumulated</w:t>
            </w:r>
          </w:p>
        </w:tc>
        <w:tc>
          <w:tcPr>
            <w:tcW w:w="1340" w:type="dxa"/>
            <w:vAlign w:val="bottom"/>
            <w:gridSpan w:val="3"/>
            <w:vMerge w:val="restart"/>
          </w:tcPr>
          <w:p>
            <w:pPr>
              <w:ind w:left="40"/>
              <w:spacing w:after="0" w:line="194" w:lineRule="exact"/>
              <w:rPr>
                <w:sz w:val="20"/>
                <w:szCs w:val="20"/>
                <w:color w:val="auto"/>
              </w:rPr>
            </w:pPr>
            <w:r>
              <w:rPr>
                <w:rFonts w:ascii="Arial" w:cs="Arial" w:eastAsia="Arial" w:hAnsi="Arial"/>
                <w:sz w:val="18"/>
                <w:szCs w:val="18"/>
                <w:b w:val="1"/>
                <w:bCs w:val="1"/>
                <w:color w:val="auto"/>
                <w:w w:val="94"/>
              </w:rPr>
              <w:t>Comprehensive</w:t>
            </w:r>
          </w:p>
        </w:tc>
        <w:tc>
          <w:tcPr>
            <w:tcW w:w="160" w:type="dxa"/>
            <w:vAlign w:val="bottom"/>
          </w:tcPr>
          <w:p>
            <w:pPr>
              <w:spacing w:after="0"/>
              <w:rPr>
                <w:sz w:val="14"/>
                <w:szCs w:val="14"/>
                <w:color w:val="auto"/>
              </w:rPr>
            </w:pPr>
          </w:p>
        </w:tc>
        <w:tc>
          <w:tcPr>
            <w:tcW w:w="920" w:type="dxa"/>
            <w:vAlign w:val="bottom"/>
            <w:vMerge w:val="restart"/>
          </w:tcPr>
          <w:p>
            <w:pPr>
              <w:jc w:val="center"/>
              <w:ind w:right="70"/>
              <w:spacing w:after="0" w:line="194" w:lineRule="exact"/>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40" w:type="dxa"/>
            <w:vAlign w:val="bottom"/>
          </w:tcPr>
          <w:p>
            <w:pPr>
              <w:spacing w:after="0"/>
              <w:rPr>
                <w:sz w:val="20"/>
                <w:szCs w:val="20"/>
                <w:color w:val="auto"/>
              </w:rPr>
            </w:pPr>
          </w:p>
        </w:tc>
        <w:tc>
          <w:tcPr>
            <w:tcW w:w="138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1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Deficit</w:t>
            </w:r>
          </w:p>
        </w:tc>
        <w:tc>
          <w:tcPr>
            <w:tcW w:w="13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Income (Loss)</w:t>
            </w:r>
          </w:p>
        </w:tc>
        <w:tc>
          <w:tcPr>
            <w:tcW w:w="160" w:type="dxa"/>
            <w:vAlign w:val="bottom"/>
          </w:tcPr>
          <w:p>
            <w:pPr>
              <w:spacing w:after="0"/>
              <w:rPr>
                <w:sz w:val="20"/>
                <w:szCs w:val="20"/>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(Deficit)</w:t>
            </w:r>
          </w:p>
        </w:tc>
        <w:tc>
          <w:tcPr>
            <w:tcW w:w="0" w:type="dxa"/>
            <w:vAlign w:val="bottom"/>
          </w:tcPr>
          <w:p>
            <w:pPr>
              <w:spacing w:after="0"/>
              <w:rPr>
                <w:sz w:val="1"/>
                <w:szCs w:val="1"/>
                <w:color w:val="auto"/>
              </w:rPr>
            </w:pPr>
          </w:p>
        </w:tc>
      </w:tr>
      <w:tr>
        <w:trPr>
          <w:trHeight w:val="27"/>
        </w:trPr>
        <w:tc>
          <w:tcPr>
            <w:tcW w:w="1740" w:type="dxa"/>
            <w:vAlign w:val="bottom"/>
            <w:vMerge w:val="restart"/>
          </w:tcPr>
          <w:p>
            <w:pPr>
              <w:spacing w:after="0"/>
              <w:rPr>
                <w:sz w:val="20"/>
                <w:szCs w:val="20"/>
                <w:color w:val="auto"/>
              </w:rPr>
            </w:pPr>
            <w:r>
              <w:rPr>
                <w:rFonts w:ascii="Arial" w:cs="Arial" w:eastAsia="Arial" w:hAnsi="Arial"/>
                <w:sz w:val="18"/>
                <w:szCs w:val="18"/>
                <w:b w:val="1"/>
                <w:bCs w:val="1"/>
                <w:color w:val="auto"/>
              </w:rPr>
              <w:t>Balances at</w:t>
            </w: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74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300" w:type="dxa"/>
            <w:vAlign w:val="bottom"/>
          </w:tcPr>
          <w:p>
            <w:pPr>
              <w:jc w:val="right"/>
              <w:spacing w:after="0"/>
              <w:rPr>
                <w:sz w:val="20"/>
                <w:szCs w:val="20"/>
                <w:color w:val="auto"/>
              </w:rPr>
            </w:pPr>
            <w:r>
              <w:rPr>
                <w:rFonts w:ascii="Arial" w:cs="Arial" w:eastAsia="Arial" w:hAnsi="Arial"/>
                <w:sz w:val="18"/>
                <w:szCs w:val="18"/>
                <w:color w:val="auto"/>
              </w:rPr>
              <w:t>49,100,928</w:t>
            </w:r>
          </w:p>
        </w:tc>
        <w:tc>
          <w:tcPr>
            <w:tcW w:w="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376,404</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34,089,186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116,055</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(352,977)</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center"/>
              <w:ind w:left="710"/>
              <w:spacing w:after="0"/>
              <w:rPr>
                <w:sz w:val="20"/>
                <w:szCs w:val="20"/>
                <w:color w:val="auto"/>
              </w:rPr>
            </w:pPr>
            <w:r>
              <w:rPr>
                <w:rFonts w:ascii="Arial" w:cs="Arial" w:eastAsia="Arial" w:hAnsi="Arial"/>
                <w:sz w:val="18"/>
                <w:szCs w:val="18"/>
                <w:color w:val="auto"/>
                <w:w w:val="89"/>
              </w:rPr>
              <w:t>94</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(236,825)</w:t>
            </w:r>
          </w:p>
        </w:tc>
        <w:tc>
          <w:tcPr>
            <w:tcW w:w="0" w:type="dxa"/>
            <w:vAlign w:val="bottom"/>
          </w:tcPr>
          <w:p>
            <w:pPr>
              <w:spacing w:after="0"/>
              <w:rPr>
                <w:sz w:val="1"/>
                <w:szCs w:val="1"/>
                <w:color w:val="auto"/>
              </w:rPr>
            </w:pPr>
          </w:p>
        </w:tc>
      </w:tr>
      <w:tr>
        <w:trPr>
          <w:trHeight w:val="270"/>
        </w:trPr>
        <w:tc>
          <w:tcPr>
            <w:tcW w:w="174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ind w:left="6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(4,484)</w:t>
            </w:r>
          </w:p>
        </w:tc>
        <w:tc>
          <w:tcPr>
            <w:tcW w:w="0" w:type="dxa"/>
            <w:vAlign w:val="bottom"/>
          </w:tcPr>
          <w:p>
            <w:pPr>
              <w:spacing w:after="0"/>
              <w:rPr>
                <w:sz w:val="1"/>
                <w:szCs w:val="1"/>
                <w:color w:val="auto"/>
              </w:rPr>
            </w:pPr>
          </w:p>
        </w:tc>
      </w:tr>
      <w:tr>
        <w:trPr>
          <w:trHeight w:val="256"/>
        </w:trPr>
        <w:tc>
          <w:tcPr>
            <w:tcW w:w="1740" w:type="dxa"/>
            <w:vAlign w:val="bottom"/>
          </w:tcPr>
          <w:p>
            <w:pPr>
              <w:ind w:left="100"/>
              <w:spacing w:after="0"/>
              <w:rPr>
                <w:sz w:val="20"/>
                <w:szCs w:val="20"/>
                <w:color w:val="auto"/>
              </w:rPr>
            </w:pPr>
            <w:r>
              <w:rPr>
                <w:rFonts w:ascii="Arial" w:cs="Arial" w:eastAsia="Arial" w:hAnsi="Arial"/>
                <w:sz w:val="18"/>
                <w:szCs w:val="18"/>
                <w:color w:val="auto"/>
                <w:w w:val="94"/>
              </w:rPr>
              <w:t>Other comprehensive</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100"/>
              <w:spacing w:after="0"/>
              <w:rPr>
                <w:sz w:val="20"/>
                <w:szCs w:val="20"/>
                <w:color w:val="auto"/>
              </w:rPr>
            </w:pPr>
            <w:r>
              <w:rPr>
                <w:rFonts w:ascii="Arial" w:cs="Arial" w:eastAsia="Arial" w:hAnsi="Arial"/>
                <w:sz w:val="18"/>
                <w:szCs w:val="18"/>
                <w:color w:val="auto"/>
              </w:rPr>
              <w:t>loss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center"/>
              <w:ind w:left="670"/>
              <w:spacing w:after="0"/>
              <w:rPr>
                <w:sz w:val="20"/>
                <w:szCs w:val="20"/>
                <w:color w:val="auto"/>
              </w:rPr>
            </w:pPr>
            <w:r>
              <w:rPr>
                <w:rFonts w:ascii="Arial" w:cs="Arial" w:eastAsia="Arial" w:hAnsi="Arial"/>
                <w:sz w:val="18"/>
                <w:szCs w:val="18"/>
                <w:color w:val="auto"/>
                <w:w w:val="93"/>
              </w:rPr>
              <w:t>(82)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6"/>
        </w:trPr>
        <w:tc>
          <w:tcPr>
            <w:tcW w:w="1740" w:type="dxa"/>
            <w:vAlign w:val="bottom"/>
          </w:tcPr>
          <w:p>
            <w:pPr>
              <w:ind w:left="100"/>
              <w:spacing w:after="0"/>
              <w:rPr>
                <w:sz w:val="20"/>
                <w:szCs w:val="20"/>
                <w:color w:val="auto"/>
              </w:rPr>
            </w:pPr>
            <w:r>
              <w:rPr>
                <w:rFonts w:ascii="Arial" w:cs="Arial" w:eastAsia="Arial" w:hAnsi="Arial"/>
                <w:sz w:val="18"/>
                <w:szCs w:val="18"/>
                <w:color w:val="auto"/>
              </w:rPr>
              <w:t>Stock options</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center"/>
              <w:ind w:left="6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6"/>
        </w:trPr>
        <w:tc>
          <w:tcPr>
            <w:tcW w:w="1740" w:type="dxa"/>
            <w:vAlign w:val="bottom"/>
          </w:tcPr>
          <w:p>
            <w:pPr>
              <w:ind w:left="100"/>
              <w:spacing w:after="0"/>
              <w:rPr>
                <w:sz w:val="20"/>
                <w:szCs w:val="20"/>
                <w:color w:val="auto"/>
              </w:rPr>
            </w:pPr>
            <w:r>
              <w:rPr>
                <w:rFonts w:ascii="Arial" w:cs="Arial" w:eastAsia="Arial" w:hAnsi="Arial"/>
                <w:sz w:val="18"/>
                <w:szCs w:val="18"/>
                <w:color w:val="auto"/>
              </w:rPr>
              <w:t>Stock-based</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center"/>
              <w:ind w:left="6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7"/>
        </w:trPr>
        <w:tc>
          <w:tcPr>
            <w:tcW w:w="1740" w:type="dxa"/>
            <w:vAlign w:val="bottom"/>
            <w:vMerge w:val="restart"/>
          </w:tcPr>
          <w:p>
            <w:pPr>
              <w:spacing w:after="0"/>
              <w:rPr>
                <w:sz w:val="20"/>
                <w:szCs w:val="20"/>
                <w:color w:val="auto"/>
              </w:rPr>
            </w:pPr>
            <w:r>
              <w:rPr>
                <w:rFonts w:ascii="Arial" w:cs="Arial" w:eastAsia="Arial" w:hAnsi="Arial"/>
                <w:sz w:val="18"/>
                <w:szCs w:val="18"/>
                <w:b w:val="1"/>
                <w:bCs w:val="1"/>
                <w:color w:val="auto"/>
                <w:w w:val="91"/>
              </w:rPr>
              <w:t>Balances at March 31,</w:t>
            </w: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74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2021</w:t>
            </w:r>
          </w:p>
        </w:tc>
        <w:tc>
          <w:tcPr>
            <w:tcW w:w="1300" w:type="dxa"/>
            <w:vAlign w:val="bottom"/>
          </w:tcPr>
          <w:p>
            <w:pPr>
              <w:jc w:val="right"/>
              <w:spacing w:after="0"/>
              <w:rPr>
                <w:sz w:val="20"/>
                <w:szCs w:val="20"/>
                <w:color w:val="auto"/>
              </w:rPr>
            </w:pPr>
            <w:r>
              <w:rPr>
                <w:rFonts w:ascii="Arial" w:cs="Arial" w:eastAsia="Arial" w:hAnsi="Arial"/>
                <w:sz w:val="18"/>
                <w:szCs w:val="18"/>
                <w:color w:val="auto"/>
              </w:rPr>
              <w:t>49,100,928</w:t>
            </w:r>
          </w:p>
        </w:tc>
        <w:tc>
          <w:tcPr>
            <w:tcW w:w="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376,404</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34,127,374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117,926</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(357,461)</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center"/>
              <w:ind w:left="710"/>
              <w:spacing w:after="0"/>
              <w:rPr>
                <w:sz w:val="20"/>
                <w:szCs w:val="20"/>
                <w:color w:val="auto"/>
              </w:rPr>
            </w:pPr>
            <w:r>
              <w:rPr>
                <w:rFonts w:ascii="Arial" w:cs="Arial" w:eastAsia="Arial" w:hAnsi="Arial"/>
                <w:sz w:val="18"/>
                <w:szCs w:val="18"/>
                <w:color w:val="auto"/>
                <w:w w:val="89"/>
              </w:rPr>
              <w:t>12</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(239,520)</w:t>
            </w:r>
          </w:p>
        </w:tc>
        <w:tc>
          <w:tcPr>
            <w:tcW w:w="0" w:type="dxa"/>
            <w:vAlign w:val="bottom"/>
          </w:tcPr>
          <w:p>
            <w:pPr>
              <w:spacing w:after="0"/>
              <w:rPr>
                <w:sz w:val="1"/>
                <w:szCs w:val="1"/>
                <w:color w:val="auto"/>
              </w:rPr>
            </w:pPr>
          </w:p>
        </w:tc>
      </w:tr>
      <w:tr>
        <w:trPr>
          <w:trHeight w:val="270"/>
        </w:trPr>
        <w:tc>
          <w:tcPr>
            <w:tcW w:w="174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(20,034)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ind w:left="6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(20,034)</w:t>
            </w:r>
          </w:p>
        </w:tc>
        <w:tc>
          <w:tcPr>
            <w:tcW w:w="0" w:type="dxa"/>
            <w:vAlign w:val="bottom"/>
          </w:tcPr>
          <w:p>
            <w:pPr>
              <w:spacing w:after="0"/>
              <w:rPr>
                <w:sz w:val="1"/>
                <w:szCs w:val="1"/>
                <w:color w:val="auto"/>
              </w:rPr>
            </w:pPr>
          </w:p>
        </w:tc>
      </w:tr>
      <w:tr>
        <w:trPr>
          <w:trHeight w:val="256"/>
        </w:trPr>
        <w:tc>
          <w:tcPr>
            <w:tcW w:w="1740" w:type="dxa"/>
            <w:vAlign w:val="bottom"/>
          </w:tcPr>
          <w:p>
            <w:pPr>
              <w:ind w:left="100"/>
              <w:spacing w:after="0"/>
              <w:rPr>
                <w:sz w:val="20"/>
                <w:szCs w:val="20"/>
                <w:color w:val="auto"/>
              </w:rPr>
            </w:pPr>
            <w:r>
              <w:rPr>
                <w:rFonts w:ascii="Arial" w:cs="Arial" w:eastAsia="Arial" w:hAnsi="Arial"/>
                <w:sz w:val="18"/>
                <w:szCs w:val="18"/>
                <w:color w:val="auto"/>
                <w:w w:val="94"/>
              </w:rPr>
              <w:t>Other comprehensive</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100"/>
              <w:spacing w:after="0"/>
              <w:rPr>
                <w:sz w:val="20"/>
                <w:szCs w:val="20"/>
                <w:color w:val="auto"/>
              </w:rPr>
            </w:pPr>
            <w:r>
              <w:rPr>
                <w:rFonts w:ascii="Arial" w:cs="Arial" w:eastAsia="Arial" w:hAnsi="Arial"/>
                <w:sz w:val="18"/>
                <w:szCs w:val="18"/>
                <w:color w:val="auto"/>
              </w:rPr>
              <w:t>loss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center"/>
              <w:ind w:left="670"/>
              <w:spacing w:after="0"/>
              <w:rPr>
                <w:sz w:val="20"/>
                <w:szCs w:val="20"/>
                <w:color w:val="auto"/>
              </w:rPr>
            </w:pPr>
            <w:r>
              <w:rPr>
                <w:rFonts w:ascii="Arial" w:cs="Arial" w:eastAsia="Arial" w:hAnsi="Arial"/>
                <w:sz w:val="18"/>
                <w:szCs w:val="18"/>
                <w:color w:val="auto"/>
                <w:w w:val="93"/>
              </w:rPr>
              <w:t>(24)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6"/>
        </w:trPr>
        <w:tc>
          <w:tcPr>
            <w:tcW w:w="1740" w:type="dxa"/>
            <w:vAlign w:val="bottom"/>
          </w:tcPr>
          <w:p>
            <w:pPr>
              <w:ind w:left="100"/>
              <w:spacing w:after="0"/>
              <w:rPr>
                <w:sz w:val="20"/>
                <w:szCs w:val="20"/>
                <w:color w:val="auto"/>
              </w:rPr>
            </w:pPr>
            <w:r>
              <w:rPr>
                <w:rFonts w:ascii="Arial" w:cs="Arial" w:eastAsia="Arial" w:hAnsi="Arial"/>
                <w:sz w:val="18"/>
                <w:szCs w:val="18"/>
                <w:color w:val="auto"/>
              </w:rPr>
              <w:t>Stock options</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53,694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center"/>
              <w:ind w:left="6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56"/>
        </w:trPr>
        <w:tc>
          <w:tcPr>
            <w:tcW w:w="1740" w:type="dxa"/>
            <w:vAlign w:val="bottom"/>
          </w:tcPr>
          <w:p>
            <w:pPr>
              <w:ind w:left="100"/>
              <w:spacing w:after="0"/>
              <w:rPr>
                <w:sz w:val="20"/>
                <w:szCs w:val="20"/>
                <w:color w:val="auto"/>
              </w:rPr>
            </w:pPr>
            <w:r>
              <w:rPr>
                <w:rFonts w:ascii="Arial" w:cs="Arial" w:eastAsia="Arial" w:hAnsi="Arial"/>
                <w:sz w:val="18"/>
                <w:szCs w:val="18"/>
                <w:color w:val="auto"/>
                <w:w w:val="93"/>
              </w:rPr>
              <w:t>Dividends paid ($0.42</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100"/>
              <w:spacing w:after="0"/>
              <w:rPr>
                <w:sz w:val="20"/>
                <w:szCs w:val="20"/>
                <w:color w:val="auto"/>
              </w:rPr>
            </w:pPr>
            <w:r>
              <w:rPr>
                <w:rFonts w:ascii="Arial" w:cs="Arial" w:eastAsia="Arial" w:hAnsi="Arial"/>
                <w:sz w:val="18"/>
                <w:szCs w:val="18"/>
                <w:color w:val="auto"/>
              </w:rPr>
              <w:t>per share)</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center"/>
              <w:ind w:left="6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56"/>
        </w:trPr>
        <w:tc>
          <w:tcPr>
            <w:tcW w:w="1740" w:type="dxa"/>
            <w:vAlign w:val="bottom"/>
          </w:tcPr>
          <w:p>
            <w:pPr>
              <w:ind w:left="100"/>
              <w:spacing w:after="0"/>
              <w:rPr>
                <w:sz w:val="20"/>
                <w:szCs w:val="20"/>
                <w:color w:val="auto"/>
              </w:rPr>
            </w:pPr>
            <w:r>
              <w:rPr>
                <w:rFonts w:ascii="Arial" w:cs="Arial" w:eastAsia="Arial" w:hAnsi="Arial"/>
                <w:sz w:val="18"/>
                <w:szCs w:val="18"/>
                <w:color w:val="auto"/>
                <w:w w:val="97"/>
              </w:rPr>
              <w:t>Issuance of common</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00"/>
              <w:spacing w:after="0"/>
              <w:rPr>
                <w:sz w:val="20"/>
                <w:szCs w:val="20"/>
                <w:color w:val="auto"/>
              </w:rPr>
            </w:pPr>
            <w:r>
              <w:rPr>
                <w:rFonts w:ascii="Arial" w:cs="Arial" w:eastAsia="Arial" w:hAnsi="Arial"/>
                <w:sz w:val="18"/>
                <w:szCs w:val="18"/>
                <w:color w:val="auto"/>
              </w:rPr>
              <w:t>stock pursuant to</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00"/>
              <w:spacing w:after="0"/>
              <w:rPr>
                <w:sz w:val="20"/>
                <w:szCs w:val="20"/>
                <w:color w:val="auto"/>
              </w:rPr>
            </w:pPr>
            <w:r>
              <w:rPr>
                <w:rFonts w:ascii="Arial" w:cs="Arial" w:eastAsia="Arial" w:hAnsi="Arial"/>
                <w:sz w:val="18"/>
                <w:szCs w:val="18"/>
                <w:color w:val="auto"/>
                <w:w w:val="99"/>
              </w:rPr>
              <w:t>initial public offering,</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00"/>
              <w:spacing w:after="0"/>
              <w:rPr>
                <w:sz w:val="20"/>
                <w:szCs w:val="20"/>
                <w:color w:val="auto"/>
              </w:rPr>
            </w:pPr>
            <w:r>
              <w:rPr>
                <w:rFonts w:ascii="Arial" w:cs="Arial" w:eastAsia="Arial" w:hAnsi="Arial"/>
                <w:sz w:val="18"/>
                <w:szCs w:val="18"/>
                <w:color w:val="auto"/>
              </w:rPr>
              <w:t>net of underwriting</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00"/>
              <w:spacing w:after="0"/>
              <w:rPr>
                <w:sz w:val="20"/>
                <w:szCs w:val="20"/>
                <w:color w:val="auto"/>
              </w:rPr>
            </w:pPr>
            <w:r>
              <w:rPr>
                <w:rFonts w:ascii="Arial" w:cs="Arial" w:eastAsia="Arial" w:hAnsi="Arial"/>
                <w:sz w:val="18"/>
                <w:szCs w:val="18"/>
                <w:color w:val="auto"/>
              </w:rPr>
              <w:t>commissions and</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00"/>
              <w:spacing w:after="0"/>
              <w:rPr>
                <w:sz w:val="20"/>
                <w:szCs w:val="20"/>
                <w:color w:val="auto"/>
              </w:rPr>
            </w:pPr>
            <w:r>
              <w:rPr>
                <w:rFonts w:ascii="Arial" w:cs="Arial" w:eastAsia="Arial" w:hAnsi="Arial"/>
                <w:sz w:val="18"/>
                <w:szCs w:val="18"/>
                <w:color w:val="auto"/>
                <w:w w:val="91"/>
              </w:rPr>
              <w:t>discounts and offering</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100"/>
              <w:spacing w:after="0"/>
              <w:rPr>
                <w:sz w:val="20"/>
                <w:szCs w:val="20"/>
                <w:color w:val="auto"/>
              </w:rPr>
            </w:pPr>
            <w:r>
              <w:rPr>
                <w:rFonts w:ascii="Arial" w:cs="Arial" w:eastAsia="Arial" w:hAnsi="Arial"/>
                <w:sz w:val="18"/>
                <w:szCs w:val="18"/>
                <w:color w:val="auto"/>
                <w:w w:val="96"/>
              </w:rPr>
              <w:t>costs of $12.2 million</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6,451,613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91,038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center"/>
              <w:ind w:left="6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91,039</w:t>
            </w:r>
          </w:p>
        </w:tc>
        <w:tc>
          <w:tcPr>
            <w:tcW w:w="0" w:type="dxa"/>
            <w:vAlign w:val="bottom"/>
          </w:tcPr>
          <w:p>
            <w:pPr>
              <w:spacing w:after="0"/>
              <w:rPr>
                <w:sz w:val="1"/>
                <w:szCs w:val="1"/>
                <w:color w:val="auto"/>
              </w:rPr>
            </w:pPr>
          </w:p>
        </w:tc>
      </w:tr>
      <w:tr>
        <w:trPr>
          <w:trHeight w:val="256"/>
        </w:trPr>
        <w:tc>
          <w:tcPr>
            <w:tcW w:w="1740" w:type="dxa"/>
            <w:vAlign w:val="bottom"/>
          </w:tcPr>
          <w:p>
            <w:pPr>
              <w:ind w:left="100"/>
              <w:spacing w:after="0"/>
              <w:rPr>
                <w:sz w:val="20"/>
                <w:szCs w:val="20"/>
                <w:color w:val="auto"/>
              </w:rPr>
            </w:pPr>
            <w:r>
              <w:rPr>
                <w:rFonts w:ascii="Arial" w:cs="Arial" w:eastAsia="Arial" w:hAnsi="Arial"/>
                <w:sz w:val="18"/>
                <w:szCs w:val="18"/>
                <w:color w:val="auto"/>
              </w:rPr>
              <w:t>Conversion of</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00"/>
              <w:spacing w:after="0"/>
              <w:rPr>
                <w:sz w:val="20"/>
                <w:szCs w:val="20"/>
                <w:color w:val="auto"/>
              </w:rPr>
            </w:pPr>
            <w:r>
              <w:rPr>
                <w:rFonts w:ascii="Arial" w:cs="Arial" w:eastAsia="Arial" w:hAnsi="Arial"/>
                <w:sz w:val="18"/>
                <w:szCs w:val="18"/>
                <w:color w:val="auto"/>
              </w:rPr>
              <w:t>redeemable</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00"/>
              <w:spacing w:after="0"/>
              <w:rPr>
                <w:sz w:val="20"/>
                <w:szCs w:val="20"/>
                <w:color w:val="auto"/>
              </w:rPr>
            </w:pPr>
            <w:r>
              <w:rPr>
                <w:rFonts w:ascii="Arial" w:cs="Arial" w:eastAsia="Arial" w:hAnsi="Arial"/>
                <w:sz w:val="18"/>
                <w:szCs w:val="18"/>
                <w:color w:val="auto"/>
                <w:w w:val="98"/>
              </w:rPr>
              <w:t>convertible preferred</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00"/>
              <w:spacing w:after="0"/>
              <w:rPr>
                <w:sz w:val="20"/>
                <w:szCs w:val="20"/>
                <w:color w:val="auto"/>
              </w:rPr>
            </w:pPr>
            <w:r>
              <w:rPr>
                <w:rFonts w:ascii="Arial" w:cs="Arial" w:eastAsia="Arial" w:hAnsi="Arial"/>
                <w:sz w:val="18"/>
                <w:szCs w:val="18"/>
                <w:color w:val="auto"/>
              </w:rPr>
              <w:t>stock to common</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00"/>
              <w:spacing w:after="0"/>
              <w:rPr>
                <w:sz w:val="20"/>
                <w:szCs w:val="20"/>
                <w:color w:val="auto"/>
              </w:rPr>
            </w:pPr>
            <w:r>
              <w:rPr>
                <w:rFonts w:ascii="Arial" w:cs="Arial" w:eastAsia="Arial" w:hAnsi="Arial"/>
                <w:sz w:val="18"/>
                <w:szCs w:val="18"/>
                <w:color w:val="auto"/>
              </w:rPr>
              <w:t>stock upon initial</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100"/>
              <w:spacing w:after="0"/>
              <w:rPr>
                <w:sz w:val="20"/>
                <w:szCs w:val="20"/>
                <w:color w:val="auto"/>
              </w:rPr>
            </w:pPr>
            <w:r>
              <w:rPr>
                <w:rFonts w:ascii="Arial" w:cs="Arial" w:eastAsia="Arial" w:hAnsi="Arial"/>
                <w:sz w:val="18"/>
                <w:szCs w:val="18"/>
                <w:color w:val="auto"/>
              </w:rPr>
              <w:t>public offering</w:t>
            </w:r>
          </w:p>
        </w:tc>
        <w:tc>
          <w:tcPr>
            <w:tcW w:w="1300" w:type="dxa"/>
            <w:vAlign w:val="bottom"/>
          </w:tcPr>
          <w:p>
            <w:pPr>
              <w:jc w:val="right"/>
              <w:spacing w:after="0"/>
              <w:rPr>
                <w:sz w:val="20"/>
                <w:szCs w:val="20"/>
                <w:color w:val="auto"/>
              </w:rPr>
            </w:pPr>
            <w:r>
              <w:rPr>
                <w:rFonts w:ascii="Arial" w:cs="Arial" w:eastAsia="Arial" w:hAnsi="Arial"/>
                <w:sz w:val="18"/>
                <w:szCs w:val="18"/>
                <w:color w:val="auto"/>
              </w:rPr>
              <w:t>(49,100,928)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(376,404)</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49,649,023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376,400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376,405</w:t>
            </w:r>
          </w:p>
        </w:tc>
        <w:tc>
          <w:tcPr>
            <w:tcW w:w="0" w:type="dxa"/>
            <w:vAlign w:val="bottom"/>
          </w:tcPr>
          <w:p>
            <w:pPr>
              <w:spacing w:after="0"/>
              <w:rPr>
                <w:sz w:val="1"/>
                <w:szCs w:val="1"/>
                <w:color w:val="auto"/>
              </w:rPr>
            </w:pPr>
          </w:p>
        </w:tc>
      </w:tr>
      <w:tr>
        <w:trPr>
          <w:trHeight w:val="256"/>
        </w:trPr>
        <w:tc>
          <w:tcPr>
            <w:tcW w:w="1740" w:type="dxa"/>
            <w:vAlign w:val="bottom"/>
          </w:tcPr>
          <w:p>
            <w:pPr>
              <w:ind w:left="100"/>
              <w:spacing w:after="0"/>
              <w:rPr>
                <w:sz w:val="20"/>
                <w:szCs w:val="20"/>
                <w:color w:val="auto"/>
              </w:rPr>
            </w:pPr>
            <w:r>
              <w:rPr>
                <w:rFonts w:ascii="Arial" w:cs="Arial" w:eastAsia="Arial" w:hAnsi="Arial"/>
                <w:sz w:val="18"/>
                <w:szCs w:val="18"/>
                <w:color w:val="auto"/>
              </w:rPr>
              <w:t>Vested restricted</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100"/>
              <w:spacing w:after="0"/>
              <w:rPr>
                <w:sz w:val="20"/>
                <w:szCs w:val="20"/>
                <w:color w:val="auto"/>
              </w:rPr>
            </w:pPr>
            <w:r>
              <w:rPr>
                <w:rFonts w:ascii="Arial" w:cs="Arial" w:eastAsia="Arial" w:hAnsi="Arial"/>
                <w:sz w:val="18"/>
                <w:szCs w:val="18"/>
                <w:color w:val="auto"/>
              </w:rPr>
              <w:t>stock units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center"/>
              <w:ind w:left="6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740" w:type="dxa"/>
            <w:vAlign w:val="bottom"/>
          </w:tcPr>
          <w:p>
            <w:pPr>
              <w:ind w:left="100"/>
              <w:spacing w:after="0"/>
              <w:rPr>
                <w:sz w:val="20"/>
                <w:szCs w:val="20"/>
                <w:color w:val="auto"/>
              </w:rPr>
            </w:pPr>
            <w:r>
              <w:rPr>
                <w:rFonts w:ascii="Arial" w:cs="Arial" w:eastAsia="Arial" w:hAnsi="Arial"/>
                <w:sz w:val="18"/>
                <w:szCs w:val="18"/>
                <w:color w:val="auto"/>
              </w:rPr>
              <w:t>Stock-based</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center"/>
              <w:ind w:left="63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6,626</w:t>
            </w:r>
          </w:p>
        </w:tc>
        <w:tc>
          <w:tcPr>
            <w:tcW w:w="0" w:type="dxa"/>
            <w:vAlign w:val="bottom"/>
          </w:tcPr>
          <w:p>
            <w:pPr>
              <w:spacing w:after="0"/>
              <w:rPr>
                <w:sz w:val="1"/>
                <w:szCs w:val="1"/>
                <w:color w:val="auto"/>
              </w:rPr>
            </w:pPr>
          </w:p>
        </w:tc>
      </w:tr>
      <w:tr>
        <w:trPr>
          <w:trHeight w:val="27"/>
        </w:trPr>
        <w:tc>
          <w:tcPr>
            <w:tcW w:w="1740" w:type="dxa"/>
            <w:vAlign w:val="bottom"/>
            <w:vMerge w:val="restart"/>
          </w:tcPr>
          <w:p>
            <w:pPr>
              <w:spacing w:after="0"/>
              <w:rPr>
                <w:sz w:val="20"/>
                <w:szCs w:val="20"/>
                <w:color w:val="auto"/>
              </w:rPr>
            </w:pPr>
            <w:r>
              <w:rPr>
                <w:rFonts w:ascii="Arial" w:cs="Arial" w:eastAsia="Arial" w:hAnsi="Arial"/>
                <w:sz w:val="18"/>
                <w:szCs w:val="18"/>
                <w:b w:val="1"/>
                <w:bCs w:val="1"/>
                <w:color w:val="auto"/>
                <w:w w:val="97"/>
              </w:rPr>
              <w:t>Balances at June 30,</w:t>
            </w: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740" w:type="dxa"/>
            <w:vAlign w:val="bottom"/>
            <w:vMerge w:val="continue"/>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7"/>
                <w:szCs w:val="17"/>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vMerge w:val="restart"/>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9"/>
              </w:rPr>
              <w:t>90,288,407</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557,285</w:t>
            </w:r>
          </w:p>
        </w:tc>
        <w:tc>
          <w:tcPr>
            <w:tcW w:w="80" w:type="dxa"/>
            <w:vAlign w:val="bottom"/>
          </w:tcPr>
          <w:p>
            <w:pPr>
              <w:spacing w:after="0"/>
              <w:rPr>
                <w:sz w:val="17"/>
                <w:szCs w:val="17"/>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(377,495)</w:t>
            </w:r>
          </w:p>
        </w:tc>
        <w:tc>
          <w:tcPr>
            <w:tcW w:w="8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center"/>
              <w:ind w:left="670"/>
              <w:spacing w:after="0"/>
              <w:rPr>
                <w:sz w:val="20"/>
                <w:szCs w:val="20"/>
                <w:color w:val="auto"/>
              </w:rPr>
            </w:pPr>
            <w:r>
              <w:rPr>
                <w:rFonts w:ascii="Arial" w:cs="Arial" w:eastAsia="Arial" w:hAnsi="Arial"/>
                <w:sz w:val="18"/>
                <w:szCs w:val="18"/>
                <w:color w:val="auto"/>
                <w:w w:val="93"/>
              </w:rPr>
              <w:t>(12)</w:t>
            </w:r>
          </w:p>
        </w:tc>
        <w:tc>
          <w:tcPr>
            <w:tcW w:w="80" w:type="dxa"/>
            <w:vAlign w:val="bottom"/>
          </w:tcPr>
          <w:p>
            <w:pPr>
              <w:spacing w:after="0"/>
              <w:rPr>
                <w:sz w:val="17"/>
                <w:szCs w:val="17"/>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179,787</w:t>
            </w:r>
          </w:p>
        </w:tc>
        <w:tc>
          <w:tcPr>
            <w:tcW w:w="0" w:type="dxa"/>
            <w:vAlign w:val="bottom"/>
          </w:tcPr>
          <w:p>
            <w:pPr>
              <w:spacing w:after="0"/>
              <w:rPr>
                <w:sz w:val="1"/>
                <w:szCs w:val="1"/>
                <w:color w:val="auto"/>
              </w:rPr>
            </w:pPr>
          </w:p>
        </w:tc>
      </w:tr>
      <w:tr>
        <w:trPr>
          <w:trHeight w:val="279"/>
        </w:trPr>
        <w:tc>
          <w:tcPr>
            <w:tcW w:w="1740" w:type="dxa"/>
            <w:vAlign w:val="bottom"/>
          </w:tcPr>
          <w:p>
            <w:pPr>
              <w:spacing w:after="0"/>
              <w:rPr>
                <w:sz w:val="20"/>
                <w:szCs w:val="20"/>
                <w:color w:val="auto"/>
              </w:rPr>
            </w:pPr>
            <w:r>
              <w:rPr>
                <w:rFonts w:ascii="Arial" w:cs="Arial" w:eastAsia="Arial" w:hAnsi="Arial"/>
                <w:sz w:val="18"/>
                <w:szCs w:val="18"/>
                <w:b w:val="1"/>
                <w:bCs w:val="1"/>
                <w:color w:val="auto"/>
              </w:rPr>
              <w:t>2021</w:t>
            </w:r>
          </w:p>
        </w:tc>
        <w:tc>
          <w:tcPr>
            <w:tcW w:w="1300" w:type="dxa"/>
            <w:vAlign w:val="bottom"/>
            <w:tcBorders>
              <w:bottom w:val="single" w:sz="8" w:color="auto"/>
            </w:tcBorders>
            <w:vMerge w:val="continue"/>
          </w:tcPr>
          <w:p>
            <w:pPr>
              <w:spacing w:after="0"/>
              <w:rPr>
                <w:sz w:val="23"/>
                <w:szCs w:val="23"/>
                <w:color w:val="auto"/>
              </w:rPr>
            </w:pPr>
          </w:p>
        </w:tc>
        <w:tc>
          <w:tcPr>
            <w:tcW w:w="80" w:type="dxa"/>
            <w:vAlign w:val="bottom"/>
            <w:vMerge w:val="continue"/>
          </w:tcPr>
          <w:p>
            <w:pPr>
              <w:spacing w:after="0"/>
              <w:rPr>
                <w:sz w:val="23"/>
                <w:szCs w:val="23"/>
                <w:color w:val="auto"/>
              </w:rPr>
            </w:pPr>
          </w:p>
        </w:tc>
        <w:tc>
          <w:tcPr>
            <w:tcW w:w="200" w:type="dxa"/>
            <w:vAlign w:val="bottom"/>
            <w:tcBorders>
              <w:bottom w:val="single" w:sz="8" w:color="auto"/>
            </w:tcBorders>
            <w:vMerge w:val="continue"/>
          </w:tcPr>
          <w:p>
            <w:pPr>
              <w:spacing w:after="0"/>
              <w:rPr>
                <w:sz w:val="23"/>
                <w:szCs w:val="23"/>
                <w:color w:val="auto"/>
              </w:rPr>
            </w:pPr>
          </w:p>
        </w:tc>
        <w:tc>
          <w:tcPr>
            <w:tcW w:w="1020" w:type="dxa"/>
            <w:vAlign w:val="bottom"/>
            <w:tcBorders>
              <w:bottom w:val="single" w:sz="8" w:color="auto"/>
            </w:tcBorders>
            <w:vMerge w:val="continue"/>
          </w:tcPr>
          <w:p>
            <w:pPr>
              <w:spacing w:after="0"/>
              <w:rPr>
                <w:sz w:val="23"/>
                <w:szCs w:val="23"/>
                <w:color w:val="auto"/>
              </w:rPr>
            </w:pPr>
          </w:p>
        </w:tc>
        <w:tc>
          <w:tcPr>
            <w:tcW w:w="100" w:type="dxa"/>
            <w:vAlign w:val="bottom"/>
            <w:tcBorders>
              <w:right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vMerge w:val="continue"/>
          </w:tcPr>
          <w:p>
            <w:pPr>
              <w:spacing w:after="0"/>
              <w:rPr>
                <w:sz w:val="23"/>
                <w:szCs w:val="23"/>
                <w:color w:val="auto"/>
              </w:rPr>
            </w:pPr>
          </w:p>
        </w:tc>
        <w:tc>
          <w:tcPr>
            <w:tcW w:w="86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114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92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180"/>
          </w:cols>
          <w:pgMar w:left="360" w:top="7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95250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69" w:right="3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The Honest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328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six months ended June 30,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4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Net income (loss)</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(24,518)</w:t>
            </w:r>
          </w:p>
        </w:tc>
        <w:tc>
          <w:tcPr>
            <w:tcW w:w="100" w:type="dxa"/>
            <w:vAlign w:val="bottom"/>
          </w:tcPr>
          <w:p>
            <w:pPr>
              <w:spacing w:after="0"/>
              <w:rPr>
                <w:sz w:val="23"/>
                <w:szCs w:val="23"/>
                <w:color w:val="auto"/>
              </w:rPr>
            </w:pP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w w:val="95"/>
              </w:rPr>
              <w:t>Adjustments to reconcile net income (loss) to net cash (used in) provided by operating activities:</w:t>
            </w: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8,464</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Changes in assets and liabilities:</w:t>
            </w: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4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0"/>
        </w:trPr>
        <w:tc>
          <w:tcPr>
            <w:tcW w:w="73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(5,744)</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0"/>
        </w:trPr>
        <w:tc>
          <w:tcPr>
            <w:tcW w:w="7340" w:type="dxa"/>
            <w:vAlign w:val="bottom"/>
          </w:tcPr>
          <w:p>
            <w:pPr>
              <w:ind w:left="220"/>
              <w:spacing w:after="0"/>
              <w:rPr>
                <w:sz w:val="20"/>
                <w:szCs w:val="20"/>
                <w:color w:val="auto"/>
              </w:rPr>
            </w:pPr>
            <w:r>
              <w:rPr>
                <w:rFonts w:ascii="Arial" w:cs="Arial" w:eastAsia="Arial" w:hAnsi="Arial"/>
                <w:sz w:val="18"/>
                <w:szCs w:val="18"/>
                <w:color w:val="auto"/>
              </w:rPr>
              <w:t>Prepaid expenses and other assets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(1,896)</w:t>
            </w:r>
          </w:p>
        </w:tc>
        <w:tc>
          <w:tcPr>
            <w:tcW w:w="0" w:type="dxa"/>
            <w:vAlign w:val="bottom"/>
          </w:tcPr>
          <w:p>
            <w:pPr>
              <w:spacing w:after="0"/>
              <w:rPr>
                <w:sz w:val="1"/>
                <w:szCs w:val="1"/>
                <w:color w:val="auto"/>
              </w:rPr>
            </w:pPr>
          </w:p>
        </w:tc>
      </w:tr>
      <w:tr>
        <w:trPr>
          <w:trHeight w:val="270"/>
        </w:trPr>
        <w:tc>
          <w:tcPr>
            <w:tcW w:w="734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long-term liabilities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70"/>
        </w:trPr>
        <w:tc>
          <w:tcPr>
            <w:tcW w:w="73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40" w:type="dxa"/>
            <w:vAlign w:val="bottom"/>
          </w:tcPr>
          <w:p>
            <w:pPr>
              <w:ind w:left="340"/>
              <w:spacing w:after="0"/>
              <w:rPr>
                <w:sz w:val="20"/>
                <w:szCs w:val="20"/>
                <w:color w:val="auto"/>
              </w:rPr>
            </w:pPr>
            <w:r>
              <w:rPr>
                <w:rFonts w:ascii="Arial" w:cs="Arial" w:eastAsia="Arial" w:hAnsi="Arial"/>
                <w:sz w:val="18"/>
                <w:szCs w:val="18"/>
                <w:color w:val="auto"/>
              </w:rPr>
              <w:t>Net cash (used in) provided by operating activities</w:t>
            </w: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(32,607)</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13,486</w:t>
            </w:r>
          </w:p>
        </w:tc>
        <w:tc>
          <w:tcPr>
            <w:tcW w:w="0" w:type="dxa"/>
            <w:vAlign w:val="bottom"/>
          </w:tcPr>
          <w:p>
            <w:pPr>
              <w:spacing w:after="0"/>
              <w:rPr>
                <w:sz w:val="1"/>
                <w:szCs w:val="1"/>
                <w:color w:val="auto"/>
              </w:rPr>
            </w:pPr>
          </w:p>
        </w:tc>
      </w:tr>
      <w:tr>
        <w:trPr>
          <w:trHeight w:val="27"/>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4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Purchases of short-term investments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(54,009)</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(4,459)</w:t>
            </w: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Proceeds from sales of short-term investments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25,362</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Proceeds from maturities of short-term investments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9,207</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31,932</w:t>
            </w: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Purchases of property and equipment</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40" w:type="dxa"/>
            <w:vAlign w:val="bottom"/>
          </w:tcPr>
          <w:p>
            <w:pPr>
              <w:ind w:left="220"/>
              <w:spacing w:after="0"/>
              <w:rPr>
                <w:sz w:val="20"/>
                <w:szCs w:val="20"/>
                <w:color w:val="auto"/>
              </w:rPr>
            </w:pPr>
            <w:r>
              <w:rPr>
                <w:rFonts w:ascii="Arial" w:cs="Arial" w:eastAsia="Arial" w:hAnsi="Arial"/>
                <w:sz w:val="18"/>
                <w:szCs w:val="18"/>
                <w:color w:val="auto"/>
              </w:rPr>
              <w:t>Net cash (used in) provided by investing activities</w:t>
            </w: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(19,540)</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33,247</w:t>
            </w:r>
          </w:p>
        </w:tc>
        <w:tc>
          <w:tcPr>
            <w:tcW w:w="0" w:type="dxa"/>
            <w:vAlign w:val="bottom"/>
          </w:tcPr>
          <w:p>
            <w:pPr>
              <w:spacing w:after="0"/>
              <w:rPr>
                <w:sz w:val="1"/>
                <w:szCs w:val="1"/>
                <w:color w:val="auto"/>
              </w:rPr>
            </w:pPr>
          </w:p>
        </w:tc>
      </w:tr>
      <w:tr>
        <w:trPr>
          <w:trHeight w:val="27"/>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4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Proceeds from initial public offering, net of underwriting commissions and discounts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96,517</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Dividends paid</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(35,000)</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Payment of initial public offering costs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(4,892)</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Payments on lease obligations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40" w:type="dxa"/>
            <w:vAlign w:val="bottom"/>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56,385</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40" w:type="dxa"/>
            <w:vAlign w:val="bottom"/>
          </w:tcPr>
          <w:p>
            <w:pPr>
              <w:ind w:left="340"/>
              <w:spacing w:after="0"/>
              <w:rPr>
                <w:sz w:val="20"/>
                <w:szCs w:val="20"/>
                <w:color w:val="auto"/>
              </w:rPr>
            </w:pPr>
            <w:r>
              <w:rPr>
                <w:rFonts w:ascii="Arial" w:cs="Arial" w:eastAsia="Arial" w:hAnsi="Arial"/>
                <w:sz w:val="18"/>
                <w:szCs w:val="18"/>
                <w:color w:val="auto"/>
              </w:rPr>
              <w:t>Net increase in cash, cash equivalents and restricted cash</w:t>
            </w: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4,238</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46,256</w:t>
            </w: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37,200</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13,543</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340" w:type="dxa"/>
            <w:vAlign w:val="bottom"/>
          </w:tcPr>
          <w:p>
            <w:pPr>
              <w:spacing w:after="0"/>
              <w:rPr>
                <w:sz w:val="20"/>
                <w:szCs w:val="20"/>
                <w:color w:val="auto"/>
              </w:rPr>
            </w:pPr>
            <w:r>
              <w:rPr>
                <w:rFonts w:ascii="Arial" w:cs="Arial" w:eastAsia="Arial" w:hAnsi="Arial"/>
                <w:sz w:val="18"/>
                <w:szCs w:val="18"/>
                <w:color w:val="auto"/>
              </w:rPr>
              <w:t>End of the period</w:t>
            </w:r>
          </w:p>
        </w:tc>
        <w:tc>
          <w:tcPr>
            <w:tcW w:w="11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41,438</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59,799</w:t>
            </w:r>
          </w:p>
        </w:tc>
        <w:tc>
          <w:tcPr>
            <w:tcW w:w="0" w:type="dxa"/>
            <w:vAlign w:val="bottom"/>
          </w:tcPr>
          <w:p>
            <w:pPr>
              <w:spacing w:after="0"/>
              <w:rPr>
                <w:sz w:val="1"/>
                <w:szCs w:val="1"/>
                <w:color w:val="auto"/>
              </w:rPr>
            </w:pPr>
          </w:p>
        </w:tc>
      </w:tr>
      <w:tr>
        <w:trPr>
          <w:trHeight w:val="21"/>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w w:val="89"/>
              </w:rPr>
              <w:t>Reconciliation of cash, cash equivalents and restricted cash to the consolidated balance sheets</w:t>
            </w: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3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41,438</w:t>
            </w:r>
          </w:p>
        </w:tc>
        <w:tc>
          <w:tcPr>
            <w:tcW w:w="100" w:type="dxa"/>
            <w:vAlign w:val="bottom"/>
          </w:tcPr>
          <w:p>
            <w:pPr>
              <w:spacing w:after="0"/>
              <w:rPr>
                <w:sz w:val="23"/>
                <w:szCs w:val="23"/>
                <w:color w:val="auto"/>
              </w:rPr>
            </w:pP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51,858</w:t>
            </w: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Restricted cash, current</w:t>
            </w:r>
          </w:p>
        </w:tc>
        <w:tc>
          <w:tcPr>
            <w:tcW w:w="118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Restricted cash, non-current</w:t>
            </w:r>
          </w:p>
        </w:tc>
        <w:tc>
          <w:tcPr>
            <w:tcW w:w="118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340" w:type="dxa"/>
            <w:vAlign w:val="bottom"/>
          </w:tcPr>
          <w:p>
            <w:pPr>
              <w:ind w:left="220"/>
              <w:spacing w:after="0"/>
              <w:rPr>
                <w:sz w:val="20"/>
                <w:szCs w:val="20"/>
                <w:color w:val="auto"/>
              </w:rPr>
            </w:pPr>
            <w:r>
              <w:rPr>
                <w:rFonts w:ascii="Arial" w:cs="Arial" w:eastAsia="Arial" w:hAnsi="Arial"/>
                <w:sz w:val="18"/>
                <w:szCs w:val="18"/>
                <w:color w:val="auto"/>
              </w:rPr>
              <w:t>Total cash, cash equivalents and restricted cash</w:t>
            </w:r>
          </w:p>
        </w:tc>
        <w:tc>
          <w:tcPr>
            <w:tcW w:w="11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41,438</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59,799</w:t>
            </w:r>
          </w:p>
        </w:tc>
        <w:tc>
          <w:tcPr>
            <w:tcW w:w="0" w:type="dxa"/>
            <w:vAlign w:val="bottom"/>
          </w:tcPr>
          <w:p>
            <w:pPr>
              <w:spacing w:after="0"/>
              <w:rPr>
                <w:sz w:val="1"/>
                <w:szCs w:val="1"/>
                <w:color w:val="auto"/>
              </w:rPr>
            </w:pPr>
          </w:p>
        </w:tc>
      </w:tr>
      <w:tr>
        <w:trPr>
          <w:trHeight w:val="21"/>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noncash activities</w:t>
            </w: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73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Equipment acquired under capital lease obligations</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3"/>
                <w:szCs w:val="23"/>
                <w:color w:val="auto"/>
              </w:rPr>
            </w:pP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Deferred IPO costs included in accounts payable and accrued expenses</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3"/>
                <w:szCs w:val="23"/>
                <w:color w:val="auto"/>
              </w:rPr>
            </w:pP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Capital expenditures included in accounts payable and accrued expenses</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00"/>
          </w:cols>
          <w:pgMar w:left="340" w:top="769" w:right="359" w:bottom="8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95250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9" w:right="359" w:bottom="806"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The Honest Company,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and per share amounts, percentages and as otherwise indicated)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23"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238"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The Honest Company, Inc. (the “Company”) was incorporated in the State of California on July 19, 2011 and on May 23, 2012 was re-incorporated in the State of Delaware under the same name. The Company is a mission-driven lifestyle brand that formulates, designs and sells clean products with a focus on sustainability and thoughtful design. The Company sells its products through digital and retail sales channels in the following product categories: Diapers and Wipes, Skin and Personal Care, and Household and Wellness.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56" w:lineRule="exact"/>
        <w:rPr>
          <w:sz w:val="20"/>
          <w:szCs w:val="20"/>
          <w:color w:val="auto"/>
        </w:rPr>
      </w:pPr>
    </w:p>
    <w:p>
      <w:pPr>
        <w:ind w:right="260" w:firstLine="648"/>
        <w:spacing w:after="0" w:line="268" w:lineRule="auto"/>
        <w:rPr>
          <w:sz w:val="20"/>
          <w:szCs w:val="20"/>
          <w:color w:val="auto"/>
        </w:rPr>
      </w:pPr>
      <w:r>
        <w:rPr>
          <w:rFonts w:ascii="Arial" w:cs="Arial" w:eastAsia="Arial" w:hAnsi="Arial"/>
          <w:sz w:val="16"/>
          <w:szCs w:val="16"/>
          <w:color w:val="auto"/>
        </w:rPr>
        <w:t>The Company’s registration statement on Form S-1 (“IPO Registration Statement”) related to its initial public offering (“IPO”) was declared effective on May 4, 2021, and the Company’s common stock began trading on the Nasdaq Global Select Market on May 5, 2021. On May 7, 2021, the Company completed its IPO of 25,807,000 shares of the Company's common stock, $0.0001 par value per share at an offering price of $16.00 per share. The Company sold 6,451,613 shares and certain existing stockholders sold an aggregate of 19,355,387 shares. The Company received aggregate net proceeds of approximately $91.0 million after deducting underwriting discounts and commissions of $6.7 million and other offering expenses of</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$5.5 million, $0.6 million of which was unpaid at June 30, 2021. The Company granted the underwriters an option for a period of 30 days to purchase up to an additional 3,871,050 shares of common stock from the selling stockholders at $16.00 per share less the underwriting discounts and commissions. In May 2021, the underwriters fully exercised the option to purchase these additional shares from the selling stockholders. The Company did not receive any proceeds from the sale of shares of its common stock by the selling stockholders.</w:t>
      </w:r>
    </w:p>
    <w:p>
      <w:pPr>
        <w:spacing w:after="0" w:line="216"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Upon completion of the IPO, the Company paid $9.5 million in cash bonuses to certain employees including members of management, as well as $0.2 million in related payroll taxes and expenses. Cash bonuses of $9.1 million were recorded in sales, general and administrative expenses and</w:t>
      </w:r>
    </w:p>
    <w:p>
      <w:pPr>
        <w:ind w:right="20"/>
        <w:spacing w:after="0" w:line="260" w:lineRule="auto"/>
        <w:rPr>
          <w:sz w:val="20"/>
          <w:szCs w:val="20"/>
          <w:color w:val="auto"/>
        </w:rPr>
      </w:pPr>
      <w:r>
        <w:rPr>
          <w:rFonts w:ascii="Arial" w:cs="Arial" w:eastAsia="Arial" w:hAnsi="Arial"/>
          <w:sz w:val="18"/>
          <w:szCs w:val="18"/>
          <w:color w:val="auto"/>
        </w:rPr>
        <w:t>$0.4 million were recorded in research and development expenses in the accompanying condensed consolidated statement of operations and comprehensive income (loss) for the three and six months ended June 30, 2021.</w:t>
      </w:r>
    </w:p>
    <w:p>
      <w:pPr>
        <w:spacing w:after="0" w:line="212" w:lineRule="exact"/>
        <w:rPr>
          <w:sz w:val="20"/>
          <w:szCs w:val="20"/>
          <w:color w:val="auto"/>
        </w:rPr>
      </w:pPr>
    </w:p>
    <w:p>
      <w:pPr>
        <w:ind w:right="60" w:firstLine="648"/>
        <w:spacing w:after="0" w:line="257" w:lineRule="auto"/>
        <w:rPr>
          <w:sz w:val="20"/>
          <w:szCs w:val="20"/>
          <w:color w:val="auto"/>
        </w:rPr>
      </w:pPr>
      <w:r>
        <w:rPr>
          <w:rFonts w:ascii="Arial" w:cs="Arial" w:eastAsia="Arial" w:hAnsi="Arial"/>
          <w:sz w:val="17"/>
          <w:szCs w:val="17"/>
          <w:color w:val="auto"/>
        </w:rPr>
        <w:t>Immediately prior to the completion of the IPO, the Company filed an Amended and Restated Certificate of Incorporation, which authorized a total of 1,000,000,000 shares of common stock and 20,000,000 shares of preferred stock. Upon the filing of the Amended and Restated Certificate of Incorporation, 49,100,928 shares of the Company’s redeemable convertible preferred stock then outstanding with a carrying value of $376.4 million were automatically converted into 49,649,023 shares of the Company’s common stock. Upon completion of the IPO, the Company recognized a gain for earnings per share purposes of $29.0 million from the conversion of redeemable convertible preferred stock to common stock. Following the completion of the IPO, the Company has one class of authorized and outstanding common stock.</w:t>
      </w:r>
    </w:p>
    <w:p>
      <w:pPr>
        <w:spacing w:after="0" w:line="198" w:lineRule="exact"/>
        <w:rPr>
          <w:sz w:val="20"/>
          <w:szCs w:val="20"/>
          <w:color w:val="auto"/>
        </w:rPr>
      </w:pPr>
    </w:p>
    <w:p>
      <w:pPr>
        <w:ind w:right="7540" w:firstLine="8"/>
        <w:spacing w:after="0" w:line="534" w:lineRule="auto"/>
        <w:tabs>
          <w:tab w:leader="none" w:pos="31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2020. The condensed consolidated financial statements are unaudited. The unaudited interim condensed consolidated financial statements have been prepared on a basis consistent with that used to prepare the audited annual consolidated financial statements and include, in the opinion of management, all adjustments, consisting of normal recurring items, necessary for the fair statement of the condensed consolidated financial statements. The consolidated balance sheet as of December 31, 2020 has been derived from the audited financial statements at that date but does not include all of the disclosures required by GAAP.</w:t>
      </w:r>
    </w:p>
    <w:p>
      <w:pPr>
        <w:spacing w:after="0" w:line="16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after elimination of intercompany transactions and balances. There have been no changes in the accounting policies from those disclosed in the audited consolidated financial statements and related notes for the year ended December 31, 2020.</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Stock Split</w:t>
      </w:r>
    </w:p>
    <w:p>
      <w:pPr>
        <w:spacing w:after="0" w:line="25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April 2021, the Company effected a 1-for-2 forward stock split of its common and redeemable convertible preferred stock. In connection with the forward stock split, each issued and outstanding share of common stock, automatically and without action on the part of the holders, became two shares of common stock and each issued and outstanding share of redeemable convertible preferred stock, automatically and without action on the part of the holders, became two shares of redeemable convertible preferred stock. The par value per share of common and redeemable convertible preferred stock was not adjusted. All share, per share and related information presented in the condensed consolidated financial statements and accompanying notes have been retroactively adjusted, where applicable, to reflect the impact of the stock split.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 and Geographic Information</w:t>
      </w:r>
    </w:p>
    <w:p>
      <w:pPr>
        <w:spacing w:after="0" w:line="256"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Company’s Chief Executive Officer, as the chief operating decision maker, organizes the Company, manages resource allocations, and measures performance on the basis of one operating segment. All of the Company’s long-lived assets are located in the United States and substantially all of the Company’s revenue is from customers located in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preparation of the condensed consolidated financial statements in conformity with GAAP requires management to make estimates and assumptions that affect the reported amounts of assets and liabilities, the disclosure of contingent assets and contingent liabilities at the date of the condensed consolidated financial statements and the reported amounts of revenues and expenses during the reporting period. Actual results could differ from those estimates. The Company’s estimates, which are subject to varying degrees of judgment, include the valuation of inventories, sales returns and allowances, allowances for doubtful accounts, valuation of short-term investments, valuation of build-to-suit lease, capitalized software, useful lives associated with long-lived assets, valuation allowances with respect to deferred tax assets, accruals and contingencies, recoverability of goodwill and long-lived assets, and the valuation and assumptions underlying stock-based compensation and common stock. On an ongoing basis, the Company evaluates its estimates compared to historical experience and trends, which form the basis for making judgments about the carrying value of assets and liabilities.</w:t>
      </w:r>
    </w:p>
    <w:p>
      <w:pPr>
        <w:spacing w:after="0" w:line="16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In March 2020, the World Health Organization declared the outbreak of the novel coronavirus disease (“COVID-19”) a pandemic. The full extent to which the outbreak of the COVID-19 pandemic will impact the Company’s business, results of operations and financial condition is still unknown and will depend on future developments, which are uncertain and cannot be predicted, including, but not limited to, the duration and spread of the outbreak, its severity, the actions to contain the virus or treat its impact, and how quickly and to what extent normal economic and operating conditions can resume.</w:t>
      </w:r>
    </w:p>
    <w:p>
      <w:pPr>
        <w:spacing w:after="0" w:line="144" w:lineRule="exact"/>
        <w:rPr>
          <w:sz w:val="20"/>
          <w:szCs w:val="20"/>
          <w:color w:val="auto"/>
        </w:rPr>
      </w:pPr>
    </w:p>
    <w:p>
      <w:pPr>
        <w:ind w:firstLine="648"/>
        <w:spacing w:after="0" w:line="237" w:lineRule="auto"/>
        <w:rPr>
          <w:sz w:val="20"/>
          <w:szCs w:val="20"/>
          <w:color w:val="auto"/>
        </w:rPr>
      </w:pPr>
      <w:r>
        <w:rPr>
          <w:rFonts w:ascii="Arial" w:cs="Arial" w:eastAsia="Arial" w:hAnsi="Arial"/>
          <w:sz w:val="17"/>
          <w:szCs w:val="17"/>
          <w:color w:val="auto"/>
        </w:rPr>
        <w:t>In light of the currently unknown ultimate duration and severity of COVID-19, the Company faces a greater degree of uncertainty than normal in making certain judgments and estimates needed to apply significant accounting policies. The Company assessed certain accounting matters and estimates that generally require consideration of forecasted information in context with the information reasonably available to the Company as of the respective balance sheet dates and through the date these condensed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 For example, based on macro-Household &amp; Wellness trends, consumer demand for sanitizing and disinfecting products has decelerated at a more rapid than expected rate as more consumers have become vaccinated and retailers continue to manage heavy inventories of sanitization and disinfecting products in stores. The Company will continue to monitor and evaluate the uncertainty and volatility of these conditions and the ultimate impact on the Company’s inventory valuations in the future.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56" w:lineRule="exact"/>
        <w:rPr>
          <w:sz w:val="20"/>
          <w:szCs w:val="20"/>
          <w:color w:val="auto"/>
        </w:rPr>
      </w:pPr>
    </w:p>
    <w:p>
      <w:pPr>
        <w:jc w:val="both"/>
        <w:ind w:right="240" w:firstLine="648"/>
        <w:spacing w:after="0" w:line="279" w:lineRule="auto"/>
        <w:rPr>
          <w:sz w:val="20"/>
          <w:szCs w:val="20"/>
          <w:color w:val="auto"/>
        </w:rPr>
      </w:pPr>
      <w:r>
        <w:rPr>
          <w:rFonts w:ascii="Arial" w:cs="Arial" w:eastAsia="Arial" w:hAnsi="Arial"/>
          <w:sz w:val="17"/>
          <w:szCs w:val="17"/>
          <w:color w:val="auto"/>
        </w:rPr>
        <w:t>Cash equivalents consist of short-term, highly liquid investments with stated maturities of three months or less from the date of purchase. Cash equivalents comprise amounts invested in money market funds. Restricted cash consisted of deposits in a bank account used to collateralize the letters of credit for certain lease arrangements. The Company is no longer required to post collateral in a restricted cash account. Refer to Note 6 included in these condensed consolidated financial statements for additional information on the restricted cash account.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56"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Accounts receivable is presented net of allowances. The Company does not accrue interest on its trade receivables. On a periodic basis, the Company evaluates accounts receivable estimated to be uncollectible, and provides allowances as necessary for doubtful accounts. The allowance for doubtful accounts was $1.4 million as of June 30, 2021 and December 31, 2020.</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Deferred IPO Costs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Deferred offering costs consist of costs incurred in connection with the sale of the Company’s common stock in its IPO, including certain legal, accounting, and other IPO-related costs. As of June 30, 2021, the deferred offering costs of $5.5 million were recorded in stockholders’ equity (deficit) as a reduction from the proceeds of the offering. As of December 31, 2020, deferred offering costs of $0.5 million had been recorded in other assets on the Company’s condensed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spacing w:after="0" w:line="18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Quoted prices in active markets for identical assets or liabilities.</w:t>
      </w:r>
    </w:p>
    <w:p>
      <w:pPr>
        <w:spacing w:after="0" w:line="23" w:lineRule="exact"/>
        <w:rPr>
          <w:sz w:val="20"/>
          <w:szCs w:val="20"/>
          <w:color w:val="auto"/>
        </w:rPr>
      </w:pPr>
    </w:p>
    <w:p>
      <w:pPr>
        <w:jc w:val="both"/>
        <w:ind w:left="740" w:right="2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1" w:lineRule="exact"/>
        <w:rPr>
          <w:sz w:val="20"/>
          <w:szCs w:val="20"/>
          <w:color w:val="auto"/>
        </w:rPr>
      </w:pPr>
    </w:p>
    <w:p>
      <w:pPr>
        <w:ind w:left="740" w:right="100" w:hanging="647"/>
        <w:spacing w:after="0" w:line="277" w:lineRule="auto"/>
        <w:rPr>
          <w:sz w:val="20"/>
          <w:szCs w:val="20"/>
          <w:color w:val="auto"/>
        </w:rPr>
      </w:pPr>
      <w:r>
        <w:rPr>
          <w:rFonts w:ascii="Arial" w:cs="Arial" w:eastAsia="Arial" w:hAnsi="Arial"/>
          <w:sz w:val="17"/>
          <w:szCs w:val="17"/>
          <w:color w:val="auto"/>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20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is measured using Level 3 inputs in the fair value hierarchy.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 Not Yet Adopted</w:t>
      </w:r>
    </w:p>
    <w:p>
      <w:pPr>
        <w:spacing w:after="0" w:line="25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In February 2016, the Financial Accounting Standards Board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 subsequently amended, collectively codified under Topic 842. Topic 842 requires lessees to recognize on the balance sheet assets and liabilities for leases with lease terms of more than twelve months. Consistent with current GAAP, the recognition, measurement, and presentation of expenses and cash flows arising from a lease by a lessee primarily will depend on its classification as a finance or operating lease. However, unlike current GAAP which requires only capital leases to be recognized on the balance sheet, the new ASU will require both types of leases to be recognized on the balance sheet. ASU 2016-02 was effective for public business entities for fiscal years beginning after December 15, 2018. In June 2020, FASB issued ASU No. 2020-05,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 and Leases (Topic 842) – Effective Dates for Certain Entities</w:t>
      </w:r>
      <w:r>
        <w:rPr>
          <w:rFonts w:ascii="Arial" w:cs="Arial" w:eastAsia="Arial" w:hAnsi="Arial"/>
          <w:sz w:val="16"/>
          <w:szCs w:val="16"/>
          <w:color w:val="auto"/>
        </w:rPr>
        <w:t>, which extended the effective date of this guidance for</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non-public entities for fiscal years beginning after December 15, 2021, and interim periods within fiscal years beginning after December 15, 2022, with early adoption permitted. The Company is evaluating the adoption of this guidance and the potential effects on its consolidated financial statements. The Company anticipates the adoption of this guidance may result in a material impact to the Company’s consolidated financial statements as it relates to its build-to-suit lease and recording other operating leases on the consolidated balance sheets.</w:t>
      </w:r>
    </w:p>
    <w:p>
      <w:pPr>
        <w:spacing w:after="0" w:line="19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to amend the accounting for credit losses for certain financial instruments. This guidance replaces the incurred loss impairment methodology</w:t>
      </w:r>
      <w:r>
        <w:rPr>
          <w:rFonts w:ascii="Arial" w:cs="Arial" w:eastAsia="Arial" w:hAnsi="Arial"/>
          <w:sz w:val="18"/>
          <w:szCs w:val="18"/>
          <w:i w:val="1"/>
          <w:iCs w:val="1"/>
          <w:color w:val="auto"/>
        </w:rPr>
        <w:t xml:space="preserve"> </w:t>
      </w:r>
      <w:r>
        <w:rPr>
          <w:rFonts w:ascii="Arial" w:cs="Arial" w:eastAsia="Arial" w:hAnsi="Arial"/>
          <w:sz w:val="18"/>
          <w:szCs w:val="18"/>
          <w:color w:val="auto"/>
        </w:rPr>
        <w:t>with a methodology that reflects expected credit losses. In November 2019, FASB issued ASU No. 2019-10 which delayed the effective dates of the guidance. This guidance is effective for public business entities that meet the definition of an SEC filer, excluding entities eligible to be smaller reporting companies (“SRC”) for fiscal</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2" w:name="page13"/>
    <w:bookmarkEnd w:id="12"/>
    <w:p>
      <w:pPr>
        <w:ind w:right="180"/>
        <w:spacing w:after="0" w:line="286" w:lineRule="auto"/>
        <w:rPr>
          <w:sz w:val="20"/>
          <w:szCs w:val="20"/>
          <w:color w:val="auto"/>
        </w:rPr>
      </w:pPr>
      <w:r>
        <w:rPr>
          <w:rFonts w:ascii="Arial" w:cs="Arial" w:eastAsia="Arial" w:hAnsi="Arial"/>
          <w:sz w:val="17"/>
          <w:szCs w:val="17"/>
          <w:color w:val="auto"/>
        </w:rPr>
        <w:t>years beginning after December 15, 2019 and all other entities for fiscal years beginning after December 15, 2022, including interim periods within those fiscal years. Early adoption is permitted for fiscal years beginning after December 15, 2018, including interim periods within those fiscal years. The Company is evaluating the adoption of this guidance and the potential effects on the consolidated financial statements.</w:t>
      </w:r>
    </w:p>
    <w:p>
      <w:pPr>
        <w:spacing w:after="0" w:line="16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Goodwill and Other (Topic 350): Simplifying the Test for Goodwill Impairment.</w:t>
      </w:r>
      <w:r>
        <w:rPr>
          <w:rFonts w:ascii="Arial" w:cs="Arial" w:eastAsia="Arial" w:hAnsi="Arial"/>
          <w:sz w:val="16"/>
          <w:szCs w:val="16"/>
          <w:color w:val="auto"/>
        </w:rPr>
        <w:t xml:space="preserve"> The amendments in this guidance eliminate Step 2 from the goodwill impairment test, whereby an entity had to perform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Instead, under this amendment, an entity should perform its goodwill impairment test by comparing the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In November 2019, the FASB issued ASU No. 2019-10 which delayed the effective dates of this guidance. This guidance is effective for public business entities excluding entities eligible to be SRCs for annual and any interim impairment test performed for periods beginning after December 15, 2019. For all other entities the guidance is effective for fiscal years beginning after December 15, 2022. Early adoption is permitted for interim or annual goodwill impairment tests performed on testing dates after January 1, 2017. The Company is evaluating the adoption of this guidance and the potential effects on the consolidated financial statements.</w:t>
      </w:r>
    </w:p>
    <w:p>
      <w:pPr>
        <w:spacing w:after="0" w:line="17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This standard simplifies the accounting for income taxes by removing certain exceptions to the general principles in ASC 740 as well as by improving consistent application of the topic by clarifying and amending existing guidance. For public business entities, the ASU is effective for fiscal years, and interim periods within those fiscal years, beginning after December 15, 2020. For all other entities, the ASU is effective for fiscal years beginning after December 15, 2021, and interim periods within fiscal years beginning after December 15, 2022. Early adoption of the amendments is permitted, including adoption in any interim period for (1) public business entities for periods for which financial statements have not yet been issued and (2) all other entities for periods for which financial statements have not yet been made available for issuance. An entity that elects to early adopt the amendments in an interim period should reflect any adjustments as of the beginning of the annual period that includes that interim period. Additionally, an entity that elects early adoption must adopt all the amendments in the same period. The Company does not expect ASC 740 to have a material impact on the Company’s consolidated financial statements.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333333"/>
              </w:rPr>
              <w:t>3.</w:t>
            </w:r>
          </w:p>
        </w:tc>
        <w:tc>
          <w:tcPr>
            <w:tcW w:w="2800" w:type="dxa"/>
            <w:vAlign w:val="bottom"/>
          </w:tcPr>
          <w:p>
            <w:pPr>
              <w:jc w:val="center"/>
              <w:ind w:right="1930"/>
              <w:spacing w:after="0"/>
              <w:rPr>
                <w:sz w:val="20"/>
                <w:szCs w:val="20"/>
                <w:color w:val="auto"/>
              </w:rPr>
            </w:pPr>
            <w:r>
              <w:rPr>
                <w:rFonts w:ascii="Arial" w:cs="Arial" w:eastAsia="Arial" w:hAnsi="Arial"/>
                <w:sz w:val="18"/>
                <w:szCs w:val="18"/>
                <w:b w:val="1"/>
                <w:bCs w:val="1"/>
                <w:color w:val="333333"/>
                <w:w w:val="87"/>
              </w:rPr>
              <w:t>Revenue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400" w:type="dxa"/>
            <w:vAlign w:val="bottom"/>
            <w:gridSpan w:val="2"/>
          </w:tcPr>
          <w:p>
            <w:pPr>
              <w:jc w:val="center"/>
              <w:ind w:right="1330"/>
              <w:spacing w:after="0"/>
              <w:rPr>
                <w:sz w:val="20"/>
                <w:szCs w:val="20"/>
                <w:color w:val="auto"/>
              </w:rPr>
            </w:pPr>
            <w:r>
              <w:rPr>
                <w:rFonts w:ascii="Arial" w:cs="Arial" w:eastAsia="Arial" w:hAnsi="Arial"/>
                <w:sz w:val="18"/>
                <w:szCs w:val="18"/>
                <w:i w:val="1"/>
                <w:iCs w:val="1"/>
                <w:color w:val="auto"/>
                <w:w w:val="90"/>
              </w:rPr>
              <w:t>Disaggregation of Revenue</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400" w:type="dxa"/>
            <w:vAlign w:val="bottom"/>
            <w:gridSpan w:val="2"/>
          </w:tcPr>
          <w:p>
            <w:pPr>
              <w:ind w:left="20"/>
              <w:spacing w:after="0"/>
              <w:rPr>
                <w:sz w:val="20"/>
                <w:szCs w:val="20"/>
                <w:color w:val="auto"/>
              </w:rPr>
            </w:pPr>
            <w:r>
              <w:rPr>
                <w:rFonts w:ascii="Arial" w:cs="Arial" w:eastAsia="Arial" w:hAnsi="Arial"/>
                <w:sz w:val="20"/>
                <w:szCs w:val="20"/>
                <w:color w:val="auto"/>
              </w:rPr>
              <w:t>Revenue by sales channel:</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0" w:type="dxa"/>
            <w:vAlign w:val="bottom"/>
            <w:gridSpan w:val="8"/>
          </w:tcPr>
          <w:p>
            <w:pPr>
              <w:ind w:left="160"/>
              <w:spacing w:after="0"/>
              <w:rPr>
                <w:sz w:val="20"/>
                <w:szCs w:val="20"/>
                <w:color w:val="auto"/>
              </w:rPr>
            </w:pPr>
            <w:r>
              <w:rPr>
                <w:rFonts w:ascii="Arial" w:cs="Arial" w:eastAsia="Arial" w:hAnsi="Arial"/>
                <w:sz w:val="18"/>
                <w:szCs w:val="18"/>
                <w:b w:val="1"/>
                <w:bCs w:val="1"/>
                <w:color w:val="auto"/>
              </w:rPr>
              <w:t>For the three months ended June 30,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gridSpan w:val="5"/>
          </w:tcPr>
          <w:p>
            <w:pPr>
              <w:ind w:left="240"/>
              <w:spacing w:after="0"/>
              <w:rPr>
                <w:sz w:val="20"/>
                <w:szCs w:val="20"/>
                <w:color w:val="auto"/>
              </w:rPr>
            </w:pPr>
            <w:r>
              <w:rPr>
                <w:rFonts w:ascii="Arial" w:cs="Arial" w:eastAsia="Arial" w:hAnsi="Arial"/>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3"/>
        </w:trPr>
        <w:tc>
          <w:tcPr>
            <w:tcW w:w="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0" w:type="dxa"/>
            <w:vAlign w:val="bottom"/>
          </w:tcPr>
          <w:p>
            <w:pPr>
              <w:ind w:left="20"/>
              <w:spacing w:after="0"/>
              <w:rPr>
                <w:sz w:val="20"/>
                <w:szCs w:val="20"/>
                <w:color w:val="auto"/>
              </w:rPr>
            </w:pPr>
            <w:r>
              <w:rPr>
                <w:rFonts w:ascii="Arial" w:cs="Arial" w:eastAsia="Arial" w:hAnsi="Arial"/>
                <w:sz w:val="18"/>
                <w:szCs w:val="18"/>
                <w:color w:val="auto"/>
              </w:rPr>
              <w:t>Digital</w:t>
            </w:r>
          </w:p>
        </w:tc>
        <w:tc>
          <w:tcPr>
            <w:tcW w:w="28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34,820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ind w:right="36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46,065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77,281</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87,561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 w:type="dxa"/>
            <w:vAlign w:val="bottom"/>
          </w:tcPr>
          <w:p>
            <w:pPr>
              <w:ind w:left="20"/>
              <w:spacing w:after="0"/>
              <w:rPr>
                <w:sz w:val="20"/>
                <w:szCs w:val="20"/>
                <w:color w:val="auto"/>
              </w:rPr>
            </w:pPr>
            <w:r>
              <w:rPr>
                <w:rFonts w:ascii="Arial" w:cs="Arial" w:eastAsia="Arial" w:hAnsi="Arial"/>
                <w:sz w:val="18"/>
                <w:szCs w:val="18"/>
                <w:color w:val="auto"/>
              </w:rPr>
              <w:t>Retail</w:t>
            </w:r>
          </w:p>
        </w:tc>
        <w:tc>
          <w:tcPr>
            <w:tcW w:w="2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39,756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26,289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78,326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57,165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40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00" w:type="dxa"/>
            <w:vAlign w:val="bottom"/>
            <w:gridSpan w:val="2"/>
          </w:tcPr>
          <w:p>
            <w:pPr>
              <w:ind w:left="1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74,576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72,354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155,607</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144,726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400" w:type="dxa"/>
            <w:vAlign w:val="bottom"/>
            <w:gridSpan w:val="2"/>
            <w:vMerge w:val="restart"/>
          </w:tcPr>
          <w:p>
            <w:pPr>
              <w:ind w:left="40"/>
              <w:spacing w:after="0"/>
              <w:rPr>
                <w:sz w:val="20"/>
                <w:szCs w:val="20"/>
                <w:color w:val="auto"/>
              </w:rPr>
            </w:pPr>
            <w:r>
              <w:rPr>
                <w:rFonts w:ascii="Arial" w:cs="Arial" w:eastAsia="Arial" w:hAnsi="Arial"/>
                <w:sz w:val="20"/>
                <w:szCs w:val="20"/>
                <w:color w:val="auto"/>
              </w:rPr>
              <w:t>Revenue by product category:</w:t>
            </w: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3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0" w:type="dxa"/>
            <w:vAlign w:val="bottom"/>
            <w:gridSpan w:val="8"/>
          </w:tcPr>
          <w:p>
            <w:pPr>
              <w:ind w:left="220"/>
              <w:spacing w:after="0"/>
              <w:rPr>
                <w:sz w:val="20"/>
                <w:szCs w:val="20"/>
                <w:color w:val="auto"/>
              </w:rPr>
            </w:pPr>
            <w:r>
              <w:rPr>
                <w:rFonts w:ascii="Arial" w:cs="Arial" w:eastAsia="Arial" w:hAnsi="Arial"/>
                <w:sz w:val="18"/>
                <w:szCs w:val="18"/>
                <w:b w:val="1"/>
                <w:bCs w:val="1"/>
                <w:color w:val="auto"/>
              </w:rPr>
              <w:t>For the three months ended June 30,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gridSpan w:val="5"/>
          </w:tcPr>
          <w:p>
            <w:pPr>
              <w:ind w:left="260"/>
              <w:spacing w:after="0"/>
              <w:rPr>
                <w:sz w:val="20"/>
                <w:szCs w:val="20"/>
                <w:color w:val="auto"/>
              </w:rPr>
            </w:pPr>
            <w:r>
              <w:rPr>
                <w:rFonts w:ascii="Arial" w:cs="Arial" w:eastAsia="Arial" w:hAnsi="Arial"/>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3"/>
        </w:trPr>
        <w:tc>
          <w:tcPr>
            <w:tcW w:w="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Diapers and wipes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47,831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48,744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97,404</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99,227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Skin and personal care</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23,866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20,558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50,111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39,040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Household and wellness</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2,879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3,052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8,092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6,459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00" w:type="dxa"/>
            <w:vAlign w:val="bottom"/>
            <w:gridSpan w:val="2"/>
          </w:tcPr>
          <w:p>
            <w:pPr>
              <w:ind w:left="140"/>
              <w:spacing w:after="0"/>
              <w:rPr>
                <w:sz w:val="20"/>
                <w:szCs w:val="20"/>
                <w:color w:val="auto"/>
              </w:rPr>
            </w:pPr>
            <w:r>
              <w:rPr>
                <w:rFonts w:ascii="Arial" w:cs="Arial" w:eastAsia="Arial" w:hAnsi="Arial"/>
                <w:sz w:val="18"/>
                <w:szCs w:val="18"/>
                <w:color w:val="auto"/>
              </w:rPr>
              <w:t>Total revenue</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74,576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72,354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155,607</w:t>
            </w:r>
          </w:p>
        </w:tc>
        <w:tc>
          <w:tcPr>
            <w:tcW w:w="1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144,726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Non-Monetary Transaction</w:t>
      </w:r>
    </w:p>
    <w:p>
      <w:pPr>
        <w:spacing w:after="0" w:line="225" w:lineRule="exact"/>
        <w:rPr>
          <w:sz w:val="20"/>
          <w:szCs w:val="20"/>
          <w:color w:val="auto"/>
        </w:rPr>
      </w:pPr>
    </w:p>
    <w:p>
      <w:pPr>
        <w:ind w:right="20" w:firstLine="648"/>
        <w:spacing w:after="0" w:line="258" w:lineRule="auto"/>
        <w:rPr>
          <w:sz w:val="20"/>
          <w:szCs w:val="20"/>
          <w:color w:val="auto"/>
        </w:rPr>
      </w:pPr>
      <w:r>
        <w:rPr>
          <w:rFonts w:ascii="Arial" w:cs="Arial" w:eastAsia="Arial" w:hAnsi="Arial"/>
          <w:sz w:val="16"/>
          <w:szCs w:val="16"/>
          <w:color w:val="auto"/>
        </w:rPr>
        <w:t>In March 2021, the Company entered into $4.0 million in trade agreements with a vendor for the exchange of legacy beauty inventory for future marketing and transportation credits. The fair value of the marketing and transportation credits are recognized as revenue, with the corresponding asset included in prepaid expenses and other current assets and other assets in the accompanying condensed consolidated balance sheets. The Company may use the marketing and transportation credits over four years, with an option to extend for another two years if agreed upon by both parties. For the three and six months ended June 30, 2021, the Company recognized $0.5 million and $3.9 million, respectively, of revenue and $0.3 million and $2.2 million, respectively, of associated cost of revenue based on timing of delivery of goods. The Company assesses the recoverability of the</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3" w:name="page14"/>
    <w:bookmarkEnd w:id="13"/>
    <w:p>
      <w:pPr>
        <w:ind w:right="280"/>
        <w:spacing w:after="0" w:line="231" w:lineRule="auto"/>
        <w:rPr>
          <w:sz w:val="20"/>
          <w:szCs w:val="20"/>
          <w:color w:val="auto"/>
        </w:rPr>
      </w:pPr>
      <w:r>
        <w:rPr>
          <w:rFonts w:ascii="Arial" w:cs="Arial" w:eastAsia="Arial" w:hAnsi="Arial"/>
          <w:sz w:val="18"/>
          <w:szCs w:val="18"/>
          <w:color w:val="auto"/>
        </w:rPr>
        <w:t>marketing and transportation credits periodically. Factors considered in evaluating the recoverability include management’s plans with respect to advertising, freight and other services for which these credits can be used. Any impairment losses are charged to operations as they are determinable. During the three and six months ended June 30, 2021, the Company recorded no impairment losses related to these credits and an immaterial amount of credits have been used.</w:t>
      </w:r>
    </w:p>
    <w:p>
      <w:pPr>
        <w:spacing w:after="0" w:line="212"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June 30, 2021 and December 31, 2020, all investments in debt securities are classified as available-for-sale investments. All investments are reported within current assets because the securities represent investments of cash available for current operations. As of June 30, 2021 and December 31, 2020, the Company held $36.9 million and $27.5 million, respectively, of investments with contractual maturities of less than one year. As of June 30, 2021 and December 31, 2020, the Company held $16.8 million and $6.9 million, respectively, of investments with contractual maturities between one and two years. Available-for-sale investments are recorded at fair value, and unrealized holding gains and losses are recorded as a component of other comprehensive income (loss). The following table summarizes the Company’s available-for-sale investments: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ind w:left="800"/>
              <w:spacing w:after="0"/>
              <w:rPr>
                <w:sz w:val="20"/>
                <w:szCs w:val="20"/>
                <w:color w:val="auto"/>
              </w:rPr>
            </w:pPr>
            <w:r>
              <w:rPr>
                <w:rFonts w:ascii="Arial" w:cs="Arial" w:eastAsia="Arial" w:hAnsi="Arial"/>
                <w:sz w:val="18"/>
                <w:szCs w:val="18"/>
                <w:b w:val="1"/>
                <w:bCs w:val="1"/>
                <w:color w:val="auto"/>
              </w:rPr>
              <w:t>As of June 30, 2021</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460" w:type="dxa"/>
            <w:vAlign w:val="bottom"/>
          </w:tcPr>
          <w:p>
            <w:pPr>
              <w:spacing w:after="0"/>
              <w:rPr>
                <w:sz w:val="18"/>
                <w:szCs w:val="18"/>
                <w:color w:val="auto"/>
              </w:rPr>
            </w:pP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Cost or Amortized</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Gross Unrealized</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Gross Unrealized</w:t>
            </w:r>
          </w:p>
        </w:tc>
        <w:tc>
          <w:tcPr>
            <w:tcW w:w="16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Total Estimated</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4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18"/>
                <w:szCs w:val="18"/>
                <w:color w:val="auto"/>
              </w:rPr>
              <w:t>Corporate bonds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22,787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22,776</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24,901</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18"/>
                <w:szCs w:val="18"/>
                <w:color w:val="auto"/>
              </w:rPr>
              <w:t>U.S. government and agency securities</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Pr>
          <w:p>
            <w:pPr>
              <w:ind w:left="100"/>
              <w:spacing w:after="0"/>
              <w:rPr>
                <w:sz w:val="20"/>
                <w:szCs w:val="20"/>
                <w:color w:val="auto"/>
              </w:rPr>
            </w:pPr>
            <w:r>
              <w:rPr>
                <w:rFonts w:ascii="Arial" w:cs="Arial" w:eastAsia="Arial" w:hAnsi="Arial"/>
                <w:sz w:val="18"/>
                <w:szCs w:val="18"/>
                <w:color w:val="auto"/>
              </w:rPr>
              <w:t>Total investments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53,686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ind w:left="580"/>
              <w:spacing w:after="0"/>
              <w:rPr>
                <w:sz w:val="20"/>
                <w:szCs w:val="20"/>
                <w:color w:val="auto"/>
              </w:rPr>
            </w:pPr>
            <w:r>
              <w:rPr>
                <w:rFonts w:ascii="Arial" w:cs="Arial" w:eastAsia="Arial" w:hAnsi="Arial"/>
                <w:sz w:val="18"/>
                <w:szCs w:val="18"/>
                <w:b w:val="1"/>
                <w:bCs w:val="1"/>
                <w:color w:val="auto"/>
              </w:rPr>
              <w:t>As of December 31, 2020</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5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Cost or Amortized</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Gross Unrealized</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Unrealized</w:t>
            </w:r>
          </w:p>
        </w:tc>
        <w:tc>
          <w:tcPr>
            <w:tcW w:w="16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Total Estimated</w:t>
            </w: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580" w:type="dxa"/>
            <w:vAlign w:val="bottom"/>
            <w:gridSpan w:val="2"/>
          </w:tcPr>
          <w:p>
            <w:pPr>
              <w:ind w:left="440"/>
              <w:spacing w:after="0"/>
              <w:rPr>
                <w:sz w:val="20"/>
                <w:szCs w:val="20"/>
                <w:color w:val="auto"/>
              </w:rPr>
            </w:pPr>
            <w:r>
              <w:rPr>
                <w:rFonts w:ascii="Arial" w:cs="Arial" w:eastAsia="Arial" w:hAnsi="Arial"/>
                <w:sz w:val="18"/>
                <w:szCs w:val="18"/>
                <w:b w:val="1"/>
                <w:bCs w:val="1"/>
                <w:color w:val="auto"/>
              </w:rPr>
              <w:t>Losses</w:t>
            </w:r>
          </w:p>
        </w:tc>
        <w:tc>
          <w:tcPr>
            <w:tcW w:w="16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5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Corporate bonds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22,894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ind w:left="124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22,949</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U.S. government and agency securities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00" w:type="dxa"/>
            <w:vAlign w:val="bottom"/>
          </w:tcPr>
          <w:p>
            <w:pPr>
              <w:ind w:left="120"/>
              <w:spacing w:after="0"/>
              <w:rPr>
                <w:sz w:val="20"/>
                <w:szCs w:val="20"/>
                <w:color w:val="auto"/>
              </w:rPr>
            </w:pPr>
            <w:r>
              <w:rPr>
                <w:rFonts w:ascii="Arial" w:cs="Arial" w:eastAsia="Arial" w:hAnsi="Arial"/>
                <w:sz w:val="18"/>
                <w:szCs w:val="18"/>
                <w:color w:val="auto"/>
              </w:rPr>
              <w:t>Total investments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34,331</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Realized gains and losses on investments in debt securities were immaterial for the three and six months ended June 30, 2021 and 2020.</w:t>
      </w:r>
    </w:p>
    <w:p>
      <w:pPr>
        <w:spacing w:after="0" w:line="260"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measured and recorded at fair value on a recurring basis consist of the following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14" w:name="page15"/>
    <w:bookmarkEnd w:id="14"/>
    <w:tbl>
      <w:tblPr>
        <w:tblLayout w:type="fixed"/>
        <w:tblInd w:w="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June 30, 2021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b w:val="1"/>
                <w:bCs w:val="1"/>
                <w:color w:val="auto"/>
              </w:rPr>
              <w:t>Cash equivalents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17,300</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17,300</w:t>
            </w:r>
          </w:p>
        </w:tc>
      </w:tr>
      <w:tr>
        <w:trPr>
          <w:trHeight w:val="304"/>
        </w:trPr>
        <w:tc>
          <w:tcPr>
            <w:tcW w:w="4500" w:type="dxa"/>
            <w:vAlign w:val="bottom"/>
          </w:tcPr>
          <w:p>
            <w:pPr>
              <w:ind w:left="100"/>
              <w:spacing w:after="0"/>
              <w:rPr>
                <w:sz w:val="20"/>
                <w:szCs w:val="20"/>
                <w:color w:val="auto"/>
              </w:rPr>
            </w:pPr>
            <w:r>
              <w:rPr>
                <w:rFonts w:ascii="Arial" w:cs="Arial" w:eastAsia="Arial" w:hAnsi="Arial"/>
                <w:sz w:val="18"/>
                <w:szCs w:val="18"/>
                <w:color w:val="auto"/>
              </w:rPr>
              <w:t>Corporate bonds</w:t>
            </w:r>
            <w:r>
              <w:rPr>
                <w:rFonts w:ascii="Arial" w:cs="Arial" w:eastAsia="Arial" w:hAnsi="Arial"/>
                <w:sz w:val="23"/>
                <w:szCs w:val="23"/>
                <w:color w:val="auto"/>
                <w:vertAlign w:val="superscript"/>
              </w:rPr>
              <w:t>(1)</w:t>
            </w:r>
          </w:p>
        </w:tc>
        <w:tc>
          <w:tcPr>
            <w:tcW w:w="32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63"/>
        </w:trPr>
        <w:tc>
          <w:tcPr>
            <w:tcW w:w="4500" w:type="dxa"/>
            <w:vAlign w:val="bottom"/>
          </w:tcPr>
          <w:p>
            <w:pPr>
              <w:ind w:left="100"/>
              <w:spacing w:after="0" w:line="26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r>
      <w:tr>
        <w:trPr>
          <w:trHeight w:val="237"/>
        </w:trPr>
        <w:tc>
          <w:tcPr>
            <w:tcW w:w="4500" w:type="dxa"/>
            <w:vAlign w:val="bottom"/>
          </w:tcPr>
          <w:p>
            <w:pPr>
              <w:spacing w:after="0"/>
              <w:rPr>
                <w:sz w:val="20"/>
                <w:szCs w:val="20"/>
                <w:color w:val="auto"/>
              </w:rPr>
            </w:pPr>
            <w:r>
              <w:rPr>
                <w:rFonts w:ascii="Arial" w:cs="Arial" w:eastAsia="Arial" w:hAnsi="Arial"/>
                <w:sz w:val="18"/>
                <w:szCs w:val="18"/>
                <w:color w:val="auto"/>
              </w:rPr>
              <w:t>Total cash equivalents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3,933</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21,233</w:t>
            </w:r>
          </w:p>
        </w:tc>
      </w:tr>
      <w:tr>
        <w:trPr>
          <w:trHeight w:val="270"/>
        </w:trPr>
        <w:tc>
          <w:tcPr>
            <w:tcW w:w="450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22,776</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22,776</w:t>
            </w: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24,901</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24,901</w:t>
            </w: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U.S. government and agency securities</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5,996</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5,996</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53,673</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53,673</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17,300</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57,606</w:t>
            </w:r>
          </w:p>
        </w:tc>
        <w:tc>
          <w:tcPr>
            <w:tcW w:w="80" w:type="dxa"/>
            <w:vAlign w:val="bottom"/>
          </w:tcPr>
          <w:p>
            <w:pPr>
              <w:spacing w:after="0"/>
              <w:rPr>
                <w:sz w:val="22"/>
                <w:szCs w:val="22"/>
                <w:color w:val="auto"/>
              </w:rPr>
            </w:pP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74,906</w:t>
            </w:r>
          </w:p>
        </w:tc>
      </w:tr>
      <w:tr>
        <w:trPr>
          <w:trHeight w:val="20"/>
        </w:trPr>
        <w:tc>
          <w:tcPr>
            <w:tcW w:w="4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3"/>
          <w:szCs w:val="13"/>
          <w:color w:val="auto"/>
        </w:rPr>
      </w:pPr>
      <w:r>
        <w:rPr>
          <w:rFonts w:ascii="Arial" w:cs="Arial" w:eastAsia="Arial" w:hAnsi="Arial"/>
          <w:sz w:val="12"/>
          <w:szCs w:val="12"/>
          <w:color w:val="auto"/>
        </w:rPr>
        <w:t>Consists of short-term corporate bonds and certificates of deposit with stated maturities of three months or less.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December 31, 2020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b w:val="1"/>
                <w:bCs w:val="1"/>
                <w:color w:val="auto"/>
              </w:rPr>
              <w:t>Cash equivalents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12,696</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Arial" w:cs="Arial" w:eastAsia="Arial" w:hAnsi="Arial"/>
                <w:sz w:val="18"/>
                <w:szCs w:val="18"/>
                <w:color w:val="auto"/>
              </w:rPr>
              <w:t>Total cash equivalents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12,696</w:t>
            </w:r>
          </w:p>
        </w:tc>
      </w:tr>
      <w:tr>
        <w:trPr>
          <w:trHeight w:val="270"/>
        </w:trPr>
        <w:tc>
          <w:tcPr>
            <w:tcW w:w="450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22,949</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22,949</w:t>
            </w: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538</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4,448</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4,448</w:t>
            </w: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U.S. government and agency securities</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6,490</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6,490</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34,425</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34,425</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34,425</w:t>
            </w:r>
          </w:p>
        </w:tc>
        <w:tc>
          <w:tcPr>
            <w:tcW w:w="80" w:type="dxa"/>
            <w:vAlign w:val="bottom"/>
          </w:tcPr>
          <w:p>
            <w:pPr>
              <w:spacing w:after="0"/>
              <w:rPr>
                <w:sz w:val="22"/>
                <w:szCs w:val="22"/>
                <w:color w:val="auto"/>
              </w:rPr>
            </w:pP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47,121</w:t>
            </w:r>
          </w:p>
        </w:tc>
      </w:tr>
      <w:tr>
        <w:trPr>
          <w:trHeight w:val="20"/>
        </w:trPr>
        <w:tc>
          <w:tcPr>
            <w:tcW w:w="4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carrying amounts for the Company’s accounts receivable, accounts payable, and accrued expenses approximate fair value due to their short maturities.</w:t>
      </w:r>
    </w:p>
    <w:p>
      <w:pPr>
        <w:spacing w:after="0" w:line="166"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Facilities</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On June 4, 2020, the Company terminated its Asset Backed Loan facility (“ABL Revolver”). The Company had no outstanding borrowings under the ABL Revolver immediately prior to termination. Upon termination of the ABL Revolver, the Company was required to post collateral of $7.9 million in a restricted cash account to collateralize the letters of credit related to certain facility leases. As of December 31, 2020, the letters of credit issued related to facility leases of $7.7 million were collateralized by the Company’s restricted cash of $7.9 million. Upon entering into the 2021 Credit Facility (defined below), the Company is no longer required to maintain collateral in a restricted cash account.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Credit Facility</w:t>
      </w:r>
    </w:p>
    <w:p>
      <w:pPr>
        <w:spacing w:after="0" w:line="25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April 2021, the Company entered into a first lien credit agreement (“2021 Credit Facility”), with JPMorgan Chase Bank, N.A., as administrative agent and lender, and the other lenders party thereto, which provides for a $35.0 million revolving credit facility that matures April 2026. The 2021 Credit Facility includes a subfacility that provides for the issuance of letters of credit in an amount of up to $10.0 million at any time outstanding, which reduces the amount available under the 2021 Credit Facility. The 2021 Credit Facility is subject to customary fees for loan facilities of this type, including a commitment fee based on the average daily undrawn portion of the revolving credit facility. The Company expensed the commitment fee and included it in interest and other expense, net in the consolidated statement of operations and comprehensive income (loss). For the three and six months ended June 30, 2021, the commitment fee incurred was immaterial. The interest rate applicable to the 2021 Credit Facility is, at the Company’s option, either (a) the LIBOR (or a replacement rate established in accordance with the terms of the 2021 Credit Facility) (subject to a 0.00% LIBOR floor), plus a margin of 1.50% or (b) the CB floating rate minus a margin of 0.50%. The CB floating rate is the higher of (a) the Wall Street Journal prime rate and (b)(i) 2.50% plus (ii) the adjusted LIBOR rate for a one-month interest period. As of June 30, 2021, there was no outstanding balance under the 2021 Credit Facility.</w:t>
      </w:r>
    </w:p>
    <w:p>
      <w:pPr>
        <w:sectPr>
          <w:pgSz w:w="11900" w:h="16838" w:orient="portrait"/>
          <w:cols w:equalWidth="0" w:num="1">
            <w:col w:w="11240"/>
          </w:cols>
          <w:pgMar w:left="320" w:top="823" w:right="339" w:bottom="7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752" w:gutter="0" w:footer="0" w:header="0"/>
          <w:type w:val="continuous"/>
        </w:sectPr>
      </w:pPr>
    </w:p>
    <w:bookmarkStart w:id="15" w:name="page16"/>
    <w:bookmarkEnd w:id="15"/>
    <w:p>
      <w:pPr>
        <w:ind w:right="80" w:firstLine="648"/>
        <w:spacing w:after="0" w:line="231" w:lineRule="auto"/>
        <w:rPr>
          <w:sz w:val="20"/>
          <w:szCs w:val="20"/>
          <w:color w:val="auto"/>
        </w:rPr>
      </w:pPr>
      <w:r>
        <w:rPr>
          <w:rFonts w:ascii="Arial" w:cs="Arial" w:eastAsia="Arial" w:hAnsi="Arial"/>
          <w:sz w:val="18"/>
          <w:szCs w:val="18"/>
          <w:color w:val="auto"/>
        </w:rPr>
        <w:t>The Company is subject to certain affirmative and negative covenants including the requirement that it maintains a total net leverage ratio of not more than 3.50:1.00 during the periods set forth in the 2021 Credit Facility. Failure to do so, unless waived by the lenders under the 2021 Credit Facility pursuant to its terms, as amended, would result in an event of default under the 2021 Credit Facility. As of June 30, 2021, the Company was in compliance with the net leverage ratio covenant.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Arial" w:cs="Arial" w:eastAsia="Arial" w:hAnsi="Arial"/>
                <w:sz w:val="18"/>
                <w:szCs w:val="18"/>
                <w:b w:val="1"/>
                <w:bCs w:val="1"/>
                <w:color w:val="auto"/>
              </w:rPr>
              <w:t>7.  Accrued Expenses</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540" w:type="dxa"/>
            <w:vAlign w:val="bottom"/>
          </w:tcPr>
          <w:p>
            <w:pPr>
              <w:ind w:left="660"/>
              <w:spacing w:after="0"/>
              <w:rPr>
                <w:sz w:val="20"/>
                <w:szCs w:val="20"/>
                <w:color w:val="auto"/>
              </w:rPr>
            </w:pPr>
            <w:r>
              <w:rPr>
                <w:rFonts w:ascii="Arial" w:cs="Arial" w:eastAsia="Arial" w:hAnsi="Arial"/>
                <w:sz w:val="18"/>
                <w:szCs w:val="18"/>
                <w:color w:val="auto"/>
              </w:rPr>
              <w:t>Accrued expenses consisted of the following as of:</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27"/>
        </w:trPr>
        <w:tc>
          <w:tcPr>
            <w:tcW w:w="75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5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540" w:type="dxa"/>
            <w:vAlign w:val="bottom"/>
          </w:tcPr>
          <w:p>
            <w:pPr>
              <w:ind w:left="20"/>
              <w:spacing w:after="0"/>
              <w:rPr>
                <w:sz w:val="20"/>
                <w:szCs w:val="20"/>
                <w:color w:val="auto"/>
              </w:rPr>
            </w:pPr>
            <w:r>
              <w:rPr>
                <w:rFonts w:ascii="Arial" w:cs="Arial" w:eastAsia="Arial" w:hAnsi="Arial"/>
                <w:sz w:val="18"/>
                <w:szCs w:val="18"/>
                <w:color w:val="auto"/>
              </w:rPr>
              <w:t>Payroll and payroll related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70"/>
        </w:trPr>
        <w:tc>
          <w:tcPr>
            <w:tcW w:w="7540" w:type="dxa"/>
            <w:vAlign w:val="bottom"/>
          </w:tcPr>
          <w:p>
            <w:pPr>
              <w:ind w:left="20"/>
              <w:spacing w:after="0"/>
              <w:rPr>
                <w:sz w:val="20"/>
                <w:szCs w:val="20"/>
                <w:color w:val="auto"/>
              </w:rPr>
            </w:pPr>
            <w:r>
              <w:rPr>
                <w:rFonts w:ascii="Arial" w:cs="Arial" w:eastAsia="Arial" w:hAnsi="Arial"/>
                <w:sz w:val="18"/>
                <w:szCs w:val="18"/>
                <w:color w:val="auto"/>
              </w:rPr>
              <w:t>Accrued inventory purchases</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70"/>
        </w:trPr>
        <w:tc>
          <w:tcPr>
            <w:tcW w:w="7540" w:type="dxa"/>
            <w:vAlign w:val="bottom"/>
          </w:tcPr>
          <w:p>
            <w:pPr>
              <w:ind w:left="20"/>
              <w:spacing w:after="0"/>
              <w:rPr>
                <w:sz w:val="20"/>
                <w:szCs w:val="20"/>
                <w:color w:val="auto"/>
              </w:rPr>
            </w:pPr>
            <w:r>
              <w:rPr>
                <w:rFonts w:ascii="Arial" w:cs="Arial" w:eastAsia="Arial" w:hAnsi="Arial"/>
                <w:sz w:val="18"/>
                <w:szCs w:val="18"/>
                <w:color w:val="auto"/>
              </w:rPr>
              <w:t>Accrued returns</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70"/>
        </w:trPr>
        <w:tc>
          <w:tcPr>
            <w:tcW w:w="754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8,934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540" w:type="dxa"/>
            <w:vAlign w:val="bottom"/>
          </w:tcPr>
          <w:p>
            <w:pPr>
              <w:ind w:left="240"/>
              <w:spacing w:after="0"/>
              <w:rPr>
                <w:sz w:val="20"/>
                <w:szCs w:val="20"/>
                <w:color w:val="auto"/>
              </w:rPr>
            </w:pPr>
            <w:r>
              <w:rPr>
                <w:rFonts w:ascii="Arial" w:cs="Arial" w:eastAsia="Arial" w:hAnsi="Arial"/>
                <w:sz w:val="18"/>
                <w:szCs w:val="18"/>
                <w:color w:val="auto"/>
              </w:rPr>
              <w:t>Total accrued expenses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21"/>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20" w:firstLine="8"/>
        <w:spacing w:after="0" w:line="518" w:lineRule="auto"/>
        <w:tabs>
          <w:tab w:leader="none" w:pos="64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spacing w:after="0" w:line="2" w:lineRule="exact"/>
        <w:rPr>
          <w:sz w:val="20"/>
          <w:szCs w:val="20"/>
          <w:color w:val="auto"/>
        </w:rPr>
      </w:pPr>
    </w:p>
    <w:p>
      <w:pPr>
        <w:ind w:right="60" w:firstLine="648"/>
        <w:spacing w:after="0" w:line="276" w:lineRule="auto"/>
        <w:rPr>
          <w:sz w:val="20"/>
          <w:szCs w:val="20"/>
          <w:color w:val="auto"/>
        </w:rPr>
      </w:pPr>
      <w:r>
        <w:rPr>
          <w:rFonts w:ascii="Arial" w:cs="Arial" w:eastAsia="Arial" w:hAnsi="Arial"/>
          <w:sz w:val="16"/>
          <w:szCs w:val="16"/>
          <w:color w:val="auto"/>
        </w:rPr>
        <w:t>From time to time, the Company is subject to various claims and contingencies which are in the scope of ordinary and routine litigation incidental to its business, including those related to regulation, litigation, business transactions, employee-related matters and taxes, among others. When the Company becomes aware of a claim or potential claim, the likelihood of any loss or exposure is assessed. If it is probable that a loss will result and the</w:t>
      </w:r>
    </w:p>
    <w:p>
      <w:pPr>
        <w:spacing w:after="0" w:line="1" w:lineRule="exact"/>
        <w:rPr>
          <w:sz w:val="20"/>
          <w:szCs w:val="20"/>
          <w:color w:val="auto"/>
        </w:rPr>
      </w:pPr>
    </w:p>
    <w:p>
      <w:pPr>
        <w:ind w:right="300"/>
        <w:spacing w:after="0" w:line="307" w:lineRule="auto"/>
        <w:rPr>
          <w:sz w:val="20"/>
          <w:szCs w:val="20"/>
          <w:color w:val="auto"/>
        </w:rPr>
      </w:pPr>
      <w:r>
        <w:rPr>
          <w:rFonts w:ascii="Arial" w:cs="Arial" w:eastAsia="Arial" w:hAnsi="Arial"/>
          <w:sz w:val="18"/>
          <w:szCs w:val="18"/>
          <w:color w:val="auto"/>
        </w:rPr>
        <w:t xml:space="preserve">amount or range of the loss can be reasonably estimated, the Company records a liability for the loss and </w:t>
      </w:r>
      <w:r>
        <w:rPr>
          <w:rFonts w:ascii="Arial" w:cs="Arial" w:eastAsia="Arial" w:hAnsi="Arial"/>
          <w:sz w:val="18"/>
          <w:szCs w:val="18"/>
          <w:color w:val="231F20"/>
        </w:rPr>
        <w:t>discloses the possible loss in the consolidated</w:t>
      </w:r>
      <w:r>
        <w:rPr>
          <w:rFonts w:ascii="Arial" w:cs="Arial" w:eastAsia="Arial" w:hAnsi="Arial"/>
          <w:sz w:val="18"/>
          <w:szCs w:val="18"/>
          <w:color w:val="auto"/>
        </w:rPr>
        <w:t xml:space="preserve"> </w:t>
      </w:r>
      <w:r>
        <w:rPr>
          <w:rFonts w:ascii="Arial" w:cs="Arial" w:eastAsia="Arial" w:hAnsi="Arial"/>
          <w:sz w:val="18"/>
          <w:szCs w:val="18"/>
          <w:color w:val="231F20"/>
        </w:rPr>
        <w:t>financial statements</w:t>
      </w:r>
      <w:r>
        <w:rPr>
          <w:rFonts w:ascii="Arial" w:cs="Arial" w:eastAsia="Arial" w:hAnsi="Arial"/>
          <w:sz w:val="18"/>
          <w:szCs w:val="18"/>
          <w:color w:val="000000"/>
        </w:rPr>
        <w:t>.</w:t>
      </w:r>
      <w:r>
        <w:rPr>
          <w:rFonts w:ascii="Arial" w:cs="Arial" w:eastAsia="Arial" w:hAnsi="Arial"/>
          <w:sz w:val="18"/>
          <w:szCs w:val="18"/>
          <w:color w:val="231F20"/>
        </w:rPr>
        <w:t xml:space="preserve"> Legal costs are expensed as incurred.</w:t>
      </w:r>
    </w:p>
    <w:p>
      <w:pPr>
        <w:spacing w:after="0" w:line="17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September 17, 2019, the Nevada Department of Taxation (the “Department”) issued a Deficiency Notice against the Company to initiate administrative legal proceedings before the Department for the alleged non-compliance with employee retention requirements provided in exchange for tax benefits in establishing the Company’s Las Vegas distribution center in a December 2016 Abatement Agreement the Company had executed with the State of Nevada via its Governor’s Office of Economic Development. The Company has denied the allegations. An administrative hearing was held in the matter on January 15, 2021. On June 9, 2021 the court upheld the Department's Deficiency Notice against the Company in its entirety. The loss resulting from this matter is $0.7 million including penalties and interest, for which the Company has recorded an accrual of $0.6 million in accrued expenses on the consolidated balance sheets as of June 30, 2021 and December 31, 2020. During the three and six months ended June 30, 2021, the Company recorded interest expense of $0.1 million in interest and other expense, net on the consolidated statement of operations and comprehensive income (loss). The Company filed its Notice of Appeal on July 1, 2021.</w:t>
      </w:r>
    </w:p>
    <w:p>
      <w:pPr>
        <w:spacing w:after="0" w:line="20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September 23, 2020, the Center for Advanced Public Awareness served a 60-Day Notice of Violation on the Company, alleging that the Company violated California’s Health and Safety Code (“Prop 65”) because of the amount of lead in the Company’s Diaper Rash Cream and seeking statutory penalties and product warnings available under Prop 65. The Company intends to vigorously defend itself in this matter. The matter’s outcome and materiality are uncertain at this time. Therefore, the Company cannot estimate the probability of loss or make an estimate of the loss or range of loss in this matter.</w:t>
      </w:r>
    </w:p>
    <w:p>
      <w:pPr>
        <w:spacing w:after="0" w:line="21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On January 28, 2021, Rosaura Navar filed a putative class action complaint (Rosaura Navar, et al. v. The Honest Company, Inc.—Los Angeles County Superior Court, Case No. 21STCV03381) alleging that the Company violated California’s Unfair Competition Law by failing to comply with California’s Automatic Renewal Law. The complaint demands restitution, injunctive and declaratory relief. This matter was settled in April 2021 for an immaterial amount. The loss on settlement was recorded in accrued expenses in the accompanying condensed consolidated balance sheets as of June 30, 2021.</w:t>
      </w:r>
    </w:p>
    <w:p>
      <w:pPr>
        <w:spacing w:after="0" w:line="21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As of June 30, 2021 and December 31, 2020, the Company is not subject to any other currently pending legal matters or claims that could have a material adverse effect on its financial position, results of operations, or cash flows should such litigation be resolved unfavorably.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2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w:t>
      </w:r>
    </w:p>
    <w:p>
      <w:pPr>
        <w:sectPr>
          <w:pgSz w:w="11900" w:h="16838" w:orient="portrait"/>
          <w:cols w:equalWidth="0" w:num="1">
            <w:col w:w="11220"/>
          </w:cols>
          <w:pgMar w:left="320" w:top="76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type w:val="continuous"/>
        </w:sectPr>
      </w:pPr>
    </w:p>
    <w:bookmarkStart w:id="16" w:name="page17"/>
    <w:bookmarkEnd w:id="16"/>
    <w:p>
      <w:pPr>
        <w:spacing w:after="0" w:line="273" w:lineRule="auto"/>
        <w:rPr>
          <w:sz w:val="20"/>
          <w:szCs w:val="20"/>
          <w:color w:val="auto"/>
        </w:rPr>
      </w:pPr>
      <w:r>
        <w:rPr>
          <w:rFonts w:ascii="Arial" w:cs="Arial" w:eastAsia="Arial" w:hAnsi="Arial"/>
          <w:sz w:val="17"/>
          <w:szCs w:val="17"/>
          <w:color w:val="auto"/>
        </w:rPr>
        <w:t>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the Company been involved in litigation in connection with these indemnification arrangements. As of June 30, 2021 and December 31, 2020, the Company has not accrued a liability for these guarantees as the likelihood of incurring a payment obligation, if any, in connection with these guarantees is not probable or reasonably estimable due to the unique facts and circumstances involved.</w:t>
      </w:r>
    </w:p>
    <w:p>
      <w:pPr>
        <w:spacing w:after="0" w:line="201" w:lineRule="exact"/>
        <w:rPr>
          <w:sz w:val="20"/>
          <w:szCs w:val="20"/>
          <w:color w:val="auto"/>
        </w:rPr>
      </w:pPr>
    </w:p>
    <w:p>
      <w:pPr>
        <w:ind w:right="8460" w:firstLine="8"/>
        <w:spacing w:after="0" w:line="534" w:lineRule="auto"/>
        <w:tabs>
          <w:tab w:leader="none" w:pos="648"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Stock Options</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stock option activity for the three months ended June 30, 2021:</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w w:val="93"/>
              </w:rPr>
              <w:t>Number of Options</w:t>
            </w:r>
          </w:p>
        </w:tc>
        <w:tc>
          <w:tcPr>
            <w:tcW w:w="80" w:type="dxa"/>
            <w:vAlign w:val="bottom"/>
          </w:tcPr>
          <w:p>
            <w:pPr>
              <w:spacing w:after="0"/>
              <w:rPr>
                <w:sz w:val="20"/>
                <w:szCs w:val="20"/>
                <w:color w:val="auto"/>
              </w:rPr>
            </w:pPr>
          </w:p>
        </w:tc>
        <w:tc>
          <w:tcPr>
            <w:tcW w:w="26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Weighted Average Exercise Price</w:t>
            </w: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Outstanding at March 31, 2021</w:t>
            </w: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8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17,829,264</w:t>
            </w:r>
          </w:p>
        </w:tc>
        <w:tc>
          <w:tcPr>
            <w:tcW w:w="1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Exercised</w:t>
            </w:r>
          </w:p>
        </w:tc>
        <w:tc>
          <w:tcPr>
            <w:tcW w:w="1620" w:type="dxa"/>
            <w:vAlign w:val="bottom"/>
          </w:tcPr>
          <w:p>
            <w:pPr>
              <w:jc w:val="right"/>
              <w:spacing w:after="0"/>
              <w:rPr>
                <w:sz w:val="20"/>
                <w:szCs w:val="20"/>
                <w:color w:val="auto"/>
              </w:rPr>
            </w:pPr>
            <w:r>
              <w:rPr>
                <w:rFonts w:ascii="Arial" w:cs="Arial" w:eastAsia="Arial" w:hAnsi="Arial"/>
                <w:sz w:val="18"/>
                <w:szCs w:val="18"/>
                <w:color w:val="auto"/>
              </w:rPr>
              <w:t>(53,694)</w:t>
            </w:r>
          </w:p>
        </w:tc>
        <w:tc>
          <w:tcPr>
            <w:tcW w:w="1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(99,007)</w:t>
            </w:r>
          </w:p>
        </w:tc>
        <w:tc>
          <w:tcPr>
            <w:tcW w:w="1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Outstanding at June 30, 2021</w:t>
            </w: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80" w:type="dxa"/>
            <w:vAlign w:val="bottom"/>
            <w:vMerge w:val="continue"/>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17,676,563</w:t>
            </w:r>
          </w:p>
        </w:tc>
        <w:tc>
          <w:tcPr>
            <w:tcW w:w="1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left="20" w:firstLine="648"/>
        <w:spacing w:after="0" w:line="243" w:lineRule="auto"/>
        <w:rPr>
          <w:sz w:val="20"/>
          <w:szCs w:val="20"/>
          <w:color w:val="auto"/>
        </w:rPr>
      </w:pPr>
      <w:r>
        <w:rPr>
          <w:rFonts w:ascii="Arial" w:cs="Arial" w:eastAsia="Arial" w:hAnsi="Arial"/>
          <w:sz w:val="18"/>
          <w:szCs w:val="18"/>
          <w:color w:val="auto"/>
        </w:rPr>
        <w:t>From 2018 to 2020, the Company granted stock options that vest based upon achieving a qualifying liquidity event, provided the employee remains employed on the date the vesting condition is satisfied. In conjunction with the IPO, 2,442,918 stock option awards with a weighted average exercise price of $5.54 vested based on the achievement of the IPO qualifying liquidity event, which resulted in the recognition of stock-based compensation expense of $3.1 million during the three and six months ended 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Equity Incentive Plan</w:t>
      </w:r>
    </w:p>
    <w:p>
      <w:pPr>
        <w:spacing w:after="0" w:line="243" w:lineRule="exact"/>
        <w:rPr>
          <w:sz w:val="20"/>
          <w:szCs w:val="20"/>
          <w:color w:val="auto"/>
        </w:rPr>
      </w:pPr>
    </w:p>
    <w:p>
      <w:pPr>
        <w:ind w:right="20" w:firstLine="648"/>
        <w:spacing w:after="0" w:line="236" w:lineRule="auto"/>
        <w:rPr>
          <w:sz w:val="20"/>
          <w:szCs w:val="20"/>
          <w:color w:val="auto"/>
        </w:rPr>
      </w:pPr>
      <w:r>
        <w:rPr>
          <w:rFonts w:ascii="Arial" w:cs="Arial" w:eastAsia="Arial" w:hAnsi="Arial"/>
          <w:sz w:val="17"/>
          <w:szCs w:val="17"/>
          <w:color w:val="auto"/>
        </w:rPr>
        <w:t>In April 2021, the Company’s board of directors adopted the Company’s 2021 Equity Incentive Plan (the “2021 Plan”), which became effective in connection with the IPO. All equity-based awards granted on or after the effectiveness of the 2021 Plan will be granted under the 2021 Plan. The 2021 Plan provides for grants of incentive stock options (“ISOs”) within the meaning of Section 422 of the Internal Revenue Code of 1986, as amended (the “Code”), to the Company’s employees and its parent and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 directors prior to the date of the increase. The maximum number of shares of the Company’s common stock that may be issued on the exercise of ISOs under its 2021 Plan is 75,100,000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i w:val="1"/>
                <w:iCs w:val="1"/>
                <w:color w:val="auto"/>
              </w:rPr>
              <w:t>RSU Awards</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680" w:type="dxa"/>
            <w:vAlign w:val="bottom"/>
            <w:gridSpan w:val="4"/>
          </w:tcPr>
          <w:p>
            <w:pPr>
              <w:jc w:val="right"/>
              <w:ind w:right="450"/>
              <w:spacing w:after="0"/>
              <w:rPr>
                <w:sz w:val="20"/>
                <w:szCs w:val="20"/>
                <w:color w:val="auto"/>
              </w:rPr>
            </w:pPr>
            <w:r>
              <w:rPr>
                <w:rFonts w:ascii="Arial" w:cs="Arial" w:eastAsia="Arial" w:hAnsi="Arial"/>
                <w:sz w:val="18"/>
                <w:szCs w:val="18"/>
                <w:color w:val="auto"/>
              </w:rPr>
              <w:t>The following table summarizes the RSU activity for the six months ended June 30, 2021: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4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2"/>
              </w:rPr>
              <w:t>Weighted Average Grant Date Fair Value</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3400" w:type="dxa"/>
            <w:vAlign w:val="bottom"/>
            <w:gridSpan w:val="3"/>
          </w:tcPr>
          <w:p>
            <w:pPr>
              <w:jc w:val="right"/>
              <w:ind w:right="91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4"/>
          </w:tcPr>
          <w:p>
            <w:pPr>
              <w:jc w:val="right"/>
              <w:ind w:right="1250"/>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80" w:type="dxa"/>
            <w:vAlign w:val="bottom"/>
          </w:tcPr>
          <w:p>
            <w:pPr>
              <w:spacing w:after="0"/>
              <w:rPr>
                <w:sz w:val="18"/>
                <w:szCs w:val="18"/>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Non-Employee</w:t>
            </w: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Directors, Officers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Non-Employee</w:t>
            </w:r>
          </w:p>
        </w:tc>
        <w:tc>
          <w:tcPr>
            <w:tcW w:w="10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Directors, Officers</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Directors</w:t>
            </w:r>
          </w:p>
        </w:tc>
        <w:tc>
          <w:tcPr>
            <w:tcW w:w="1660" w:type="dxa"/>
            <w:vAlign w:val="bottom"/>
          </w:tcPr>
          <w:p>
            <w:pPr>
              <w:jc w:val="right"/>
              <w:ind w:right="150"/>
              <w:spacing w:after="0"/>
              <w:rPr>
                <w:sz w:val="20"/>
                <w:szCs w:val="20"/>
                <w:color w:val="auto"/>
              </w:rPr>
            </w:pPr>
            <w:r>
              <w:rPr>
                <w:rFonts w:ascii="Arial" w:cs="Arial" w:eastAsia="Arial" w:hAnsi="Arial"/>
                <w:sz w:val="18"/>
                <w:szCs w:val="18"/>
                <w:b w:val="1"/>
                <w:bCs w:val="1"/>
                <w:color w:val="auto"/>
              </w:rPr>
              <w:t>and Employees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Directors</w:t>
            </w:r>
          </w:p>
        </w:tc>
        <w:tc>
          <w:tcPr>
            <w:tcW w:w="100" w:type="dxa"/>
            <w:vAlign w:val="bottom"/>
          </w:tcPr>
          <w:p>
            <w:pPr>
              <w:spacing w:after="0"/>
              <w:rPr>
                <w:sz w:val="20"/>
                <w:szCs w:val="20"/>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and Employees</w:t>
            </w:r>
          </w:p>
        </w:tc>
        <w:tc>
          <w:tcPr>
            <w:tcW w:w="0" w:type="dxa"/>
            <w:vAlign w:val="bottom"/>
          </w:tcPr>
          <w:p>
            <w:pPr>
              <w:spacing w:after="0"/>
              <w:rPr>
                <w:sz w:val="1"/>
                <w:szCs w:val="1"/>
                <w:color w:val="auto"/>
              </w:rPr>
            </w:pPr>
          </w:p>
        </w:tc>
      </w:tr>
      <w:tr>
        <w:trPr>
          <w:trHeight w:val="27"/>
        </w:trPr>
        <w:tc>
          <w:tcPr>
            <w:tcW w:w="4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Unvested RSUs at December 31, 2020</w:t>
            </w: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vMerge w:val="continue"/>
          </w:tcPr>
          <w:p>
            <w:pPr>
              <w:spacing w:after="0"/>
              <w:rPr>
                <w:sz w:val="20"/>
                <w:szCs w:val="20"/>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4280" w:type="dxa"/>
            <w:vAlign w:val="bottom"/>
          </w:tcPr>
          <w:p>
            <w:pPr>
              <w:ind w:left="20"/>
              <w:spacing w:after="0"/>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18"/>
                <w:szCs w:val="18"/>
                <w:color w:val="auto"/>
              </w:rPr>
              <w:t>110,267</w:t>
            </w:r>
          </w:p>
        </w:tc>
        <w:tc>
          <w:tcPr>
            <w:tcW w:w="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2,605,555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Vested</w:t>
            </w:r>
          </w:p>
        </w:tc>
        <w:tc>
          <w:tcPr>
            <w:tcW w:w="1660" w:type="dxa"/>
            <w:vAlign w:val="bottom"/>
          </w:tcPr>
          <w:p>
            <w:pPr>
              <w:jc w:val="right"/>
              <w:spacing w:after="0"/>
              <w:rPr>
                <w:sz w:val="20"/>
                <w:szCs w:val="20"/>
                <w:color w:val="auto"/>
              </w:rPr>
            </w:pPr>
            <w:r>
              <w:rPr>
                <w:rFonts w:ascii="Arial" w:cs="Arial" w:eastAsia="Arial" w:hAnsi="Arial"/>
                <w:sz w:val="18"/>
                <w:szCs w:val="18"/>
                <w:color w:val="auto"/>
              </w:rPr>
              <w:t>6,703</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 xml:space="preserve">Unvested RSUs at </w:t>
            </w:r>
            <w:r>
              <w:rPr>
                <w:rFonts w:ascii="Arial" w:cs="Arial" w:eastAsia="Arial" w:hAnsi="Arial"/>
                <w:sz w:val="19"/>
                <w:szCs w:val="19"/>
                <w:b w:val="1"/>
                <w:bCs w:val="1"/>
                <w:color w:val="auto"/>
              </w:rPr>
              <w:t>June 30, 2021</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116,970</w:t>
            </w:r>
          </w:p>
        </w:tc>
        <w:tc>
          <w:tcPr>
            <w:tcW w:w="80" w:type="dxa"/>
            <w:vAlign w:val="bottom"/>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2,605,555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auto"/>
        </w:rPr>
        <w:t>(1) Includes 200,000 RSUs granted to an officer of the Company in February 2021 under the 2011 Stock Incentive Plan.</w:t>
      </w:r>
    </w:p>
    <w:p>
      <w:pPr>
        <w:spacing w:after="0" w:line="29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June 30, 2021, there was $36.2 million of unrecognized stock-based compensation expense related to unvested RSUs, which is expected to be recognized over a weighted-average period of 2.12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25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April 2021, the Company’s board of directors adopted the Company’s 2021 Employee Stock Purchase Plan (the “2021 ESPP”). The Company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w:t>
      </w:r>
    </w:p>
    <w:p>
      <w:pPr>
        <w:spacing w:after="0" w:line="20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The first offering period under the 2021 ESPP commenced in May 2021. For the three and six months ended June 30, 2021, no shares were purchased under the 2021 ESPP.</w:t>
      </w:r>
    </w:p>
    <w:p>
      <w:pPr>
        <w:spacing w:after="0" w:line="21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summarizes the key input assumptions used in the Black-Scholes option-pricing model to estimate the grant-date fair value of the 2021 ESPP:</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4380" w:type="dxa"/>
            <w:vAlign w:val="bottom"/>
          </w:tcPr>
          <w:p>
            <w:pPr>
              <w:ind w:left="620"/>
              <w:spacing w:after="0"/>
              <w:rPr>
                <w:sz w:val="20"/>
                <w:szCs w:val="20"/>
                <w:color w:val="auto"/>
              </w:rPr>
            </w:pPr>
            <w:r>
              <w:rPr>
                <w:rFonts w:ascii="Arial" w:cs="Arial" w:eastAsia="Arial" w:hAnsi="Arial"/>
                <w:sz w:val="18"/>
                <w:szCs w:val="18"/>
                <w:b w:val="1"/>
                <w:bCs w:val="1"/>
                <w:color w:val="auto"/>
              </w:rPr>
              <w:t>For the three months ended June 30, 2021</w:t>
            </w:r>
          </w:p>
        </w:tc>
      </w:tr>
      <w:tr>
        <w:trPr>
          <w:trHeight w:val="27"/>
        </w:trPr>
        <w:tc>
          <w:tcPr>
            <w:tcW w:w="682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493"/>
        </w:trPr>
        <w:tc>
          <w:tcPr>
            <w:tcW w:w="6820" w:type="dxa"/>
            <w:vAlign w:val="bottom"/>
          </w:tcPr>
          <w:p>
            <w:pPr>
              <w:spacing w:after="0"/>
              <w:rPr>
                <w:sz w:val="20"/>
                <w:szCs w:val="20"/>
                <w:color w:val="auto"/>
              </w:rPr>
            </w:pPr>
            <w:r>
              <w:rPr>
                <w:rFonts w:ascii="Arial" w:cs="Arial" w:eastAsia="Arial" w:hAnsi="Arial"/>
                <w:sz w:val="18"/>
                <w:szCs w:val="18"/>
                <w:color w:val="auto"/>
              </w:rPr>
              <w:t>Expected life of options (in years)</w:t>
            </w:r>
          </w:p>
        </w:tc>
        <w:tc>
          <w:tcPr>
            <w:tcW w:w="4380" w:type="dxa"/>
            <w:vAlign w:val="bottom"/>
          </w:tcPr>
          <w:p>
            <w:pPr>
              <w:jc w:val="center"/>
              <w:ind w:left="10"/>
              <w:spacing w:after="0"/>
              <w:rPr>
                <w:sz w:val="20"/>
                <w:szCs w:val="20"/>
                <w:color w:val="auto"/>
              </w:rPr>
            </w:pPr>
            <w:r>
              <w:rPr>
                <w:rFonts w:ascii="Arial" w:cs="Arial" w:eastAsia="Arial" w:hAnsi="Arial"/>
                <w:sz w:val="18"/>
                <w:szCs w:val="18"/>
                <w:color w:val="auto"/>
                <w:w w:val="91"/>
              </w:rPr>
              <w:t>0.50</w:t>
            </w:r>
          </w:p>
        </w:tc>
      </w:tr>
      <w:tr>
        <w:trPr>
          <w:trHeight w:val="270"/>
        </w:trPr>
        <w:tc>
          <w:tcPr>
            <w:tcW w:w="68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4380" w:type="dxa"/>
            <w:vAlign w:val="bottom"/>
          </w:tcPr>
          <w:p>
            <w:pPr>
              <w:jc w:val="center"/>
              <w:ind w:left="10"/>
              <w:spacing w:after="0"/>
              <w:rPr>
                <w:sz w:val="20"/>
                <w:szCs w:val="20"/>
                <w:color w:val="auto"/>
              </w:rPr>
            </w:pPr>
            <w:r>
              <w:rPr>
                <w:rFonts w:ascii="Arial" w:cs="Arial" w:eastAsia="Arial" w:hAnsi="Arial"/>
                <w:sz w:val="18"/>
                <w:szCs w:val="18"/>
                <w:color w:val="auto"/>
                <w:w w:val="91"/>
              </w:rPr>
              <w:t>54.83%</w:t>
            </w:r>
          </w:p>
        </w:tc>
      </w:tr>
      <w:tr>
        <w:trPr>
          <w:trHeight w:val="270"/>
        </w:trPr>
        <w:tc>
          <w:tcPr>
            <w:tcW w:w="68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0.04%</w:t>
            </w:r>
          </w:p>
        </w:tc>
      </w:tr>
      <w:tr>
        <w:trPr>
          <w:trHeight w:val="270"/>
        </w:trPr>
        <w:tc>
          <w:tcPr>
            <w:tcW w:w="6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3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6820" w:type="dxa"/>
            <w:vAlign w:val="bottom"/>
          </w:tcPr>
          <w:p>
            <w:pPr>
              <w:spacing w:after="0"/>
              <w:rPr>
                <w:sz w:val="20"/>
                <w:szCs w:val="20"/>
                <w:color w:val="auto"/>
              </w:rPr>
            </w:pPr>
            <w:r>
              <w:rPr>
                <w:rFonts w:ascii="Arial" w:cs="Arial" w:eastAsia="Arial" w:hAnsi="Arial"/>
                <w:sz w:val="18"/>
                <w:szCs w:val="18"/>
                <w:color w:val="auto"/>
              </w:rPr>
              <w:t>Weighted average grant-date fair value per share</w:t>
            </w:r>
          </w:p>
        </w:tc>
        <w:tc>
          <w:tcPr>
            <w:tcW w:w="4380" w:type="dxa"/>
            <w:vAlign w:val="bottom"/>
          </w:tcPr>
          <w:p>
            <w:pPr>
              <w:jc w:val="center"/>
              <w:ind w:left="10"/>
              <w:spacing w:after="0"/>
              <w:rPr>
                <w:sz w:val="20"/>
                <w:szCs w:val="20"/>
                <w:color w:val="auto"/>
              </w:rPr>
            </w:pPr>
            <w:r>
              <w:rPr>
                <w:rFonts w:ascii="Arial" w:cs="Arial" w:eastAsia="Arial" w:hAnsi="Arial"/>
                <w:sz w:val="18"/>
                <w:szCs w:val="18"/>
                <w:color w:val="auto"/>
                <w:w w:val="88"/>
              </w:rPr>
              <w:t>$4.86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8" w:name="page19"/>
    <w:bookmarkEnd w:id="18"/>
    <w:p>
      <w:pPr>
        <w:spacing w:after="0" w:line="125" w:lineRule="exact"/>
        <w:rPr>
          <w:sz w:val="20"/>
          <w:szCs w:val="20"/>
          <w:color w:val="auto"/>
        </w:rPr>
      </w:pPr>
    </w:p>
    <w:tbl>
      <w:tblPr>
        <w:tblLayout w:type="fixed"/>
        <w:tblInd w:w="91"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Stock-based Compensation Expense</w:t>
            </w: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760" w:type="dxa"/>
            <w:vAlign w:val="bottom"/>
            <w:gridSpan w:val="11"/>
          </w:tcPr>
          <w:p>
            <w:pPr>
              <w:ind w:left="660"/>
              <w:spacing w:after="0"/>
              <w:rPr>
                <w:sz w:val="20"/>
                <w:szCs w:val="20"/>
                <w:color w:val="auto"/>
              </w:rPr>
            </w:pPr>
            <w:r>
              <w:rPr>
                <w:rFonts w:ascii="Arial" w:cs="Arial" w:eastAsia="Arial" w:hAnsi="Arial"/>
                <w:sz w:val="18"/>
                <w:szCs w:val="18"/>
                <w:color w:val="auto"/>
                <w:w w:val="90"/>
              </w:rPr>
              <w:t>Stock-based compensation expense related to RSU awards, ESPP purchases and stock options, as applicable, are as follows: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3820" w:type="dxa"/>
            <w:vAlign w:val="bottom"/>
          </w:tcPr>
          <w:p>
            <w:pPr>
              <w:spacing w:after="0"/>
              <w:rPr>
                <w:sz w:val="24"/>
                <w:szCs w:val="24"/>
                <w:color w:val="auto"/>
              </w:rPr>
            </w:pPr>
          </w:p>
        </w:tc>
        <w:tc>
          <w:tcPr>
            <w:tcW w:w="3600" w:type="dxa"/>
            <w:vAlign w:val="bottom"/>
            <w:gridSpan w:val="6"/>
          </w:tcPr>
          <w:p>
            <w:pPr>
              <w:ind w:left="360"/>
              <w:spacing w:after="0"/>
              <w:rPr>
                <w:sz w:val="20"/>
                <w:szCs w:val="20"/>
                <w:color w:val="auto"/>
              </w:rPr>
            </w:pPr>
            <w:r>
              <w:rPr>
                <w:rFonts w:ascii="Arial" w:cs="Arial" w:eastAsia="Arial" w:hAnsi="Arial"/>
                <w:sz w:val="18"/>
                <w:szCs w:val="18"/>
                <w:b w:val="1"/>
                <w:bCs w:val="1"/>
                <w:color w:val="auto"/>
              </w:rPr>
              <w:t>For the three months ended June 30,</w:t>
            </w:r>
          </w:p>
        </w:tc>
        <w:tc>
          <w:tcPr>
            <w:tcW w:w="280" w:type="dxa"/>
            <w:vAlign w:val="bottom"/>
          </w:tcPr>
          <w:p>
            <w:pPr>
              <w:spacing w:after="0"/>
              <w:rPr>
                <w:sz w:val="24"/>
                <w:szCs w:val="24"/>
                <w:color w:val="auto"/>
              </w:rPr>
            </w:pPr>
          </w:p>
        </w:tc>
        <w:tc>
          <w:tcPr>
            <w:tcW w:w="32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3"/>
              </w:rPr>
              <w:t>For the six months ended June 30,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38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2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6,194</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7,942</w:t>
            </w:r>
          </w:p>
        </w:tc>
        <w:tc>
          <w:tcPr>
            <w:tcW w:w="8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70"/>
        </w:trPr>
        <w:tc>
          <w:tcPr>
            <w:tcW w:w="38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20" w:type="dxa"/>
            <w:vAlign w:val="bottom"/>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6,626</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8,464</w:t>
            </w:r>
          </w:p>
        </w:tc>
        <w:tc>
          <w:tcPr>
            <w:tcW w:w="8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731" w:hanging="731"/>
        <w:spacing w:after="0"/>
        <w:tabs>
          <w:tab w:leader="none" w:pos="731"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 Attributable to Common Stockholders</w:t>
      </w:r>
    </w:p>
    <w:p>
      <w:pPr>
        <w:spacing w:after="0" w:line="256" w:lineRule="exact"/>
        <w:rPr>
          <w:sz w:val="20"/>
          <w:szCs w:val="20"/>
          <w:color w:val="auto"/>
        </w:rPr>
      </w:pPr>
    </w:p>
    <w:p>
      <w:pPr>
        <w:ind w:left="91" w:right="40" w:firstLine="648"/>
        <w:spacing w:after="0" w:line="257" w:lineRule="auto"/>
        <w:rPr>
          <w:sz w:val="20"/>
          <w:szCs w:val="20"/>
          <w:color w:val="auto"/>
        </w:rPr>
      </w:pPr>
      <w:r>
        <w:rPr>
          <w:rFonts w:ascii="Arial" w:cs="Arial" w:eastAsia="Arial" w:hAnsi="Arial"/>
          <w:sz w:val="18"/>
          <w:szCs w:val="18"/>
          <w:color w:val="auto"/>
        </w:rPr>
        <w:t>The Company computes net income (loss) per share using the two-class method required for participating securities. The two-class method requires net income be allocated between common stock and participating securities based upon their respective rights to receive dividends as if all income for the period had been distributed. In periods where the Company has net losses, losses are not allocated to participating securities as they are not required to fund the losses. The Company considers its redeemable convertible preferred stock to be participating securities as preferred stockholders have rights to participate in dividends with the common stockholders.</w:t>
      </w:r>
    </w:p>
    <w:p>
      <w:pPr>
        <w:spacing w:after="0" w:line="215" w:lineRule="exact"/>
        <w:rPr>
          <w:sz w:val="20"/>
          <w:szCs w:val="20"/>
          <w:color w:val="auto"/>
        </w:rPr>
      </w:pPr>
    </w:p>
    <w:p>
      <w:pPr>
        <w:ind w:left="91" w:firstLine="648"/>
        <w:spacing w:after="0" w:line="275" w:lineRule="auto"/>
        <w:rPr>
          <w:sz w:val="20"/>
          <w:szCs w:val="20"/>
          <w:color w:val="auto"/>
        </w:rPr>
      </w:pPr>
      <w:r>
        <w:rPr>
          <w:rFonts w:ascii="Arial" w:cs="Arial" w:eastAsia="Arial" w:hAnsi="Arial"/>
          <w:sz w:val="17"/>
          <w:szCs w:val="17"/>
          <w:color w:val="auto"/>
        </w:rPr>
        <w:t>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w:t>
      </w:r>
    </w:p>
    <w:p>
      <w:pPr>
        <w:spacing w:after="0" w:line="176" w:lineRule="exact"/>
        <w:rPr>
          <w:sz w:val="20"/>
          <w:szCs w:val="20"/>
          <w:color w:val="auto"/>
        </w:rPr>
      </w:pPr>
    </w:p>
    <w:p>
      <w:pPr>
        <w:ind w:left="91" w:right="940" w:firstLine="648"/>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income (loss) per share attributable to common stockholders:</w:t>
      </w:r>
    </w:p>
    <w:p>
      <w:pPr>
        <w:spacing w:after="0" w:line="4" w:lineRule="exact"/>
        <w:rPr>
          <w:sz w:val="20"/>
          <w:szCs w:val="20"/>
          <w:color w:val="auto"/>
        </w:rPr>
      </w:pPr>
    </w:p>
    <w:tbl>
      <w:tblPr>
        <w:tblLayout w:type="fixed"/>
        <w:tblInd w:w="111"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320" w:type="dxa"/>
            <w:vAlign w:val="bottom"/>
            <w:gridSpan w:val="5"/>
          </w:tcPr>
          <w:p>
            <w:pPr>
              <w:ind w:left="100"/>
              <w:spacing w:after="0"/>
              <w:rPr>
                <w:sz w:val="20"/>
                <w:szCs w:val="20"/>
                <w:color w:val="auto"/>
              </w:rPr>
            </w:pPr>
            <w:r>
              <w:rPr>
                <w:rFonts w:ascii="Arial" w:cs="Arial" w:eastAsia="Arial" w:hAnsi="Arial"/>
                <w:sz w:val="18"/>
                <w:szCs w:val="18"/>
                <w:b w:val="1"/>
                <w:bCs w:val="1"/>
                <w:color w:val="auto"/>
              </w:rPr>
              <w:t>For the three months ended June 30,</w:t>
            </w:r>
          </w:p>
        </w:tc>
        <w:tc>
          <w:tcPr>
            <w:tcW w:w="900" w:type="dxa"/>
            <w:vAlign w:val="bottom"/>
          </w:tcPr>
          <w:p>
            <w:pPr>
              <w:spacing w:after="0"/>
              <w:rPr>
                <w:sz w:val="20"/>
                <w:szCs w:val="20"/>
                <w:color w:val="auto"/>
              </w:rPr>
            </w:pPr>
          </w:p>
        </w:tc>
        <w:tc>
          <w:tcPr>
            <w:tcW w:w="31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2"/>
              </w:rPr>
              <w:t>For the six months ended June 30,</w:t>
            </w:r>
          </w:p>
        </w:tc>
        <w:tc>
          <w:tcPr>
            <w:tcW w:w="0" w:type="dxa"/>
            <w:vAlign w:val="bottom"/>
          </w:tcPr>
          <w:p>
            <w:pPr>
              <w:spacing w:after="0"/>
              <w:rPr>
                <w:sz w:val="1"/>
                <w:szCs w:val="1"/>
                <w:color w:val="auto"/>
              </w:rPr>
            </w:pPr>
          </w:p>
        </w:tc>
      </w:tr>
      <w:tr>
        <w:trPr>
          <w:trHeight w:val="27"/>
        </w:trPr>
        <w:tc>
          <w:tcPr>
            <w:tcW w:w="3020" w:type="dxa"/>
            <w:vAlign w:val="bottom"/>
            <w:vMerge w:val="restart"/>
          </w:tcPr>
          <w:p>
            <w:pPr>
              <w:ind w:left="660"/>
              <w:spacing w:after="0"/>
              <w:rPr>
                <w:sz w:val="20"/>
                <w:szCs w:val="20"/>
                <w:color w:val="auto"/>
              </w:rPr>
            </w:pPr>
            <w:r>
              <w:rPr>
                <w:rFonts w:ascii="Arial" w:cs="Arial" w:eastAsia="Arial" w:hAnsi="Arial"/>
                <w:sz w:val="18"/>
                <w:szCs w:val="18"/>
                <w:i w:val="1"/>
                <w:iCs w:val="1"/>
                <w:color w:val="auto"/>
                <w:w w:val="94"/>
              </w:rPr>
              <w:t>(In thousands, except for share</w:t>
            </w: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i w:val="1"/>
                <w:iCs w:val="1"/>
                <w:color w:val="auto"/>
              </w:rPr>
              <w:t>and per share values)</w:t>
            </w:r>
          </w:p>
        </w:tc>
        <w:tc>
          <w:tcPr>
            <w:tcW w:w="8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2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Numerator:</w:t>
            </w: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2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20" w:type="dxa"/>
            <w:vAlign w:val="bottom"/>
          </w:tcPr>
          <w:p>
            <w:pPr>
              <w:ind w:left="660"/>
              <w:spacing w:after="0"/>
              <w:rPr>
                <w:sz w:val="20"/>
                <w:szCs w:val="20"/>
                <w:color w:val="auto"/>
              </w:rPr>
            </w:pPr>
            <w:r>
              <w:rPr>
                <w:rFonts w:ascii="Arial" w:cs="Arial" w:eastAsia="Arial" w:hAnsi="Arial"/>
                <w:sz w:val="18"/>
                <w:szCs w:val="18"/>
                <w:color w:val="auto"/>
              </w:rPr>
              <w:t>Net income (loss)</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(20,034)</w:t>
            </w:r>
          </w:p>
        </w:tc>
        <w:tc>
          <w:tcPr>
            <w:tcW w:w="10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(24,518)</w:t>
            </w:r>
          </w:p>
        </w:tc>
        <w:tc>
          <w:tcPr>
            <w:tcW w:w="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56"/>
        </w:trPr>
        <w:tc>
          <w:tcPr>
            <w:tcW w:w="3020" w:type="dxa"/>
            <w:vAlign w:val="bottom"/>
          </w:tcPr>
          <w:p>
            <w:pPr>
              <w:ind w:left="760"/>
              <w:spacing w:after="0"/>
              <w:rPr>
                <w:sz w:val="20"/>
                <w:szCs w:val="20"/>
                <w:color w:val="auto"/>
              </w:rPr>
            </w:pPr>
            <w:r>
              <w:rPr>
                <w:rFonts w:ascii="Arial" w:cs="Arial" w:eastAsia="Arial" w:hAnsi="Arial"/>
                <w:sz w:val="18"/>
                <w:szCs w:val="18"/>
                <w:color w:val="auto"/>
                <w:w w:val="99"/>
              </w:rPr>
              <w:t>Less: undistributed earnings</w:t>
            </w:r>
          </w:p>
        </w:tc>
        <w:tc>
          <w:tcPr>
            <w:tcW w:w="8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20"/>
              <w:spacing w:after="0"/>
              <w:rPr>
                <w:sz w:val="20"/>
                <w:szCs w:val="20"/>
                <w:color w:val="auto"/>
              </w:rPr>
            </w:pPr>
            <w:r>
              <w:rPr>
                <w:rFonts w:ascii="Arial" w:cs="Arial" w:eastAsia="Arial" w:hAnsi="Arial"/>
                <w:sz w:val="18"/>
                <w:szCs w:val="18"/>
                <w:color w:val="auto"/>
              </w:rPr>
              <w:t>allocated to redeemable convertible</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120"/>
              <w:spacing w:after="0"/>
              <w:rPr>
                <w:sz w:val="20"/>
                <w:szCs w:val="20"/>
                <w:color w:val="auto"/>
              </w:rPr>
            </w:pPr>
            <w:r>
              <w:rPr>
                <w:rFonts w:ascii="Arial" w:cs="Arial" w:eastAsia="Arial" w:hAnsi="Arial"/>
                <w:sz w:val="18"/>
                <w:szCs w:val="18"/>
                <w:color w:val="auto"/>
              </w:rPr>
              <w:t>preferred stock</w:t>
            </w:r>
          </w:p>
        </w:tc>
        <w:tc>
          <w:tcPr>
            <w:tcW w:w="8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50"/>
        </w:trPr>
        <w:tc>
          <w:tcPr>
            <w:tcW w:w="3020" w:type="dxa"/>
            <w:vAlign w:val="bottom"/>
          </w:tcPr>
          <w:p>
            <w:pPr>
              <w:ind w:left="760"/>
              <w:spacing w:after="0"/>
              <w:rPr>
                <w:sz w:val="20"/>
                <w:szCs w:val="20"/>
                <w:color w:val="auto"/>
              </w:rPr>
            </w:pPr>
            <w:r>
              <w:rPr>
                <w:rFonts w:ascii="Arial" w:cs="Arial" w:eastAsia="Arial" w:hAnsi="Arial"/>
                <w:sz w:val="18"/>
                <w:szCs w:val="18"/>
                <w:color w:val="auto"/>
              </w:rPr>
              <w:t>Add: gain on conversion of</w:t>
            </w:r>
          </w:p>
        </w:tc>
        <w:tc>
          <w:tcPr>
            <w:tcW w:w="8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020" w:type="dxa"/>
            <w:vAlign w:val="bottom"/>
          </w:tcPr>
          <w:p>
            <w:pPr>
              <w:ind w:left="120"/>
              <w:spacing w:after="0"/>
              <w:rPr>
                <w:sz w:val="20"/>
                <w:szCs w:val="20"/>
                <w:color w:val="auto"/>
              </w:rPr>
            </w:pPr>
            <w:r>
              <w:rPr>
                <w:rFonts w:ascii="Arial" w:cs="Arial" w:eastAsia="Arial" w:hAnsi="Arial"/>
                <w:sz w:val="18"/>
                <w:szCs w:val="18"/>
                <w:color w:val="auto"/>
              </w:rPr>
              <w:t>preferred stock</w:t>
            </w:r>
            <w:r>
              <w:rPr>
                <w:rFonts w:ascii="Arial" w:cs="Arial" w:eastAsia="Arial" w:hAnsi="Arial"/>
                <w:sz w:val="23"/>
                <w:szCs w:val="23"/>
                <w:color w:val="auto"/>
                <w:vertAlign w:val="superscript"/>
              </w:rPr>
              <w:t>(1)</w:t>
            </w:r>
          </w:p>
        </w:tc>
        <w:tc>
          <w:tcPr>
            <w:tcW w:w="8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28,994</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28,994</w:t>
            </w: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3020" w:type="dxa"/>
            <w:vAlign w:val="bottom"/>
          </w:tcPr>
          <w:p>
            <w:pPr>
              <w:ind w:left="760"/>
              <w:spacing w:after="0"/>
              <w:rPr>
                <w:sz w:val="20"/>
                <w:szCs w:val="20"/>
                <w:color w:val="auto"/>
              </w:rPr>
            </w:pPr>
            <w:r>
              <w:rPr>
                <w:rFonts w:ascii="Arial" w:cs="Arial" w:eastAsia="Arial" w:hAnsi="Arial"/>
                <w:sz w:val="18"/>
                <w:szCs w:val="18"/>
                <w:color w:val="auto"/>
              </w:rPr>
              <w:t>Less: dividends paid to</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020" w:type="dxa"/>
            <w:vAlign w:val="bottom"/>
          </w:tcPr>
          <w:p>
            <w:pPr>
              <w:ind w:left="120"/>
              <w:spacing w:after="0" w:line="263" w:lineRule="exact"/>
              <w:rPr>
                <w:sz w:val="20"/>
                <w:szCs w:val="20"/>
                <w:color w:val="auto"/>
              </w:rPr>
            </w:pPr>
            <w:r>
              <w:rPr>
                <w:rFonts w:ascii="Arial" w:cs="Arial" w:eastAsia="Arial" w:hAnsi="Arial"/>
                <w:sz w:val="18"/>
                <w:szCs w:val="18"/>
                <w:color w:val="auto"/>
              </w:rPr>
              <w:t>preferred stockholders</w:t>
            </w:r>
            <w:r>
              <w:rPr>
                <w:rFonts w:ascii="Arial" w:cs="Arial" w:eastAsia="Arial" w:hAnsi="Arial"/>
                <w:sz w:val="23"/>
                <w:szCs w:val="23"/>
                <w:color w:val="auto"/>
                <w:vertAlign w:val="superscript"/>
              </w:rPr>
              <w:t>(2)</w:t>
            </w:r>
          </w:p>
        </w:tc>
        <w:tc>
          <w:tcPr>
            <w:tcW w:w="8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(20,637)</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(20,637)</w:t>
            </w: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660"/>
              <w:spacing w:after="0"/>
              <w:rPr>
                <w:sz w:val="20"/>
                <w:szCs w:val="20"/>
                <w:color w:val="auto"/>
              </w:rPr>
            </w:pPr>
            <w:r>
              <w:rPr>
                <w:rFonts w:ascii="Arial" w:cs="Arial" w:eastAsia="Arial" w:hAnsi="Arial"/>
                <w:sz w:val="18"/>
                <w:szCs w:val="18"/>
                <w:color w:val="auto"/>
                <w:w w:val="92"/>
              </w:rPr>
              <w:t>Net income (loss) attributable to</w:t>
            </w:r>
          </w:p>
        </w:tc>
        <w:tc>
          <w:tcPr>
            <w:tcW w:w="8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common stockholders - basic</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(11,677)</w:t>
            </w:r>
          </w:p>
        </w:tc>
        <w:tc>
          <w:tcPr>
            <w:tcW w:w="1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(16,161)</w:t>
            </w:r>
          </w:p>
        </w:tc>
        <w:tc>
          <w:tcPr>
            <w:tcW w:w="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6"/>
        </w:trPr>
        <w:tc>
          <w:tcPr>
            <w:tcW w:w="3020" w:type="dxa"/>
            <w:vAlign w:val="bottom"/>
          </w:tcPr>
          <w:p>
            <w:pPr>
              <w:ind w:left="760"/>
              <w:spacing w:after="0"/>
              <w:rPr>
                <w:sz w:val="20"/>
                <w:szCs w:val="20"/>
                <w:color w:val="auto"/>
              </w:rPr>
            </w:pPr>
            <w:r>
              <w:rPr>
                <w:rFonts w:ascii="Arial" w:cs="Arial" w:eastAsia="Arial" w:hAnsi="Arial"/>
                <w:sz w:val="18"/>
                <w:szCs w:val="18"/>
                <w:color w:val="auto"/>
              </w:rPr>
              <w:t>Add: undistributed earnings</w:t>
            </w:r>
          </w:p>
        </w:tc>
        <w:tc>
          <w:tcPr>
            <w:tcW w:w="8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120"/>
              <w:spacing w:after="0"/>
              <w:rPr>
                <w:sz w:val="20"/>
                <w:szCs w:val="20"/>
                <w:color w:val="auto"/>
              </w:rPr>
            </w:pPr>
            <w:r>
              <w:rPr>
                <w:rFonts w:ascii="Arial" w:cs="Arial" w:eastAsia="Arial" w:hAnsi="Arial"/>
                <w:sz w:val="18"/>
                <w:szCs w:val="18"/>
                <w:color w:val="auto"/>
                <w:w w:val="99"/>
              </w:rPr>
              <w:t>reallocated to common stockholders</w:t>
            </w:r>
          </w:p>
        </w:tc>
        <w:tc>
          <w:tcPr>
            <w:tcW w:w="8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020" w:type="dxa"/>
            <w:vAlign w:val="bottom"/>
            <w:vMerge w:val="restart"/>
          </w:tcPr>
          <w:p>
            <w:pPr>
              <w:ind w:left="660"/>
              <w:spacing w:after="0"/>
              <w:rPr>
                <w:sz w:val="20"/>
                <w:szCs w:val="20"/>
                <w:color w:val="auto"/>
              </w:rPr>
            </w:pPr>
            <w:r>
              <w:rPr>
                <w:rFonts w:ascii="Arial" w:cs="Arial" w:eastAsia="Arial" w:hAnsi="Arial"/>
                <w:sz w:val="18"/>
                <w:szCs w:val="18"/>
                <w:color w:val="auto"/>
                <w:w w:val="92"/>
              </w:rPr>
              <w:t>Net income (loss) attributable to</w:t>
            </w: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20" w:type="dxa"/>
            <w:vAlign w:val="bottom"/>
            <w:vMerge w:val="continue"/>
          </w:tcPr>
          <w:p>
            <w:pPr>
              <w:spacing w:after="0"/>
              <w:rPr>
                <w:sz w:val="18"/>
                <w:szCs w:val="18"/>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(11,677)</w:t>
            </w:r>
          </w:p>
        </w:tc>
        <w:tc>
          <w:tcPr>
            <w:tcW w:w="100" w:type="dxa"/>
            <w:vAlign w:val="bottom"/>
          </w:tcPr>
          <w:p>
            <w:pPr>
              <w:spacing w:after="0"/>
              <w:rPr>
                <w:sz w:val="18"/>
                <w:szCs w:val="18"/>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(16,161)</w:t>
            </w:r>
          </w:p>
        </w:tc>
        <w:tc>
          <w:tcPr>
            <w:tcW w:w="80" w:type="dxa"/>
            <w:vAlign w:val="bottom"/>
          </w:tcPr>
          <w:p>
            <w:pPr>
              <w:spacing w:after="0"/>
              <w:rPr>
                <w:sz w:val="18"/>
                <w:szCs w:val="18"/>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5"/>
        </w:trPr>
        <w:tc>
          <w:tcPr>
            <w:tcW w:w="3020" w:type="dxa"/>
            <w:vAlign w:val="bottom"/>
          </w:tcPr>
          <w:p>
            <w:pPr>
              <w:spacing w:after="0"/>
              <w:rPr>
                <w:sz w:val="20"/>
                <w:szCs w:val="20"/>
                <w:color w:val="auto"/>
              </w:rPr>
            </w:pPr>
            <w:r>
              <w:rPr>
                <w:rFonts w:ascii="Arial" w:cs="Arial" w:eastAsia="Arial" w:hAnsi="Arial"/>
                <w:sz w:val="18"/>
                <w:szCs w:val="18"/>
                <w:color w:val="auto"/>
              </w:rPr>
              <w:t>common stockholders - diluted</w:t>
            </w:r>
          </w:p>
        </w:tc>
        <w:tc>
          <w:tcPr>
            <w:tcW w:w="84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Denominator:</w:t>
            </w: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30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020" w:type="dxa"/>
            <w:vAlign w:val="bottom"/>
          </w:tcPr>
          <w:p>
            <w:pPr>
              <w:ind w:left="660"/>
              <w:spacing w:after="0"/>
              <w:rPr>
                <w:sz w:val="20"/>
                <w:szCs w:val="20"/>
                <w:color w:val="auto"/>
              </w:rPr>
            </w:pPr>
            <w:r>
              <w:rPr>
                <w:rFonts w:ascii="Arial" w:cs="Arial" w:eastAsia="Arial" w:hAnsi="Arial"/>
                <w:sz w:val="18"/>
                <w:szCs w:val="18"/>
                <w:color w:val="auto"/>
              </w:rPr>
              <w:t>Weighted average shares of</w:t>
            </w:r>
          </w:p>
        </w:tc>
        <w:tc>
          <w:tcPr>
            <w:tcW w:w="8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common stock outstanding - basic</w:t>
            </w:r>
          </w:p>
        </w:tc>
        <w:tc>
          <w:tcPr>
            <w:tcW w:w="8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68,079,387</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34,069,346</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51,184,615</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34,065,173</w:t>
            </w:r>
          </w:p>
        </w:tc>
        <w:tc>
          <w:tcPr>
            <w:tcW w:w="0" w:type="dxa"/>
            <w:vAlign w:val="bottom"/>
          </w:tcPr>
          <w:p>
            <w:pPr>
              <w:spacing w:after="0"/>
              <w:rPr>
                <w:sz w:val="1"/>
                <w:szCs w:val="1"/>
                <w:color w:val="auto"/>
              </w:rPr>
            </w:pPr>
          </w:p>
        </w:tc>
      </w:tr>
      <w:tr>
        <w:trPr>
          <w:trHeight w:val="256"/>
        </w:trPr>
        <w:tc>
          <w:tcPr>
            <w:tcW w:w="3020" w:type="dxa"/>
            <w:vAlign w:val="bottom"/>
          </w:tcPr>
          <w:p>
            <w:pPr>
              <w:ind w:left="760"/>
              <w:spacing w:after="0"/>
              <w:rPr>
                <w:sz w:val="20"/>
                <w:szCs w:val="20"/>
                <w:color w:val="auto"/>
              </w:rPr>
            </w:pPr>
            <w:r>
              <w:rPr>
                <w:rFonts w:ascii="Arial" w:cs="Arial" w:eastAsia="Arial" w:hAnsi="Arial"/>
                <w:sz w:val="18"/>
                <w:szCs w:val="18"/>
                <w:color w:val="auto"/>
              </w:rPr>
              <w:t>Add: effect of dilutive stock</w:t>
            </w:r>
          </w:p>
        </w:tc>
        <w:tc>
          <w:tcPr>
            <w:tcW w:w="8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120"/>
              <w:spacing w:after="0"/>
              <w:rPr>
                <w:sz w:val="20"/>
                <w:szCs w:val="20"/>
                <w:color w:val="auto"/>
              </w:rPr>
            </w:pPr>
            <w:r>
              <w:rPr>
                <w:rFonts w:ascii="Arial" w:cs="Arial" w:eastAsia="Arial" w:hAnsi="Arial"/>
                <w:sz w:val="18"/>
                <w:szCs w:val="18"/>
                <w:color w:val="auto"/>
              </w:rPr>
              <w:t>options</w:t>
            </w:r>
          </w:p>
        </w:tc>
        <w:tc>
          <w:tcPr>
            <w:tcW w:w="8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999,183</w:t>
            </w:r>
          </w:p>
        </w:tc>
        <w:tc>
          <w:tcPr>
            <w:tcW w:w="0" w:type="dxa"/>
            <w:vAlign w:val="bottom"/>
          </w:tcPr>
          <w:p>
            <w:pPr>
              <w:spacing w:after="0"/>
              <w:rPr>
                <w:sz w:val="1"/>
                <w:szCs w:val="1"/>
                <w:color w:val="auto"/>
              </w:rPr>
            </w:pPr>
          </w:p>
        </w:tc>
      </w:tr>
      <w:tr>
        <w:trPr>
          <w:trHeight w:val="27"/>
        </w:trPr>
        <w:tc>
          <w:tcPr>
            <w:tcW w:w="3020" w:type="dxa"/>
            <w:vAlign w:val="bottom"/>
            <w:vMerge w:val="restart"/>
          </w:tcPr>
          <w:p>
            <w:pPr>
              <w:ind w:left="660"/>
              <w:spacing w:after="0"/>
              <w:rPr>
                <w:sz w:val="20"/>
                <w:szCs w:val="20"/>
                <w:color w:val="auto"/>
              </w:rPr>
            </w:pPr>
            <w:r>
              <w:rPr>
                <w:rFonts w:ascii="Arial" w:cs="Arial" w:eastAsia="Arial" w:hAnsi="Arial"/>
                <w:sz w:val="18"/>
                <w:szCs w:val="18"/>
                <w:color w:val="auto"/>
              </w:rPr>
              <w:t>Weighted average shares of</w:t>
            </w: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common stock outstanding - diluted</w:t>
            </w:r>
          </w:p>
        </w:tc>
        <w:tc>
          <w:tcPr>
            <w:tcW w:w="8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68,079,387</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34,069,346</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51,184,615</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35,064,356</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5160" w:type="dxa"/>
            <w:vAlign w:val="bottom"/>
            <w:gridSpan w:val="4"/>
          </w:tcPr>
          <w:p>
            <w:pPr>
              <w:ind w:left="660"/>
              <w:spacing w:after="0"/>
              <w:rPr>
                <w:sz w:val="20"/>
                <w:szCs w:val="20"/>
                <w:color w:val="auto"/>
              </w:rPr>
            </w:pPr>
            <w:r>
              <w:rPr>
                <w:rFonts w:ascii="Arial" w:cs="Arial" w:eastAsia="Arial" w:hAnsi="Arial"/>
                <w:sz w:val="18"/>
                <w:szCs w:val="18"/>
                <w:color w:val="auto"/>
              </w:rPr>
              <w:t>Net income (loss) per share, attributable to common</w:t>
            </w: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shareholders:</w:t>
            </w: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020" w:type="dxa"/>
            <w:vAlign w:val="bottom"/>
          </w:tcPr>
          <w:p>
            <w:pPr>
              <w:ind w:left="760"/>
              <w:spacing w:after="0"/>
              <w:rPr>
                <w:sz w:val="20"/>
                <w:szCs w:val="20"/>
                <w:color w:val="auto"/>
              </w:rPr>
            </w:pPr>
            <w:r>
              <w:rPr>
                <w:rFonts w:ascii="Arial" w:cs="Arial" w:eastAsia="Arial" w:hAnsi="Arial"/>
                <w:sz w:val="18"/>
                <w:szCs w:val="18"/>
                <w:color w:val="auto"/>
              </w:rPr>
              <w:t>Basic</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020" w:type="dxa"/>
            <w:vAlign w:val="bottom"/>
          </w:tcPr>
          <w:p>
            <w:pPr>
              <w:ind w:left="760"/>
              <w:spacing w:after="0"/>
              <w:rPr>
                <w:sz w:val="20"/>
                <w:szCs w:val="20"/>
                <w:color w:val="auto"/>
              </w:rPr>
            </w:pPr>
            <w:r>
              <w:rPr>
                <w:rFonts w:ascii="Arial" w:cs="Arial" w:eastAsia="Arial" w:hAnsi="Arial"/>
                <w:sz w:val="18"/>
                <w:szCs w:val="18"/>
                <w:color w:val="auto"/>
              </w:rPr>
              <w:t>Diluted</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64" w:orient="portrait"/>
          <w:cols w:equalWidth="0" w:num="1">
            <w:col w:w="11311"/>
          </w:cols>
          <w:pgMar w:left="229" w:top="769"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0"/>
        <w:spacing w:after="0"/>
        <w:rPr>
          <w:sz w:val="20"/>
          <w:szCs w:val="20"/>
          <w:color w:val="auto"/>
        </w:rPr>
      </w:pPr>
      <w:r>
        <w:rPr>
          <w:rFonts w:ascii="Arial" w:cs="Arial" w:eastAsia="Arial" w:hAnsi="Arial"/>
          <w:sz w:val="16"/>
          <w:szCs w:val="16"/>
          <w:color w:val="auto"/>
        </w:rPr>
        <w:t>17</w:t>
      </w:r>
    </w:p>
    <w:p>
      <w:pPr>
        <w:sectPr>
          <w:pgSz w:w="11900" w:h="16964" w:orient="portrait"/>
          <w:cols w:equalWidth="0" w:num="1">
            <w:col w:w="11311"/>
          </w:cols>
          <w:pgMar w:left="229" w:top="769" w:right="359" w:bottom="0" w:gutter="0" w:footer="0" w:header="0"/>
          <w:type w:val="continuous"/>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281940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ind w:left="180" w:hanging="172"/>
        <w:spacing w:after="0"/>
        <w:tabs>
          <w:tab w:leader="none" w:pos="180" w:val="left"/>
        </w:tabs>
        <w:numPr>
          <w:ilvl w:val="0"/>
          <w:numId w:val="13"/>
        </w:numPr>
        <w:rPr>
          <w:rFonts w:ascii="Arial" w:cs="Arial" w:eastAsia="Arial" w:hAnsi="Arial"/>
          <w:sz w:val="9"/>
          <w:szCs w:val="9"/>
          <w:color w:val="auto"/>
        </w:rPr>
      </w:pPr>
      <w:r>
        <w:rPr>
          <w:rFonts w:ascii="Arial" w:cs="Arial" w:eastAsia="Arial" w:hAnsi="Arial"/>
          <w:sz w:val="9"/>
          <w:szCs w:val="9"/>
          <w:color w:val="auto"/>
        </w:rPr>
        <w:t>The conversion price of the Company’s Series C and Series D redeemable convertible preferred stock was adjusted as the offering price in the initial public offering was below a certain threshold resulting in the preferred stockholders</w:t>
      </w:r>
    </w:p>
    <w:p>
      <w:pPr>
        <w:spacing w:after="0" w:line="1" w:lineRule="exact"/>
        <w:rPr>
          <w:rFonts w:ascii="Arial" w:cs="Arial" w:eastAsia="Arial" w:hAnsi="Arial"/>
          <w:sz w:val="9"/>
          <w:szCs w:val="9"/>
          <w:color w:val="auto"/>
        </w:rPr>
      </w:pPr>
    </w:p>
    <w:p>
      <w:pPr>
        <w:spacing w:after="0" w:line="219" w:lineRule="auto"/>
        <w:rPr>
          <w:rFonts w:ascii="Arial" w:cs="Arial" w:eastAsia="Arial" w:hAnsi="Arial"/>
          <w:sz w:val="9"/>
          <w:szCs w:val="9"/>
          <w:color w:val="auto"/>
        </w:rPr>
      </w:pPr>
      <w:r>
        <w:rPr>
          <w:rFonts w:ascii="Arial" w:cs="Arial" w:eastAsia="Arial" w:hAnsi="Arial"/>
          <w:sz w:val="9"/>
          <w:szCs w:val="9"/>
          <w:color w:val="auto"/>
        </w:rPr>
        <w:t>receiving a fixed dollar amount on conversion settled into a variable number of shares, or a stock-settled redemption feature. Upon the settlement of this redemption feature, the Company recorded a gain on extinguishment of the redeemable convertible preferred stock of $29.0 million as an adjustment to net loss to arrive at net loss attributable to common stockholders to calculate earnings per share. The extinguishment gain was measured as the difference between the carrying amount of the redeemable convertible preferred stock and the fair value of common stock upon the IPO date that the preferred stock converted into.</w:t>
      </w:r>
    </w:p>
    <w:p>
      <w:pPr>
        <w:ind w:right="80" w:firstLine="8"/>
        <w:spacing w:after="0" w:line="202" w:lineRule="auto"/>
        <w:tabs>
          <w:tab w:leader="none" w:pos="165"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 April 2021, the Company's board of directors declared a cash dividend of $35.0 million to the holders of record of our common stock as of May 3, 2021, that was contingent upon the closing of the Company's IPO. On June 29, 2021, the Company paid the dividend, of which $20.6 million was paid to the holders of the Company's redeemable convertible preferred stock.</w:t>
      </w:r>
    </w:p>
    <w:p>
      <w:pPr>
        <w:spacing w:after="0" w:line="2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potentially dilutive shares were excluded from the computation of diluted net income (loss) per share because including them would have been antidilutive:</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680" w:type="dxa"/>
            <w:vAlign w:val="bottom"/>
            <w:gridSpan w:val="4"/>
          </w:tcPr>
          <w:p>
            <w:pPr>
              <w:ind w:left="380"/>
              <w:spacing w:after="0"/>
              <w:rPr>
                <w:sz w:val="20"/>
                <w:szCs w:val="20"/>
                <w:color w:val="auto"/>
              </w:rPr>
            </w:pPr>
            <w:r>
              <w:rPr>
                <w:rFonts w:ascii="Arial" w:cs="Arial" w:eastAsia="Arial" w:hAnsi="Arial"/>
                <w:sz w:val="18"/>
                <w:szCs w:val="18"/>
                <w:b w:val="1"/>
                <w:bCs w:val="1"/>
                <w:color w:val="auto"/>
              </w:rPr>
              <w:t>For the three months ended June 30,</w:t>
            </w:r>
          </w:p>
        </w:tc>
        <w:tc>
          <w:tcPr>
            <w:tcW w:w="36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17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7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7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3920" w:type="dxa"/>
            <w:vAlign w:val="bottom"/>
            <w:vMerge w:val="restart"/>
          </w:tcPr>
          <w:p>
            <w:pPr>
              <w:spacing w:after="0"/>
              <w:rPr>
                <w:sz w:val="20"/>
                <w:szCs w:val="20"/>
                <w:color w:val="auto"/>
              </w:rPr>
            </w:pPr>
            <w:r>
              <w:rPr>
                <w:rFonts w:ascii="Arial" w:cs="Arial" w:eastAsia="Arial" w:hAnsi="Arial"/>
                <w:sz w:val="18"/>
                <w:szCs w:val="18"/>
                <w:color w:val="auto"/>
              </w:rPr>
              <w:t>Redeemable convertible preferred stock</w:t>
            </w:r>
            <w:r>
              <w:rPr>
                <w:rFonts w:ascii="Arial" w:cs="Arial" w:eastAsia="Arial" w:hAnsi="Arial"/>
                <w:sz w:val="23"/>
                <w:szCs w:val="23"/>
                <w:color w:val="auto"/>
                <w:vertAlign w:val="superscript"/>
              </w:rPr>
              <w:t>(1)</w:t>
            </w: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920" w:type="dxa"/>
            <w:vAlign w:val="bottom"/>
            <w:vMerge w:val="continue"/>
          </w:tcPr>
          <w:p>
            <w:pPr>
              <w:spacing w:after="0"/>
              <w:rPr>
                <w:sz w:val="24"/>
                <w:szCs w:val="24"/>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49,100,928</w:t>
            </w:r>
          </w:p>
        </w:tc>
        <w:tc>
          <w:tcPr>
            <w:tcW w:w="100" w:type="dxa"/>
            <w:vAlign w:val="bottom"/>
          </w:tcPr>
          <w:p>
            <w:pPr>
              <w:spacing w:after="0"/>
              <w:rPr>
                <w:sz w:val="24"/>
                <w:szCs w:val="24"/>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49,100,928</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1740" w:type="dxa"/>
            <w:vAlign w:val="bottom"/>
          </w:tcPr>
          <w:p>
            <w:pPr>
              <w:jc w:val="right"/>
              <w:spacing w:after="0"/>
              <w:rPr>
                <w:sz w:val="20"/>
                <w:szCs w:val="20"/>
                <w:color w:val="auto"/>
              </w:rPr>
            </w:pPr>
            <w:r>
              <w:rPr>
                <w:rFonts w:ascii="Arial" w:cs="Arial" w:eastAsia="Arial" w:hAnsi="Arial"/>
                <w:sz w:val="18"/>
                <w:szCs w:val="18"/>
                <w:color w:val="auto"/>
              </w:rPr>
              <w:t>17,676,563</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17,414,024</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17,676,563</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11,963,528</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1740" w:type="dxa"/>
            <w:vAlign w:val="bottom"/>
          </w:tcPr>
          <w:p>
            <w:pPr>
              <w:jc w:val="right"/>
              <w:spacing w:after="0"/>
              <w:rPr>
                <w:sz w:val="20"/>
                <w:szCs w:val="20"/>
                <w:color w:val="auto"/>
              </w:rPr>
            </w:pPr>
            <w:r>
              <w:rPr>
                <w:rFonts w:ascii="Arial" w:cs="Arial" w:eastAsia="Arial" w:hAnsi="Arial"/>
                <w:sz w:val="18"/>
                <w:szCs w:val="18"/>
                <w:color w:val="auto"/>
              </w:rPr>
              <w:t>2,709,119</w:t>
            </w:r>
          </w:p>
        </w:tc>
        <w:tc>
          <w:tcPr>
            <w:tcW w:w="100" w:type="dxa"/>
            <w:vAlign w:val="bottom"/>
          </w:tcPr>
          <w:p>
            <w:pPr>
              <w:spacing w:after="0"/>
              <w:rPr>
                <w:sz w:val="23"/>
                <w:szCs w:val="23"/>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2,709,119</w:t>
            </w:r>
          </w:p>
        </w:tc>
        <w:tc>
          <w:tcPr>
            <w:tcW w:w="1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740" w:type="dxa"/>
            <w:vAlign w:val="bottom"/>
          </w:tcPr>
          <w:p>
            <w:pPr>
              <w:jc w:val="right"/>
              <w:spacing w:after="0"/>
              <w:rPr>
                <w:sz w:val="20"/>
                <w:szCs w:val="20"/>
                <w:color w:val="auto"/>
              </w:rPr>
            </w:pPr>
            <w:r>
              <w:rPr>
                <w:rFonts w:ascii="Arial" w:cs="Arial" w:eastAsia="Arial" w:hAnsi="Arial"/>
                <w:sz w:val="18"/>
                <w:szCs w:val="18"/>
                <w:color w:val="auto"/>
              </w:rPr>
              <w:t>30,789</w:t>
            </w:r>
          </w:p>
        </w:tc>
        <w:tc>
          <w:tcPr>
            <w:tcW w:w="100" w:type="dxa"/>
            <w:vAlign w:val="bottom"/>
          </w:tcPr>
          <w:p>
            <w:pPr>
              <w:spacing w:after="0"/>
              <w:rPr>
                <w:sz w:val="23"/>
                <w:szCs w:val="23"/>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30,789</w:t>
            </w:r>
          </w:p>
        </w:tc>
        <w:tc>
          <w:tcPr>
            <w:tcW w:w="1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920" w:type="dxa"/>
            <w:vAlign w:val="bottom"/>
          </w:tcPr>
          <w:p>
            <w:pPr>
              <w:ind w:left="1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20,416,471</w:t>
            </w:r>
          </w:p>
        </w:tc>
        <w:tc>
          <w:tcPr>
            <w:tcW w:w="100" w:type="dxa"/>
            <w:vAlign w:val="bottom"/>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66,514,952</w:t>
            </w:r>
          </w:p>
        </w:tc>
        <w:tc>
          <w:tcPr>
            <w:tcW w:w="100" w:type="dxa"/>
            <w:vAlign w:val="bottom"/>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20,416,471</w:t>
            </w:r>
          </w:p>
        </w:tc>
        <w:tc>
          <w:tcPr>
            <w:tcW w:w="100" w:type="dxa"/>
            <w:vAlign w:val="bottom"/>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61,064,456</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2"/>
          <w:szCs w:val="12"/>
          <w:color w:val="auto"/>
        </w:rPr>
      </w:pPr>
      <w:r>
        <w:rPr>
          <w:rFonts w:ascii="Arial" w:cs="Arial" w:eastAsia="Arial" w:hAnsi="Arial"/>
          <w:sz w:val="11"/>
          <w:szCs w:val="11"/>
          <w:color w:val="auto"/>
        </w:rPr>
        <w:t>Immediately prior to the completion of the IPO, 49,100,928 outstanding shares of redeemable convertible preferred stock with a carrying value of $376.4 million converted into 49,649,023 shares. of common stock.</w:t>
      </w:r>
    </w:p>
    <w:p>
      <w:pPr>
        <w:spacing w:after="0" w:line="282"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In determining quarterly provisions for income taxes, the Company uses the annual estimated effective tax rate applied to the actual year-to-date loss, adjusted for discrete items arising in that quarter. The Company’s annual estimated effective tax rate differs from the U.S. federal statutory rate of 21% primarily as a result of a valuation allowance against net deferred tax assets, stock-based compensation, state taxes, and other permanent differences.</w:t>
      </w:r>
    </w:p>
    <w:p>
      <w:pPr>
        <w:spacing w:after="0" w:line="14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 has evaluated the available positive and negative evidence supporting the realization of its gross deferred tax assets, including cumulative losses, and the amount and timing of future taxable income, and has determined it is more likely than not that the assets will not be realized. Accordingly, the Company has recorded a full valuation allowance against the U.S. federal and state deferred tax assets as of each balance sheet date presented.</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three and six months ended June 30, 2021 and 2020, the Company has not recorded any uncertain tax positions and has not recognized interest or penalties in the consolidated statement of operations and comprehensive income (loss).</w:t>
      </w:r>
    </w:p>
    <w:p>
      <w:pPr>
        <w:spacing w:after="0" w:line="19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ind w:right="260" w:firstLine="648"/>
        <w:spacing w:after="0" w:line="307" w:lineRule="auto"/>
        <w:rPr>
          <w:sz w:val="20"/>
          <w:szCs w:val="20"/>
          <w:color w:val="auto"/>
        </w:rPr>
      </w:pPr>
      <w:r>
        <w:rPr>
          <w:rFonts w:ascii="Arial" w:cs="Arial" w:eastAsia="Arial" w:hAnsi="Arial"/>
          <w:sz w:val="16"/>
          <w:szCs w:val="16"/>
          <w:color w:val="auto"/>
        </w:rPr>
        <w:t>In April 2020, the Company engaged Summit House Studios LLC, a third-party consultant, to provide digital ad production services. Summit House Studios LLC is owned by a major shareholder of the Company. Based on services provided, the Company incurred $0.2 million and $0.3 million, respectively, of advertising costs for the three and six months ended June 30, 2021, and $0.1 million and $0.1 million, respectively, for the three and six months ended June 30, 2020 which is reported as marketing expense in the Company’s consolidated statements of comprehensive income (loss).</w:t>
      </w:r>
    </w:p>
    <w:p>
      <w:pPr>
        <w:spacing w:after="0" w:line="175" w:lineRule="exact"/>
        <w:rPr>
          <w:sz w:val="20"/>
          <w:szCs w:val="20"/>
          <w:color w:val="auto"/>
        </w:rPr>
      </w:pPr>
    </w:p>
    <w:p>
      <w:pPr>
        <w:ind w:left="660" w:right="9320" w:hanging="652"/>
        <w:spacing w:after="0" w:line="563" w:lineRule="auto"/>
        <w:tabs>
          <w:tab w:leader="none" w:pos="46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prospectus, dated May 4, 2021, filed with the Securities and Exchange Commission (“SEC”) in accordance with Rule 424(b) of the Securities Act on May 6, 2021 (the “Prospectus”) in connection with our initial public offering (“IPO”).</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Honest Company, Inc. (“Honest” and, together with its consolidated subsidiaries, the “Company,” “we,” “us” and “our”) is a digitally-native, mission-driven brand focused on leading the clean lifestyle movement, creating a community for conscious consumers and seeking to disrupt multiple consumer product categories. Our commitment to our core values, passionate innovation and engaging our community has differentiated and elevated our brand and our products. Since our launch in 2012, we have been dedicated to developing clean, sustainable, effective and thoughtfully-designed products. By doing so with transparency, we have cultivated deep trust around what matters most to our consumers: their health, their families and their homes. We are an omnichannel brand, ensuring our products are available however our consumers shop. Our differentiated platform positions us for continued growth through our trusted brand, award-winning multi-category product offering, deep digital-first connection with consumers and omnichannel accessibility.</w:t>
      </w:r>
    </w:p>
    <w:p>
      <w:pPr>
        <w:spacing w:after="0" w:line="180"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color w:val="auto"/>
        </w:rPr>
        <w:t>Our integrated multi-category product architecture is intentionally designed to serve our consumers every day, at every age and through every life stage, no matter where they are on their journey. Our three categories are Diapers and Wipes, Skin and Personal Care, and Household and Wellness, which represented 64%, 32%, and 4%, respectively, of our revenue for the three months ended June 30, 2021, compared to 67%, 28%, and 5%, respectively, of our revenue for the three months ended June 30, 2020, and 63%, 32%, and 5%, respectively, of our revenue for the six months ended June 30, 2021, compared to 69%, 27%, and 4%, respectively, of our revenue for the six months ended June 30, 2020. At the center of our product ecosystem are our diapers, which are a strategic consumer acquisition tool that acts as an entry point for our portfolio, as new parents often go on to purchase products from our other categories for their everyday family needs. Our integrated multi-category product architecture is designed to drive loyalty, increase our consumer wallet share and generate attractive consumer lifetime value.</w:t>
      </w:r>
    </w:p>
    <w:p>
      <w:pPr>
        <w:spacing w:after="0" w:line="19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believe that our consumers are modern, aspirational, conscious and style-forward and that they seek out high quality, effective and thoughtfully-designed products. We believe that they are passionate about living a conscious life and are enthusiastic ambassadors for brands they trust. As purpose-driven consumers, they transcend any one demographic, spanning gender, age, geography, ethnicity and household income. Honest consumers are often young, mobile-centric and digitally-inclined. We build relationships with these consumers through a disruptive digital marketing strategy that engages them with “snackable” digital content (short-form, easily digestible content), immerses them in our brand values, and inspires them to join the Honest community. Our direct connection with our community enables us to understand what consumers’ needs are and inspires our product innovation pipeline, generating a significant competitive advantage over more traditional consumer packaged goods, or CPG, peers.</w:t>
      </w:r>
    </w:p>
    <w:p>
      <w:pPr>
        <w:spacing w:after="0" w:line="180" w:lineRule="exact"/>
        <w:rPr>
          <w:sz w:val="20"/>
          <w:szCs w:val="20"/>
          <w:color w:val="auto"/>
        </w:rPr>
      </w:pPr>
    </w:p>
    <w:p>
      <w:pPr>
        <w:ind w:firstLine="648"/>
        <w:spacing w:after="0" w:line="236" w:lineRule="auto"/>
        <w:rPr>
          <w:sz w:val="20"/>
          <w:szCs w:val="20"/>
          <w:color w:val="auto"/>
        </w:rPr>
      </w:pPr>
      <w:r>
        <w:rPr>
          <w:rFonts w:ascii="Arial" w:cs="Arial" w:eastAsia="Arial" w:hAnsi="Arial"/>
          <w:sz w:val="17"/>
          <w:szCs w:val="17"/>
          <w:color w:val="auto"/>
        </w:rPr>
        <w:t>Our omnichannel approach seeks to meet consumers however they want to shop, balancing deep consumer connection with broad convenience and accessibility. Since our launch, we have built a well-integrated omnichannel presence by expanding our retail accessibility across both Digital and Retail channels, including the launch of strategic partnerships with Costco, Target and Amazon in 2013, 2014 and 2017, respectively. For the three months ended June 30, 2021, we generated 47% and 53% of our revenue from our Digital and Retail channels, respectively, compared to 64% and 36%, respectively, for the three months ended June 30, 2020. For the six months ended June 30, 2021, we generated 50% and 50% of our revenue from our Digital and Retail channels, respectively, compared to 61% and 39%, respectively, for the six months ended June 30, 2020. We maintain direct relationships with our consumers via our flagship digital platform, Honest.com, which allows us to influence brand experience and better understand consumer preferences and behavior. We increase accessibility of our products to more consumers through both the third-party pureplay ecommerce sites that, with Honest.com, comprise the rest of our Digital channel, and our Retail channel, which includes leading retailers and their websites. Our products can be found in approximately 32,000 retail locations across the United States, Canada and Europe. This distinctive business model has allowed us to efficiently scale our business while remaining agnostic as to the channel where consumers purchase our products. Our integrated omnichannel presence provides meaningful benefits to our consumers which we believe is not easily replicated by our competitors.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Innovation Strategy</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7"/>
          <w:szCs w:val="17"/>
          <w:color w:val="231F20"/>
        </w:rPr>
        <w:t>Our Innovation Strategy was implemented in 2017, in order to reposition us for long-term success. In the first two years of implementing the</w:t>
      </w:r>
    </w:p>
    <w:p>
      <w:pPr>
        <w:spacing w:after="0" w:line="35"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231F20"/>
        </w:rPr>
        <w:t>Innovation Strategy, we underwent a period of transition during which we executed on portfolio simplification, product innovation and accelerated our shift from digital to omnichannel.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Initial Public Offering</w:t>
      </w:r>
    </w:p>
    <w:p>
      <w:pPr>
        <w:spacing w:after="0" w:line="25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On May 7, 2021, we completed our IPO of 25,807,000 shares of our common stock at a stock price of $16.00 per share, resulting in aggregate net proceeds to us of approximately $91.0 million, after deducting the underwriting discount and commissions of $6.7 million and offering expenses of $5.5 million, $0.6 million of which was unpaid at June 30, 2021. We sold 6,451,613 shares and certain existing stockholders sold an aggregate of 19,355,387 shares. We granted the underwriters an option for a period of 30 days to purchase up to an additional 3,871,050 shares of common stock from the selling stockholders at $16.00 per share less the underwriting discounts and commissions. In May 2021, the underwriters fully exercised the option to purchase these additional shares from the selling stockholders. We did not receive any proceeds from the sale of shares of our common stock by the selling stockholders.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of this Quarterly Report on Form 10-Q titled “Risk Factors.”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Grow Our Brand Awareness</w:t>
      </w:r>
    </w:p>
    <w:p>
      <w:pPr>
        <w:spacing w:after="0" w:line="23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brand is integral to the growth of our business and is essential to our ability to engage and stay connected with the growing clean lifestyle consumer. Honest is still unknown to many consumers, with unaided brand awareness of 25% among diaper buyers according to our consumer research as of January 2021. In order to increase the wallet share of existing conscious consumers and attract new ones, our brand has to maintain its trustworthiness and authenticity. Our ability to attract new consumers will depend, among other things, on our ability to successfully communicate the value of our products as clean, sustainable and effective, the efficacy of our marketing efforts and the offerings of our competitors. Beyond preserving the integrity of our brand, our performance will depend on our ability to augment our reach and increase the number of consumers aware of Honest and our product portfolio. We believe our brand strength will enable us to continue to expand across categories and channels, allowing us to deepen relationships with consumers and expand our access to global markets. Our performance depends significantly on factors that may affect the level and pattern of consumer spending in the product categories in which we operate.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Innovation</w:t>
      </w:r>
    </w:p>
    <w:p>
      <w:pPr>
        <w:spacing w:after="0" w:line="23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Research, development and innovation are core elements underpinning our growth strategy. Through our in-house research and development laboratories, we are able to access the latest advancements in clean ingredients and continue to innovate in the clean conscious lifestyle space. Based in Los Angeles, California, our research and development team, including chemists and an in-house toxicologist, develops innovative clean products based on the latest green technology. At Honest, product innovation never stops. The improvement of existing products and the introduction of new products have been, and continue to be, integral to our growth. We have made significant investments in our product development capabilities and plan to do so in the future. We believe our rigorous approach to product innovation has helped redefine and grow the clean and natural segments of the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integrated business planning processes and capabilities.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Product Category Growth</w:t>
      </w:r>
    </w:p>
    <w:p>
      <w:pPr>
        <w:spacing w:after="0" w:line="239"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Our product mix is a driver of our financial performance given our focus on accretive product launches and innovation to increase product margins. Even though our growth strategy aims to boost sales across all categories, we intend to prioritize growth in Skin and Personal Care given its attractive margin characteristics and leverage our brand equity and consumer insights to extend into new adjacent product categories. Since we launched our Innovation Strategy, we have enhanced our product portfolio by strategically discontinuing certain products and making calculated extensions within our three product categories. These product changes have contributed to our revenue and margin growth.</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Execution of Omnichannel Strategy</w:t>
      </w:r>
    </w:p>
    <w:p>
      <w:pPr>
        <w:spacing w:after="0" w:line="225" w:lineRule="exact"/>
        <w:rPr>
          <w:sz w:val="20"/>
          <w:szCs w:val="20"/>
          <w:color w:val="auto"/>
        </w:rPr>
      </w:pPr>
    </w:p>
    <w:p>
      <w:pPr>
        <w:ind w:right="20" w:firstLine="648"/>
        <w:spacing w:after="0" w:line="261" w:lineRule="auto"/>
        <w:rPr>
          <w:sz w:val="20"/>
          <w:szCs w:val="20"/>
          <w:color w:val="auto"/>
        </w:rPr>
      </w:pPr>
      <w:r>
        <w:rPr>
          <w:rFonts w:ascii="Arial" w:cs="Arial" w:eastAsia="Arial" w:hAnsi="Arial"/>
          <w:sz w:val="16"/>
          <w:szCs w:val="16"/>
          <w:color w:val="auto"/>
        </w:rPr>
        <w:t>The continued execution of our omnichannel strategy impacts our financial performance. We intend to continue leveraging our marketing strategy to drive increased consumer traffic to our flagship digital platform, Honest.com, as it is a valuable tool for creating direct connections with our consumers, influencing brand experience and understanding consumer preference and behavior. Our partnerships with leading third-party retail platforms and national retailers have broadened our consumer reach, raised our brand awareness and enhanced our margins through operating leverage. We will continue to pursue partnerships with a wide variety of retailers, including online retailers, big-box retailers, grocery stores, drugstores and specialty</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3" w:name="page24"/>
    <w:bookmarkEnd w:id="23"/>
    <w:p>
      <w:pPr>
        <w:ind w:right="80"/>
        <w:spacing w:after="0" w:line="239" w:lineRule="auto"/>
        <w:rPr>
          <w:sz w:val="20"/>
          <w:szCs w:val="20"/>
          <w:color w:val="auto"/>
        </w:rPr>
      </w:pPr>
      <w:r>
        <w:rPr>
          <w:rFonts w:ascii="Arial" w:cs="Arial" w:eastAsia="Arial" w:hAnsi="Arial"/>
          <w:sz w:val="17"/>
          <w:szCs w:val="17"/>
          <w:color w:val="auto"/>
        </w:rPr>
        <w:t>retailers. Our ability to execute this strategy will depend on a number of factors, such as retailers’ satisfaction with the sales and profitability of our products, channel shifts of their customers, and their own supply chain, order timing, and inventory needs, which may fluctuate from period to period. For example, in the second quarter of fiscal 2021, we experienced volatility in orders from a key digital partner that reduced its inventory on-hand in consumables to free up space for other products ahead of a major promotional event, which caused revenue from that partner to decline by $6.4 million for the three months ended June 30, 2021 compared to the three months ended June 30, 2020. We are working with this digital partner on a new arrangement, including whether to allow them to set up a fulfillment operation inside one of our warehouses. Even if we execute a new arrangement with this digital partner, inventory levels at this partner may remain lower than historical levels.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and Marketing Efficienc</w:t>
      </w:r>
      <w:r>
        <w:rPr>
          <w:rFonts w:ascii="Arial" w:cs="Arial" w:eastAsia="Arial" w:hAnsi="Arial"/>
          <w:sz w:val="18"/>
          <w:szCs w:val="18"/>
          <w:b w:val="1"/>
          <w:bCs w:val="1"/>
          <w:color w:val="auto"/>
        </w:rPr>
        <w:t>y</w:t>
      </w:r>
    </w:p>
    <w:p>
      <w:pPr>
        <w:spacing w:after="0" w:line="24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To grow our business, we intend to continue to improve our operational and marketing efficiency, which includes attracting new consumers, increasing community engagement and improving fulfillment and distribution operations. We invest significant resources in marketing and content generation, use a variety of brand and performance marketing channels and work continuously to improve brand exposure at our retail partners to acquire new consumers. It is important to maintain reasonable costs for these marketing efforts relative to the revenue we expect to derive from our consumers. We leverage our proprietary Honest Omni-Analytics to generate valuable consumer insights that guide our omnichannel strategy and inform our marketing spend optimization. Our future success depends in part on our ability to effectively attract consumers on a cost-efficient basis and achieve efficiencies in our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Overall Macro Trends</w:t>
      </w:r>
    </w:p>
    <w:p>
      <w:pPr>
        <w:spacing w:after="0" w:line="23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6"/>
          <w:szCs w:val="16"/>
          <w:color w:val="auto"/>
        </w:rPr>
        <w:t>We have strategically positioned ourselves to benefit from several macro trends related to changes in consumer behavior. We believe consumers’ increasing interest in a conscious lifestyle has contributed to significant demand for our products. Further, the rise in digital shopping has complemented our flagship digital platform, Honest.com, our presence with third-party ecommerce players and our Retail partners’ websites. In 2021, we have seen a significant shift from Digital to Retail as more consumers have become vaccinated and have chosen to return to in-store shopping. Changes in macro-level consumer spending trends, including as a result of the COVID-19 pandemic, could result in fluctuations in our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43" w:lineRule="exact"/>
        <w:rPr>
          <w:sz w:val="20"/>
          <w:szCs w:val="20"/>
          <w:color w:val="auto"/>
        </w:rPr>
      </w:pPr>
    </w:p>
    <w:p>
      <w:pPr>
        <w:ind w:right="460" w:firstLine="648"/>
        <w:spacing w:after="0" w:line="248" w:lineRule="auto"/>
        <w:rPr>
          <w:sz w:val="20"/>
          <w:szCs w:val="20"/>
          <w:color w:val="auto"/>
        </w:rPr>
      </w:pPr>
      <w:r>
        <w:rPr>
          <w:rFonts w:ascii="Arial" w:cs="Arial" w:eastAsia="Arial" w:hAnsi="Arial"/>
          <w:sz w:val="18"/>
          <w:szCs w:val="18"/>
          <w:color w:val="auto"/>
        </w:rPr>
        <w:t>The COVID-19 pandemic caused general business disruption worldwide beginning in January 2020. The full extent to which the COVID-19 pandemic will directly or indirectly impact our cash flow, business, financial condition, results of operations and prospects will depend on future developments that are uncertain.</w:t>
      </w:r>
    </w:p>
    <w:p>
      <w:pPr>
        <w:spacing w:after="0" w:line="18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As a result of the COVID-19 pandemic, our headquarters has been temporarily closed but we are beginning to reopen in a limited capacity. We have also implemented travel restrictions. These actions represent a significant change in how we operate our business, but we believe that we successfully navigated this transition. In an effort to provide a safe work environment for our employees, we have implemented various social distancing measures, including replacing many in-person meetings with virtual interactions. We will continue to take actions as may be required or recommended by government or health authorities or as we determine are in the best interests of our employees and other business partners in light of the pandemic.</w:t>
      </w:r>
    </w:p>
    <w:p>
      <w:pPr>
        <w:spacing w:after="0" w:line="161"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have experienced relatively minor impacts on our inventory availability and delivery capacity since the outbreak, none of which has materially impacted our ability to service our consumers and retail and third-party ecommerce customers. We have taken measures to bolster key aspects of our supply chain, such as ensuring sufficient inventory to support our continued growth in the face of the pandemic. We continue to work with our existing manufacturing, logistics and other supply chain partners to ensure our ability to service our consumers and retail and third-party ecommerce customers.</w:t>
      </w:r>
    </w:p>
    <w:p>
      <w:pPr>
        <w:spacing w:after="0" w:line="171" w:lineRule="exact"/>
        <w:rPr>
          <w:sz w:val="20"/>
          <w:szCs w:val="20"/>
          <w:color w:val="auto"/>
        </w:rPr>
      </w:pPr>
    </w:p>
    <w:p>
      <w:pPr>
        <w:ind w:right="140" w:firstLine="648"/>
        <w:spacing w:after="0" w:line="258" w:lineRule="auto"/>
        <w:rPr>
          <w:sz w:val="20"/>
          <w:szCs w:val="20"/>
          <w:color w:val="auto"/>
        </w:rPr>
      </w:pPr>
      <w:r>
        <w:rPr>
          <w:rFonts w:ascii="Arial" w:cs="Arial" w:eastAsia="Arial" w:hAnsi="Arial"/>
          <w:sz w:val="16"/>
          <w:szCs w:val="16"/>
          <w:color w:val="auto"/>
        </w:rPr>
        <w:t>We believe COVID-19 has been one of the drivers of demand in our Digital channel as consumers shifted to online shopping amid the pandemic. Additionally, in 2020 our Household and Wellness product category benefited from increasing demand for sanitization products. In response, we accelerated our development timeline for certain product launches, launching our disinfecting spray and alcohol wipes in 2020. In 2021, we have seen a decrease in consumer demand as more consumers have become vaccinated and retailers continue to manage heavy inventories of sanitization and disinfecting products in stores. We have also seen increased consumer willingness to return to in-store shopping as the economy opens and more of the population is vaccinated. This has driven a channel shift and demand acceleration driving revenue growth within our Retail channel in 2021.</w:t>
      </w:r>
    </w:p>
    <w:p>
      <w:pPr>
        <w:spacing w:after="0" w:line="177"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operations of our retail partners, manufacturers and suppliers have also been impacted by the COVID-19 pandemic. While the duration and extent of the COVID-19 pandemic depends on future developments that cannot be accurately predicted at this time, it has already had an adverse effect on the global economy and the ultimate societal and economic impact of the COVID-19 pandemic remains unknown. In particular, the conditions caused by this pandemic may negatively impact collections of accounts receivable and reduce expected spending from new consumers, all of which could adversely affect our business, financial condition, results of operations and prospects during fiscal 2021 and potentially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generate revenue through the sale of our products through Digital and Retail channels in the following product categories: Diapers and Wipes, Skin and Personal Care, and Household and Wellness. The Digital channel includes direct sales to the consumer through our website and sales to third-party ecommerce customers, who resell our products through their own online platforms. The Retail channel includes sales to traditional brick and mortar retailers, who may also resell our products through their own online platforms. Our revenue is recognized net of allowances for returns, discounts, credits and any taxes collected from consumers.</w:t>
      </w:r>
    </w:p>
    <w:p>
      <w:pPr>
        <w:spacing w:after="0" w:line="21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2019 we entered into a license agreement with Butterblu, LLC, or Butterblu, pursuant to which we license certain of our trademarks to Butterblu for the manufacture and distribution of certain baby apparel products in exchange for royalties. Butterblu operates and maintains our baby apparel offerings independently through the honestbabyclothing.com website. Our baby apparel offerings and our agreement with Butterblu are not currently material to our business and not expected to be material in the future. For the three and six months ended June 30, 2021, we collected $0.2 million and $0.5 million, respectively, in royalty revenue. For the three and six months ended June 30, 2020, we did not collect any royalty revenue under this agreement due in part because we granted Butterblu temporary payment relief.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margin may in the future fluctuate from period to period based on a number of factors, including the mix of products we sell, the channel through which we sell our products, the innovation initiatives we undertake in each product category, the promotional environment in the marketplace, manufacturing costs, commodity prices and transportation rates, among other factors.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operating expenses consist of selling, general and administrative, marketing and research and development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Selling, general and administrative expenses consist primarily of personnel costs, principally for our selling and administrative functions. These include personnel-related expenses, including salaries, bonuses, benefits and stock-based compensation expense. Selling, general and administrative expenses also include technology expenses, professional fees, facility costs, including insurance, utilities and rent relating to our headquarters, depreciation and amortization and overhead costs. We expect our general and administrative expenses to increase in absolute dollars as we continue to grow our business and organizational capabilities. We will also incur additional costs for employees and third-party professional fees related to operating as a public company and costs to comply with the rules and regulations applicable to companies listed on a national securities exchange, costs related to compliance and reporting obligations, and increased expenses for insurance, investor relations and professional services.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Marketing expenses include costs related to our branding initiatives, retail customer marketing activities, point of purchase displays, targeted online advertising through sponsored search, display advertising, email marketing campaigns, market research, content production and other public relations and promotional initiatives. We expect marketing expenses to continue to increase in absolute dollars as we continue to expand brand awareness, introduce new product innovation across multiple product categories and implement new marketing strategies.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Research and development expenses consist primarily of personnel-related expenses for our research and development team. Research and development expenses also include costs incurred for the development of new products, improvement in the quality of existing products and the development and implementation of new technologies to enhance the quality and value of products. Research and development expenses also include allocated depreciation and amortization and overhead costs. We expect</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5" w:name="page26"/>
    <w:bookmarkEnd w:id="25"/>
    <w:p>
      <w:pPr>
        <w:ind w:right="320"/>
        <w:spacing w:after="0" w:line="277" w:lineRule="auto"/>
        <w:rPr>
          <w:sz w:val="20"/>
          <w:szCs w:val="20"/>
          <w:color w:val="auto"/>
        </w:rPr>
      </w:pPr>
      <w:r>
        <w:rPr>
          <w:rFonts w:ascii="Arial" w:cs="Arial" w:eastAsia="Arial" w:hAnsi="Arial"/>
          <w:sz w:val="18"/>
          <w:szCs w:val="18"/>
          <w:color w:val="auto"/>
        </w:rPr>
        <w:t>research and development expenses to increase in absolute dollars as we invest in the enhancement of our product offerings through innovation and the introduction of new adjacent product categories.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IPO-Related Expenses</w:t>
      </w:r>
    </w:p>
    <w:p>
      <w:pPr>
        <w:spacing w:after="0" w:line="11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December 2020, we paid bonuses totaling $9.5 million to certain employees, including members of management, relating to preparation of our IPO, and after the closing of the IPO, we paid an additional $9.5 million in bonuses to certain employees, including members of management, which we collectively refer to as the IPO Bonuses, excluding in each case payroll taxes and expenses. The IPO Bonuses were recognized in selling, general and administrative and research and development expense. In addition, upon the effective date of the registration statement for our IPO in May 2021, we recognized stock-based compensation expense in selling, general and administrative and research and development expenses of $3.1 million related to certain performance and market-based stock options that vested upon this liquidity event and $0.2 million related to certain restricted stock units.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Interest income consists primarily of interest income earned on our short-term investments and our cash and cash equivalents balances. Interest expense consists primarily of the portion of rent payments recognized as imputed interest expense under build-to-suit accounting associated with our leasing arrangements.</w:t>
      </w:r>
    </w:p>
    <w:p>
      <w:pPr>
        <w:spacing w:after="0" w:line="184"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Other income (expense), net consists primarily of our foreign currency exchange gains and losses relating to transactions denominated in currencies other than the U.S. dollar. We expect our foreign currency gains and losses to continue to fluctuate in the future due to changes in both the volume of foreign currency transactions and foreign currency exchange rates.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are subject to federal and state income taxes in the United States. Our annual estimated tax rate differed from the U.S. federal statutory rate of 21% primarily as a result of a valuation allowance against deferred tax assets, stock-based compensation, state taxes, and other permanent differences. We maintain a full valuation allowance for our federal and state deferred tax assets, including net operating loss carryforwards, as we have concluded that it is not more likely than not that the deferred tax assets will be realized.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condensed consolidated statements of operations data for each of the periods indicated:</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800" w:type="dxa"/>
            <w:vAlign w:val="bottom"/>
            <w:gridSpan w:val="6"/>
          </w:tcPr>
          <w:p>
            <w:pPr>
              <w:ind w:left="460"/>
              <w:spacing w:after="0"/>
              <w:rPr>
                <w:sz w:val="20"/>
                <w:szCs w:val="20"/>
                <w:color w:val="auto"/>
              </w:rPr>
            </w:pPr>
            <w:r>
              <w:rPr>
                <w:rFonts w:ascii="Arial" w:cs="Arial" w:eastAsia="Arial" w:hAnsi="Arial"/>
                <w:sz w:val="18"/>
                <w:szCs w:val="18"/>
                <w:b w:val="1"/>
                <w:bCs w:val="1"/>
                <w:color w:val="auto"/>
              </w:rPr>
              <w:t>For the three months ended June 30,</w:t>
            </w:r>
          </w:p>
        </w:tc>
        <w:tc>
          <w:tcPr>
            <w:tcW w:w="340" w:type="dxa"/>
            <w:vAlign w:val="bottom"/>
          </w:tcPr>
          <w:p>
            <w:pPr>
              <w:spacing w:after="0"/>
              <w:rPr>
                <w:sz w:val="20"/>
                <w:szCs w:val="20"/>
                <w:color w:val="auto"/>
              </w:rPr>
            </w:pPr>
          </w:p>
        </w:tc>
        <w:tc>
          <w:tcPr>
            <w:tcW w:w="33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5"/>
              </w:rPr>
              <w:t>For the six months ended June 30,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Revenue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74,576</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72,354</w:t>
            </w:r>
          </w:p>
        </w:tc>
        <w:tc>
          <w:tcPr>
            <w:tcW w:w="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155,607</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144,726</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Cost of revenue</w:t>
            </w:r>
          </w:p>
        </w:tc>
        <w:tc>
          <w:tcPr>
            <w:tcW w:w="1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47,633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45,867</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100,284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92,434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r>
              <w:rPr>
                <w:rFonts w:ascii="Arial" w:cs="Arial" w:eastAsia="Arial" w:hAnsi="Arial"/>
                <w:sz w:val="18"/>
                <w:szCs w:val="18"/>
                <w:color w:val="auto"/>
              </w:rPr>
              <w:t>Gross profit</w:t>
            </w: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26,943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26,487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55,323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52,292</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3660" w:type="dxa"/>
            <w:vAlign w:val="bottom"/>
          </w:tcPr>
          <w:p>
            <w:pPr>
              <w:spacing w:after="0"/>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(1)</w:t>
            </w: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30,091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14,940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46,788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29,646</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Marketing</w:t>
            </w: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14,009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28,182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19,818</w:t>
            </w: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46,445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26,665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78,961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51,730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(19,502)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(23,638)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1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r>
              <w:rPr>
                <w:rFonts w:ascii="Arial" w:cs="Arial" w:eastAsia="Arial" w:hAnsi="Arial"/>
                <w:sz w:val="18"/>
                <w:szCs w:val="18"/>
                <w:color w:val="auto"/>
                <w:w w:val="96"/>
              </w:rPr>
              <w:t>Income (loss) before provision for income taxes</w:t>
            </w: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(20,012)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(24,474)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Income tax provision</w:t>
            </w:r>
          </w:p>
        </w:tc>
        <w:tc>
          <w:tcPr>
            <w:tcW w:w="1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0"/>
                <w:szCs w:val="20"/>
                <w:color w:val="auto"/>
              </w:rPr>
            </w:pPr>
            <w:r>
              <w:rPr>
                <w:rFonts w:ascii="Arial" w:cs="Arial" w:eastAsia="Arial" w:hAnsi="Arial"/>
                <w:sz w:val="18"/>
                <w:szCs w:val="18"/>
                <w:color w:val="auto"/>
              </w:rPr>
              <w:t>Net income (loss)</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(20,034)</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(24,518)</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240" w:hanging="232"/>
        <w:spacing w:after="0"/>
        <w:tabs>
          <w:tab w:leader="none" w:pos="24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expense as follows:</w:t>
      </w:r>
    </w:p>
    <w:p>
      <w:pPr>
        <w:sectPr>
          <w:pgSz w:w="11900" w:h="16838" w:orient="portrait"/>
          <w:cols w:equalWidth="0" w:num="1">
            <w:col w:w="11200"/>
          </w:cols>
          <w:pgMar w:left="320" w:top="88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type w:val="continuous"/>
        </w:sectPr>
      </w:pPr>
    </w:p>
    <w:bookmarkStart w:id="26" w:name="page27"/>
    <w:bookmarkEnd w:id="26"/>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800" w:type="dxa"/>
            <w:vAlign w:val="bottom"/>
            <w:gridSpan w:val="6"/>
          </w:tcPr>
          <w:p>
            <w:pPr>
              <w:ind w:left="440"/>
              <w:spacing w:after="0"/>
              <w:rPr>
                <w:sz w:val="20"/>
                <w:szCs w:val="20"/>
                <w:color w:val="auto"/>
              </w:rPr>
            </w:pPr>
            <w:r>
              <w:rPr>
                <w:rFonts w:ascii="Arial" w:cs="Arial" w:eastAsia="Arial" w:hAnsi="Arial"/>
                <w:sz w:val="18"/>
                <w:szCs w:val="18"/>
                <w:b w:val="1"/>
                <w:bCs w:val="1"/>
                <w:color w:val="auto"/>
              </w:rPr>
              <w:t>For the three months ended June 30,</w:t>
            </w:r>
          </w:p>
        </w:tc>
        <w:tc>
          <w:tcPr>
            <w:tcW w:w="360" w:type="dxa"/>
            <w:vAlign w:val="bottom"/>
          </w:tcPr>
          <w:p>
            <w:pPr>
              <w:spacing w:after="0"/>
              <w:rPr>
                <w:sz w:val="20"/>
                <w:szCs w:val="20"/>
                <w:color w:val="auto"/>
              </w:rPr>
            </w:pPr>
          </w:p>
        </w:tc>
        <w:tc>
          <w:tcPr>
            <w:tcW w:w="34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w w:val="95"/>
              </w:rPr>
              <w:t>For the six months ended June 30,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35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6,194</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7,942</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6,626</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8,464</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condensed consolidated statements of operations data expressed as a percentage of revenue*:</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400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For the three months ended June 30,</w:t>
            </w:r>
          </w:p>
        </w:tc>
        <w:tc>
          <w:tcPr>
            <w:tcW w:w="388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For the six months ended June 30,</w:t>
            </w:r>
          </w:p>
        </w:tc>
      </w:tr>
      <w:tr>
        <w:trPr>
          <w:trHeight w:val="27"/>
        </w:trPr>
        <w:tc>
          <w:tcPr>
            <w:tcW w:w="3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4280" w:type="dxa"/>
            <w:vAlign w:val="bottom"/>
            <w:gridSpan w:val="2"/>
          </w:tcPr>
          <w:p>
            <w:pPr>
              <w:ind w:left="3820"/>
              <w:spacing w:after="0"/>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17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gridSpan w:val="4"/>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rPr>
              <w:t>(as a percentage of revenue)</w:t>
            </w: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42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100.0 %</w:t>
            </w: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100.0 %</w:t>
            </w: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100.0 %</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70"/>
        </w:trPr>
        <w:tc>
          <w:tcPr>
            <w:tcW w:w="42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560" w:type="dxa"/>
            <w:vAlign w:val="bottom"/>
          </w:tcPr>
          <w:p>
            <w:pPr>
              <w:jc w:val="right"/>
              <w:spacing w:after="0"/>
              <w:rPr>
                <w:sz w:val="20"/>
                <w:szCs w:val="20"/>
                <w:color w:val="auto"/>
              </w:rPr>
            </w:pPr>
            <w:r>
              <w:rPr>
                <w:rFonts w:ascii="Arial" w:cs="Arial" w:eastAsia="Arial" w:hAnsi="Arial"/>
                <w:sz w:val="18"/>
                <w:szCs w:val="18"/>
                <w:color w:val="auto"/>
              </w:rPr>
              <w:t>63.9</w:t>
            </w:r>
          </w:p>
        </w:tc>
        <w:tc>
          <w:tcPr>
            <w:tcW w:w="3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63.4</w:t>
            </w:r>
          </w:p>
        </w:tc>
        <w:tc>
          <w:tcPr>
            <w:tcW w:w="3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64.4</w:t>
            </w:r>
          </w:p>
        </w:tc>
        <w:tc>
          <w:tcPr>
            <w:tcW w:w="3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63.9</w:t>
            </w:r>
          </w:p>
        </w:tc>
        <w:tc>
          <w:tcPr>
            <w:tcW w:w="180" w:type="dxa"/>
            <w:vAlign w:val="bottom"/>
          </w:tcPr>
          <w:p>
            <w:pPr>
              <w:spacing w:after="0"/>
              <w:rPr>
                <w:sz w:val="23"/>
                <w:szCs w:val="23"/>
                <w:color w:val="auto"/>
              </w:rPr>
            </w:pPr>
          </w:p>
        </w:tc>
      </w:tr>
      <w:tr>
        <w:trPr>
          <w:trHeight w:val="27"/>
        </w:trPr>
        <w:tc>
          <w:tcPr>
            <w:tcW w:w="3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42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560" w:type="dxa"/>
            <w:vAlign w:val="bottom"/>
          </w:tcPr>
          <w:p>
            <w:pPr>
              <w:jc w:val="right"/>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36.6</w:t>
            </w:r>
          </w:p>
        </w:tc>
        <w:tc>
          <w:tcPr>
            <w:tcW w:w="3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35.6</w:t>
            </w: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20"/>
                <w:szCs w:val="20"/>
                <w:color w:val="auto"/>
              </w:rPr>
            </w:pPr>
          </w:p>
        </w:tc>
      </w:tr>
      <w:tr>
        <w:trPr>
          <w:trHeight w:val="270"/>
        </w:trPr>
        <w:tc>
          <w:tcPr>
            <w:tcW w:w="4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428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rPr>
              <w:t>40.3</w:t>
            </w:r>
          </w:p>
        </w:tc>
        <w:tc>
          <w:tcPr>
            <w:tcW w:w="3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23"/>
                <w:szCs w:val="23"/>
                <w:color w:val="auto"/>
              </w:rPr>
            </w:pPr>
          </w:p>
        </w:tc>
      </w:tr>
      <w:tr>
        <w:trPr>
          <w:trHeight w:val="270"/>
        </w:trPr>
        <w:tc>
          <w:tcPr>
            <w:tcW w:w="4280" w:type="dxa"/>
            <w:vAlign w:val="bottom"/>
            <w:gridSpan w:val="2"/>
          </w:tcPr>
          <w:p>
            <w:pPr>
              <w:ind w:left="120"/>
              <w:spacing w:after="0"/>
              <w:rPr>
                <w:sz w:val="20"/>
                <w:szCs w:val="20"/>
                <w:color w:val="auto"/>
              </w:rPr>
            </w:pPr>
            <w:r>
              <w:rPr>
                <w:rFonts w:ascii="Arial" w:cs="Arial" w:eastAsia="Arial" w:hAnsi="Arial"/>
                <w:sz w:val="18"/>
                <w:szCs w:val="18"/>
                <w:color w:val="auto"/>
              </w:rPr>
              <w:t>Marketing</w:t>
            </w:r>
          </w:p>
        </w:tc>
        <w:tc>
          <w:tcPr>
            <w:tcW w:w="560" w:type="dxa"/>
            <w:vAlign w:val="bottom"/>
          </w:tcPr>
          <w:p>
            <w:pPr>
              <w:jc w:val="right"/>
              <w:spacing w:after="0"/>
              <w:rPr>
                <w:sz w:val="20"/>
                <w:szCs w:val="20"/>
                <w:color w:val="auto"/>
              </w:rPr>
            </w:pPr>
            <w:r>
              <w:rPr>
                <w:rFonts w:ascii="Arial" w:cs="Arial" w:eastAsia="Arial" w:hAnsi="Arial"/>
                <w:sz w:val="18"/>
                <w:szCs w:val="18"/>
                <w:color w:val="auto"/>
              </w:rPr>
              <w:t>18.8</w:t>
            </w:r>
          </w:p>
        </w:tc>
        <w:tc>
          <w:tcPr>
            <w:tcW w:w="3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18.1</w:t>
            </w:r>
          </w:p>
        </w:tc>
        <w:tc>
          <w:tcPr>
            <w:tcW w:w="3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23"/>
                <w:szCs w:val="23"/>
                <w:color w:val="auto"/>
              </w:rPr>
            </w:pPr>
          </w:p>
        </w:tc>
      </w:tr>
      <w:tr>
        <w:trPr>
          <w:trHeight w:val="270"/>
        </w:trPr>
        <w:tc>
          <w:tcPr>
            <w:tcW w:w="428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3"/>
                <w:szCs w:val="23"/>
                <w:color w:val="auto"/>
              </w:rPr>
            </w:pPr>
          </w:p>
        </w:tc>
      </w:tr>
      <w:tr>
        <w:trPr>
          <w:trHeight w:val="27"/>
        </w:trPr>
        <w:tc>
          <w:tcPr>
            <w:tcW w:w="3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42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tcPr>
          <w:p>
            <w:pPr>
              <w:jc w:val="right"/>
              <w:spacing w:after="0"/>
              <w:rPr>
                <w:sz w:val="20"/>
                <w:szCs w:val="20"/>
                <w:color w:val="auto"/>
              </w:rPr>
            </w:pPr>
            <w:r>
              <w:rPr>
                <w:rFonts w:ascii="Arial" w:cs="Arial" w:eastAsia="Arial" w:hAnsi="Arial"/>
                <w:sz w:val="18"/>
                <w:szCs w:val="18"/>
                <w:color w:val="auto"/>
              </w:rPr>
              <w:t>62.3</w:t>
            </w:r>
          </w:p>
        </w:tc>
        <w:tc>
          <w:tcPr>
            <w:tcW w:w="3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36.9</w:t>
            </w:r>
          </w:p>
        </w:tc>
        <w:tc>
          <w:tcPr>
            <w:tcW w:w="3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50.7</w:t>
            </w: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42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560" w:type="dxa"/>
            <w:vAlign w:val="bottom"/>
          </w:tcPr>
          <w:p>
            <w:pPr>
              <w:jc w:val="right"/>
              <w:spacing w:after="0"/>
              <w:rPr>
                <w:sz w:val="20"/>
                <w:szCs w:val="20"/>
                <w:color w:val="auto"/>
              </w:rPr>
            </w:pPr>
            <w:r>
              <w:rPr>
                <w:rFonts w:ascii="Arial" w:cs="Arial" w:eastAsia="Arial" w:hAnsi="Arial"/>
                <w:sz w:val="18"/>
                <w:szCs w:val="18"/>
                <w:color w:val="auto"/>
              </w:rPr>
              <w:t>(26.2)</w:t>
            </w:r>
          </w:p>
        </w:tc>
        <w:tc>
          <w:tcPr>
            <w:tcW w:w="3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0"/>
                <w:szCs w:val="20"/>
                <w:color w:val="auto"/>
              </w:rPr>
            </w:pPr>
          </w:p>
        </w:tc>
      </w:tr>
      <w:tr>
        <w:trPr>
          <w:trHeight w:val="270"/>
        </w:trPr>
        <w:tc>
          <w:tcPr>
            <w:tcW w:w="4280" w:type="dxa"/>
            <w:vAlign w:val="bottom"/>
            <w:gridSpan w:val="2"/>
          </w:tcPr>
          <w:p>
            <w:pPr>
              <w:ind w:left="120"/>
              <w:spacing w:after="0"/>
              <w:rPr>
                <w:sz w:val="20"/>
                <w:szCs w:val="20"/>
                <w:color w:val="auto"/>
              </w:rPr>
            </w:pPr>
            <w:r>
              <w:rPr>
                <w:rFonts w:ascii="Arial" w:cs="Arial" w:eastAsia="Arial" w:hAnsi="Arial"/>
                <w:sz w:val="18"/>
                <w:szCs w:val="18"/>
                <w:color w:val="auto"/>
              </w:rPr>
              <w:t>Interest and other income (expense), net</w:t>
            </w:r>
          </w:p>
        </w:tc>
        <w:tc>
          <w:tcPr>
            <w:tcW w:w="56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3"/>
                <w:szCs w:val="23"/>
                <w:color w:val="auto"/>
              </w:rPr>
            </w:pPr>
          </w:p>
        </w:tc>
      </w:tr>
      <w:tr>
        <w:trPr>
          <w:trHeight w:val="27"/>
        </w:trPr>
        <w:tc>
          <w:tcPr>
            <w:tcW w:w="42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09"/>
        </w:trPr>
        <w:tc>
          <w:tcPr>
            <w:tcW w:w="3160" w:type="dxa"/>
            <w:vAlign w:val="bottom"/>
          </w:tcPr>
          <w:p>
            <w:pPr>
              <w:spacing w:after="0"/>
              <w:rPr>
                <w:sz w:val="20"/>
                <w:szCs w:val="20"/>
                <w:color w:val="auto"/>
              </w:rPr>
            </w:pPr>
            <w:r>
              <w:rPr>
                <w:rFonts w:ascii="Arial" w:cs="Arial" w:eastAsia="Arial" w:hAnsi="Arial"/>
                <w:sz w:val="18"/>
                <w:szCs w:val="18"/>
                <w:color w:val="auto"/>
                <w:w w:val="95"/>
              </w:rPr>
              <w:t>Income (loss) before provision for income</w:t>
            </w:r>
          </w:p>
        </w:tc>
        <w:tc>
          <w:tcPr>
            <w:tcW w:w="1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taxes</w:t>
            </w:r>
          </w:p>
        </w:tc>
        <w:tc>
          <w:tcPr>
            <w:tcW w:w="560" w:type="dxa"/>
            <w:vAlign w:val="bottom"/>
          </w:tcPr>
          <w:p>
            <w:pPr>
              <w:jc w:val="right"/>
              <w:spacing w:after="0"/>
              <w:rPr>
                <w:sz w:val="20"/>
                <w:szCs w:val="20"/>
                <w:color w:val="auto"/>
              </w:rPr>
            </w:pPr>
            <w:r>
              <w:rPr>
                <w:rFonts w:ascii="Arial" w:cs="Arial" w:eastAsia="Arial" w:hAnsi="Arial"/>
                <w:sz w:val="18"/>
                <w:szCs w:val="18"/>
                <w:color w:val="auto"/>
              </w:rPr>
              <w:t>(26.8)</w:t>
            </w:r>
          </w:p>
        </w:tc>
        <w:tc>
          <w:tcPr>
            <w:tcW w:w="3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0"/>
                <w:szCs w:val="20"/>
                <w:color w:val="auto"/>
              </w:rPr>
            </w:pPr>
          </w:p>
        </w:tc>
      </w:tr>
      <w:tr>
        <w:trPr>
          <w:trHeight w:val="270"/>
        </w:trPr>
        <w:tc>
          <w:tcPr>
            <w:tcW w:w="4280" w:type="dxa"/>
            <w:vAlign w:val="bottom"/>
            <w:gridSpan w:val="2"/>
          </w:tcPr>
          <w:p>
            <w:pPr>
              <w:ind w:left="120"/>
              <w:spacing w:after="0"/>
              <w:rPr>
                <w:sz w:val="20"/>
                <w:szCs w:val="20"/>
                <w:color w:val="auto"/>
              </w:rPr>
            </w:pPr>
            <w:r>
              <w:rPr>
                <w:rFonts w:ascii="Arial" w:cs="Arial" w:eastAsia="Arial" w:hAnsi="Arial"/>
                <w:sz w:val="18"/>
                <w:szCs w:val="18"/>
                <w:color w:val="auto"/>
              </w:rPr>
              <w:t>Income tax provision</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3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64"/>
        </w:trPr>
        <w:tc>
          <w:tcPr>
            <w:tcW w:w="42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(26.9) %</w:t>
            </w: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(0.4) %</w:t>
            </w: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(15.8) %</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0"/>
        </w:trPr>
        <w:tc>
          <w:tcPr>
            <w:tcW w:w="3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231F20"/>
        </w:rPr>
        <w:t>* Amounts may not sum due to rounding.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June 30,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20" w:type="dxa"/>
            <w:vAlign w:val="bottom"/>
            <w:gridSpan w:val="10"/>
          </w:tcPr>
          <w:p>
            <w:pPr>
              <w:jc w:val="right"/>
              <w:ind w:right="880"/>
              <w:spacing w:after="0"/>
              <w:rPr>
                <w:sz w:val="20"/>
                <w:szCs w:val="20"/>
                <w:color w:val="auto"/>
              </w:rPr>
            </w:pPr>
            <w:r>
              <w:rPr>
                <w:rFonts w:ascii="Arial" w:cs="Arial" w:eastAsia="Arial" w:hAnsi="Arial"/>
                <w:sz w:val="18"/>
                <w:szCs w:val="18"/>
                <w:b w:val="1"/>
                <w:bCs w:val="1"/>
                <w:color w:val="auto"/>
                <w:w w:val="99"/>
              </w:rPr>
              <w:t>For the three months ended June 30,</w:t>
            </w:r>
          </w:p>
        </w:tc>
        <w:tc>
          <w:tcPr>
            <w:tcW w:w="200" w:type="dxa"/>
            <w:vAlign w:val="bottom"/>
          </w:tcPr>
          <w:p>
            <w:pPr>
              <w:spacing w:after="0"/>
              <w:rPr>
                <w:sz w:val="20"/>
                <w:szCs w:val="20"/>
                <w:color w:val="auto"/>
              </w:rPr>
            </w:pPr>
          </w:p>
        </w:tc>
        <w:tc>
          <w:tcPr>
            <w:tcW w:w="3840" w:type="dxa"/>
            <w:vAlign w:val="bottom"/>
            <w:gridSpan w:val="10"/>
          </w:tcPr>
          <w:p>
            <w:pPr>
              <w:jc w:val="right"/>
              <w:ind w:right="800"/>
              <w:spacing w:after="0"/>
              <w:rPr>
                <w:sz w:val="20"/>
                <w:szCs w:val="20"/>
                <w:color w:val="auto"/>
              </w:rPr>
            </w:pPr>
            <w:r>
              <w:rPr>
                <w:rFonts w:ascii="Arial" w:cs="Arial" w:eastAsia="Arial" w:hAnsi="Arial"/>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change</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change</w:t>
            </w:r>
          </w:p>
        </w:tc>
        <w:tc>
          <w:tcPr>
            <w:tcW w:w="0" w:type="dxa"/>
            <w:vAlign w:val="bottom"/>
          </w:tcPr>
          <w:p>
            <w:pPr>
              <w:spacing w:after="0"/>
              <w:rPr>
                <w:sz w:val="1"/>
                <w:szCs w:val="1"/>
                <w:color w:val="auto"/>
              </w:rPr>
            </w:pPr>
          </w:p>
        </w:tc>
      </w:tr>
      <w:tr>
        <w:trPr>
          <w:trHeight w:val="27"/>
        </w:trPr>
        <w:tc>
          <w:tcPr>
            <w:tcW w:w="2800" w:type="dxa"/>
            <w:vAlign w:val="bottom"/>
            <w:vMerge w:val="restart"/>
          </w:tcPr>
          <w:p>
            <w:pPr>
              <w:spacing w:after="0"/>
              <w:rPr>
                <w:sz w:val="20"/>
                <w:szCs w:val="20"/>
                <w:color w:val="auto"/>
              </w:rPr>
            </w:pPr>
            <w:r>
              <w:rPr>
                <w:rFonts w:ascii="Arial" w:cs="Arial" w:eastAsia="Arial" w:hAnsi="Arial"/>
                <w:sz w:val="18"/>
                <w:szCs w:val="18"/>
                <w:i w:val="1"/>
                <w:iCs w:val="1"/>
                <w:color w:val="auto"/>
                <w:w w:val="98"/>
              </w:rPr>
              <w:t>(In thousands, except percentages)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Arial" w:cs="Arial" w:eastAsia="Arial" w:hAnsi="Arial"/>
                <w:sz w:val="18"/>
                <w:szCs w:val="18"/>
                <w:color w:val="auto"/>
              </w:rPr>
              <w:t>By Product Category</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120"/>
              <w:spacing w:after="0"/>
              <w:rPr>
                <w:sz w:val="20"/>
                <w:szCs w:val="20"/>
                <w:color w:val="auto"/>
              </w:rPr>
            </w:pPr>
            <w:r>
              <w:rPr>
                <w:rFonts w:ascii="Arial" w:cs="Arial" w:eastAsia="Arial" w:hAnsi="Arial"/>
                <w:sz w:val="18"/>
                <w:szCs w:val="18"/>
                <w:color w:val="auto"/>
              </w:rPr>
              <w:t>Diapers and Wipes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47,831</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48,744</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97,404</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99,227</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0"/>
        </w:trPr>
        <w:tc>
          <w:tcPr>
            <w:tcW w:w="2800" w:type="dxa"/>
            <w:vAlign w:val="bottom"/>
          </w:tcPr>
          <w:p>
            <w:pPr>
              <w:ind w:left="120"/>
              <w:spacing w:after="0"/>
              <w:rPr>
                <w:sz w:val="20"/>
                <w:szCs w:val="20"/>
                <w:color w:val="auto"/>
              </w:rPr>
            </w:pPr>
            <w:r>
              <w:rPr>
                <w:rFonts w:ascii="Arial" w:cs="Arial" w:eastAsia="Arial" w:hAnsi="Arial"/>
                <w:sz w:val="18"/>
                <w:szCs w:val="18"/>
                <w:color w:val="auto"/>
              </w:rPr>
              <w:t>Skin and Personal Care</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23,866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20,558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50,111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39,040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11,071</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120"/>
              <w:spacing w:after="0"/>
              <w:rPr>
                <w:sz w:val="20"/>
                <w:szCs w:val="20"/>
                <w:color w:val="auto"/>
              </w:rPr>
            </w:pPr>
            <w:r>
              <w:rPr>
                <w:rFonts w:ascii="Arial" w:cs="Arial" w:eastAsia="Arial" w:hAnsi="Arial"/>
                <w:sz w:val="18"/>
                <w:szCs w:val="18"/>
                <w:color w:val="auto"/>
              </w:rPr>
              <w:t>Household and Wellness</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2,879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8,092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6,459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74,576</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72,354</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155,607</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144,726</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10,881</w:t>
            </w:r>
          </w:p>
        </w:tc>
        <w:tc>
          <w:tcPr>
            <w:tcW w:w="1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0" w:type="dxa"/>
            <w:vAlign w:val="bottom"/>
            <w:gridSpan w:val="10"/>
          </w:tcPr>
          <w:p>
            <w:pPr>
              <w:jc w:val="right"/>
              <w:ind w:right="1000"/>
              <w:spacing w:after="0"/>
              <w:rPr>
                <w:sz w:val="20"/>
                <w:szCs w:val="20"/>
                <w:color w:val="auto"/>
              </w:rPr>
            </w:pPr>
            <w:r>
              <w:rPr>
                <w:rFonts w:ascii="Arial" w:cs="Arial" w:eastAsia="Arial" w:hAnsi="Arial"/>
                <w:sz w:val="18"/>
                <w:szCs w:val="18"/>
                <w:b w:val="1"/>
                <w:bCs w:val="1"/>
                <w:color w:val="auto"/>
              </w:rPr>
              <w:t>For the three months ended June 30,</w:t>
            </w:r>
          </w:p>
        </w:tc>
        <w:tc>
          <w:tcPr>
            <w:tcW w:w="200" w:type="dxa"/>
            <w:vAlign w:val="bottom"/>
          </w:tcPr>
          <w:p>
            <w:pPr>
              <w:spacing w:after="0"/>
              <w:rPr>
                <w:sz w:val="20"/>
                <w:szCs w:val="20"/>
                <w:color w:val="auto"/>
              </w:rPr>
            </w:pPr>
          </w:p>
        </w:tc>
        <w:tc>
          <w:tcPr>
            <w:tcW w:w="4140" w:type="dxa"/>
            <w:vAlign w:val="bottom"/>
            <w:gridSpan w:val="10"/>
          </w:tcPr>
          <w:p>
            <w:pPr>
              <w:jc w:val="right"/>
              <w:ind w:right="940"/>
              <w:spacing w:after="0"/>
              <w:rPr>
                <w:sz w:val="20"/>
                <w:szCs w:val="20"/>
                <w:color w:val="auto"/>
              </w:rPr>
            </w:pPr>
            <w:r>
              <w:rPr>
                <w:rFonts w:ascii="Arial" w:cs="Arial" w:eastAsia="Arial" w:hAnsi="Arial"/>
                <w:sz w:val="18"/>
                <w:szCs w:val="18"/>
                <w:b w:val="1"/>
                <w:bCs w:val="1"/>
                <w:color w:val="auto"/>
              </w:rPr>
              <w:t>For the six months ended June 30,</w:t>
            </w:r>
          </w:p>
        </w:tc>
      </w:tr>
      <w:tr>
        <w:trPr>
          <w:trHeight w:val="27"/>
        </w:trPr>
        <w:tc>
          <w:tcPr>
            <w:tcW w:w="2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 change</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i w:val="1"/>
                <w:iCs w:val="1"/>
                <w:color w:val="auto"/>
                <w:w w:val="88"/>
              </w:rPr>
              <w:t>(In thousands, except percentages)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9"/>
        </w:trPr>
        <w:tc>
          <w:tcPr>
            <w:tcW w:w="2220" w:type="dxa"/>
            <w:vAlign w:val="bottom"/>
          </w:tcPr>
          <w:p>
            <w:pPr>
              <w:spacing w:after="0"/>
              <w:rPr>
                <w:sz w:val="20"/>
                <w:szCs w:val="20"/>
                <w:color w:val="auto"/>
              </w:rPr>
            </w:pPr>
            <w:r>
              <w:rPr>
                <w:rFonts w:ascii="Arial" w:cs="Arial" w:eastAsia="Arial" w:hAnsi="Arial"/>
                <w:sz w:val="18"/>
                <w:szCs w:val="18"/>
                <w:color w:val="auto"/>
              </w:rPr>
              <w:t>By Channel</w:t>
            </w: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70"/>
        </w:trPr>
        <w:tc>
          <w:tcPr>
            <w:tcW w:w="2220" w:type="dxa"/>
            <w:vAlign w:val="bottom"/>
          </w:tcPr>
          <w:p>
            <w:pPr>
              <w:ind w:left="120"/>
              <w:spacing w:after="0"/>
              <w:rPr>
                <w:sz w:val="20"/>
                <w:szCs w:val="20"/>
                <w:color w:val="auto"/>
              </w:rPr>
            </w:pPr>
            <w:r>
              <w:rPr>
                <w:rFonts w:ascii="Arial" w:cs="Arial" w:eastAsia="Arial" w:hAnsi="Arial"/>
                <w:sz w:val="18"/>
                <w:szCs w:val="18"/>
                <w:color w:val="auto"/>
              </w:rPr>
              <w:t>Digital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34,820</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46,065</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(11,245)</w:t>
            </w:r>
          </w:p>
        </w:tc>
        <w:tc>
          <w:tcPr>
            <w:tcW w:w="8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(24.4)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77,281</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87,561</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center"/>
              <w:ind w:left="50"/>
              <w:spacing w:after="0"/>
              <w:rPr>
                <w:sz w:val="20"/>
                <w:szCs w:val="20"/>
                <w:color w:val="auto"/>
              </w:rPr>
            </w:pPr>
            <w:r>
              <w:rPr>
                <w:rFonts w:ascii="Arial" w:cs="Arial" w:eastAsia="Arial" w:hAnsi="Arial"/>
                <w:sz w:val="18"/>
                <w:szCs w:val="18"/>
                <w:color w:val="auto"/>
                <w:w w:val="92"/>
              </w:rPr>
              <w:t>(10,280)</w:t>
            </w:r>
          </w:p>
        </w:tc>
        <w:tc>
          <w:tcPr>
            <w:tcW w:w="10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(11.7) %</w:t>
            </w:r>
          </w:p>
        </w:tc>
      </w:tr>
      <w:tr>
        <w:trPr>
          <w:trHeight w:val="270"/>
        </w:trPr>
        <w:tc>
          <w:tcPr>
            <w:tcW w:w="2220" w:type="dxa"/>
            <w:vAlign w:val="bottom"/>
          </w:tcPr>
          <w:p>
            <w:pPr>
              <w:ind w:left="120"/>
              <w:spacing w:after="0"/>
              <w:rPr>
                <w:sz w:val="20"/>
                <w:szCs w:val="20"/>
                <w:color w:val="auto"/>
              </w:rPr>
            </w:pPr>
            <w:r>
              <w:rPr>
                <w:rFonts w:ascii="Arial" w:cs="Arial" w:eastAsia="Arial" w:hAnsi="Arial"/>
                <w:sz w:val="18"/>
                <w:szCs w:val="18"/>
                <w:color w:val="auto"/>
              </w:rPr>
              <w:t>Retail</w:t>
            </w: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39,756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26,289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13,467</w:t>
            </w:r>
          </w:p>
        </w:tc>
        <w:tc>
          <w:tcPr>
            <w:tcW w:w="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51.2</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78,326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57,165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center"/>
              <w:ind w:left="90"/>
              <w:spacing w:after="0"/>
              <w:rPr>
                <w:sz w:val="20"/>
                <w:szCs w:val="20"/>
                <w:color w:val="auto"/>
              </w:rPr>
            </w:pPr>
            <w:r>
              <w:rPr>
                <w:rFonts w:ascii="Arial" w:cs="Arial" w:eastAsia="Arial" w:hAnsi="Arial"/>
                <w:sz w:val="18"/>
                <w:szCs w:val="18"/>
                <w:color w:val="auto"/>
                <w:w w:val="90"/>
              </w:rPr>
              <w:t>21,161</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23"/>
                <w:szCs w:val="23"/>
                <w:color w:val="auto"/>
              </w:rPr>
            </w:pPr>
          </w:p>
        </w:tc>
      </w:tr>
      <w:tr>
        <w:trPr>
          <w:trHeight w:val="27"/>
        </w:trPr>
        <w:tc>
          <w:tcPr>
            <w:tcW w:w="2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63"/>
        </w:trPr>
        <w:tc>
          <w:tcPr>
            <w:tcW w:w="222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74,576</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72,354</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2,222</w:t>
            </w:r>
          </w:p>
        </w:tc>
        <w:tc>
          <w:tcPr>
            <w:tcW w:w="8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3.1 %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155,607</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144,726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center"/>
              <w:ind w:left="90"/>
              <w:spacing w:after="0"/>
              <w:rPr>
                <w:sz w:val="20"/>
                <w:szCs w:val="20"/>
                <w:color w:val="auto"/>
              </w:rPr>
            </w:pPr>
            <w:r>
              <w:rPr>
                <w:rFonts w:ascii="Arial" w:cs="Arial" w:eastAsia="Arial" w:hAnsi="Arial"/>
                <w:sz w:val="18"/>
                <w:szCs w:val="18"/>
                <w:color w:val="auto"/>
                <w:w w:val="90"/>
              </w:rPr>
              <w:t>10,881</w:t>
            </w:r>
          </w:p>
        </w:tc>
        <w:tc>
          <w:tcPr>
            <w:tcW w:w="10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7.5 %</w:t>
            </w:r>
          </w:p>
        </w:tc>
      </w:tr>
      <w:tr>
        <w:trPr>
          <w:trHeight w:val="21"/>
        </w:trPr>
        <w:tc>
          <w:tcPr>
            <w:tcW w:w="2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2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239" w:gutter="0" w:footer="0" w:header="0"/>
          <w:type w:val="continuous"/>
        </w:sectPr>
      </w:pPr>
    </w:p>
    <w:bookmarkStart w:id="27" w:name="page28"/>
    <w:bookmarkEnd w:id="27"/>
    <w:p>
      <w:pPr>
        <w:ind w:firstLine="648"/>
        <w:spacing w:after="0" w:line="236" w:lineRule="auto"/>
        <w:rPr>
          <w:sz w:val="20"/>
          <w:szCs w:val="20"/>
          <w:color w:val="auto"/>
        </w:rPr>
      </w:pPr>
      <w:r>
        <w:rPr>
          <w:rFonts w:ascii="Arial" w:cs="Arial" w:eastAsia="Arial" w:hAnsi="Arial"/>
          <w:sz w:val="17"/>
          <w:szCs w:val="17"/>
          <w:color w:val="auto"/>
        </w:rPr>
        <w:t>Revenue was $74.6 million for the three months ended June 30, 2021, as compared to $72.4 million for the three months ended June 30, 2020. The increase of $2.2 million, or 3.1%, was primarily due to a $3.3 million increase in revenue from Skin and Personal Care products, offset by a $0.9 million decrease in revenue from Diapers and Wipes and a $0.2 million decrease in revenue from Household and Wellness products. The revenue increase from Skin and Personal Care was primarily driven by increased sales volume in our products across the Retail channel as a result of continued investment in marketing innovation, our Content, Community, Commerce marketing strategy and incremental merchandising programs with our retail partners. Diapers and Wipes revenue decreased as we saw lower wipes consumption across channels during the three months ended June 30, 2021, as compared to the significant wipes stock-up behavior during the initial stages of the COVID-19 pandemic during the three months ended June 30, 2020. As we rolled out and invested in our Clean, Conscious Diaper innovation, diaper revenue increased mid-single digits in the three months ended June 30, 2021 as compared to the three months ended June 30, 2020. Household and Wellness revenue was down due to a decrease in overall consumer demand for sanitization and disinfecting products during the three months ended June 30, 2021, as compared to higher consumption during the initial stages of the COVID-19 pandemic during the three months ended June 30, 2020.</w:t>
      </w:r>
    </w:p>
    <w:p>
      <w:pPr>
        <w:spacing w:after="0" w:line="208" w:lineRule="exact"/>
        <w:rPr>
          <w:sz w:val="20"/>
          <w:szCs w:val="20"/>
          <w:color w:val="auto"/>
        </w:rPr>
      </w:pPr>
    </w:p>
    <w:p>
      <w:pPr>
        <w:ind w:right="100" w:firstLine="648"/>
        <w:spacing w:after="0" w:line="236" w:lineRule="auto"/>
        <w:rPr>
          <w:sz w:val="20"/>
          <w:szCs w:val="20"/>
          <w:color w:val="auto"/>
        </w:rPr>
      </w:pPr>
      <w:r>
        <w:rPr>
          <w:rFonts w:ascii="Arial" w:cs="Arial" w:eastAsia="Arial" w:hAnsi="Arial"/>
          <w:sz w:val="17"/>
          <w:szCs w:val="17"/>
          <w:color w:val="auto"/>
        </w:rPr>
        <w:t>Revenue was $155.6 million for the six months ended June 30, 2021, as compared to $144.7 million for the six months ended June 30, 2020. The increase of $10.9 million, or 7.5%, was primarily due to a $11.1 million increase in revenue from Skin and Personal Care products and a $1.6 million increase in revenue from Household and Wellness products, offset by a $1.8 million decrease in revenue from Diapers and Wipes. The revenue increase from Skin and Personal Care was primarily driven by increased sales volume on our products across the Retail channel as a result of continued investment in marketing innovation, our Content, Community, Commerce marketing strategy, expanded distribution and merchandising programs with our retail partners and improved retail unit volume, including $3.9 million through the non-monetary sale of our legacy beauty inventory in exchange for future marketing and transportation credits. The revenue growth from Household and Wellness was primarily driven by our new product innovations in sanitization and disinfecting that were introduced in the second half of 2020, offset by a decrease in overall consumer demand for sanitization and disinfecting products as more consumers became vaccinated against COVID-19 during the six months ended June 30, 2021. Diapers and Wipes revenue decreased as we saw lower wipes consumption across channels in the six months ended June 30, 2021, as compared to the significant wipes stock-up behavior during the six months ended June 30, 2020. This decrease in wipes was offset by an increase in sales volume of our diaper business with our new Clean Conscious Diaper innovation.</w:t>
      </w:r>
    </w:p>
    <w:p>
      <w:pPr>
        <w:spacing w:after="0" w:line="204" w:lineRule="exact"/>
        <w:rPr>
          <w:sz w:val="20"/>
          <w:szCs w:val="20"/>
          <w:color w:val="auto"/>
        </w:rPr>
      </w:pPr>
    </w:p>
    <w:p>
      <w:pPr>
        <w:ind w:firstLine="648"/>
        <w:spacing w:after="0" w:line="255" w:lineRule="auto"/>
        <w:rPr>
          <w:sz w:val="20"/>
          <w:szCs w:val="20"/>
          <w:color w:val="auto"/>
        </w:rPr>
      </w:pPr>
      <w:r>
        <w:rPr>
          <w:rFonts w:ascii="Arial" w:cs="Arial" w:eastAsia="Arial" w:hAnsi="Arial"/>
          <w:sz w:val="16"/>
          <w:szCs w:val="16"/>
          <w:color w:val="auto"/>
        </w:rPr>
        <w:t>Revenue growth increased in our Retail channel for the three and six months ended June 30, 2021, compared to the three and six months ended June 30, 2020, primarily due to the continued channel shift to Retail as sales across products saw higher volumes with our retail partners as compared to the higher digital penetration we saw during the initial stages of the COVID-19 pandemic during the three and six months ended June 30, 2020. In addition to this shift, we also saw continued retail distribution expansion, additional merchandising programs and overall increases in retail unit volume with our retail partners. The reduction in revenue in our Digital channel was primarily due to the Retail channel shift and a reduction in inventory on-hand by a key digital partner who cut inventory in consumables in the second quarter of 2021 to free up space for other products ahead of a major promotional event. Therefore, for this key digital partner, shipments were down for the three and six months ended June 30, 2021, compared to the three and six months ended June 30, 2020, whereas consumption to this customer’s end consumer increased during that same period.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gridSpan w:val="8"/>
          </w:tcPr>
          <w:p>
            <w:pPr>
              <w:ind w:left="580"/>
              <w:spacing w:after="0"/>
              <w:rPr>
                <w:sz w:val="20"/>
                <w:szCs w:val="20"/>
                <w:color w:val="auto"/>
              </w:rPr>
            </w:pPr>
            <w:r>
              <w:rPr>
                <w:rFonts w:ascii="Arial" w:cs="Arial" w:eastAsia="Arial" w:hAnsi="Arial"/>
                <w:sz w:val="18"/>
                <w:szCs w:val="18"/>
                <w:b w:val="1"/>
                <w:bCs w:val="1"/>
                <w:color w:val="auto"/>
                <w:w w:val="92"/>
              </w:rPr>
              <w:t>For the three months ended June 30,</w:t>
            </w: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80" w:type="dxa"/>
            <w:vAlign w:val="bottom"/>
            <w:gridSpan w:val="8"/>
          </w:tcPr>
          <w:p>
            <w:pPr>
              <w:jc w:val="center"/>
              <w:ind w:left="410"/>
              <w:spacing w:after="0"/>
              <w:rPr>
                <w:sz w:val="20"/>
                <w:szCs w:val="20"/>
                <w:color w:val="auto"/>
              </w:rPr>
            </w:pPr>
            <w:r>
              <w:rPr>
                <w:rFonts w:ascii="Arial" w:cs="Arial" w:eastAsia="Arial" w:hAnsi="Arial"/>
                <w:sz w:val="18"/>
                <w:szCs w:val="18"/>
                <w:b w:val="1"/>
                <w:bCs w:val="1"/>
                <w:color w:val="auto"/>
                <w:w w:val="88"/>
              </w:rPr>
              <w:t>For the six months ended June 30,</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
        </w:trPr>
        <w:tc>
          <w:tcPr>
            <w:tcW w:w="1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18"/>
        </w:trPr>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change</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change</w:t>
            </w:r>
          </w:p>
        </w:tc>
      </w:tr>
      <w:tr>
        <w:trPr>
          <w:trHeight w:val="27"/>
        </w:trPr>
        <w:tc>
          <w:tcPr>
            <w:tcW w:w="30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4"/>
        </w:trPr>
        <w:tc>
          <w:tcPr>
            <w:tcW w:w="1700" w:type="dxa"/>
            <w:vAlign w:val="bottom"/>
          </w:tcPr>
          <w:p>
            <w:pPr>
              <w:spacing w:after="0"/>
              <w:rPr>
                <w:sz w:val="20"/>
                <w:szCs w:val="20"/>
                <w:color w:val="auto"/>
              </w:rPr>
            </w:pPr>
            <w:r>
              <w:rPr>
                <w:rFonts w:ascii="Arial" w:cs="Arial" w:eastAsia="Arial" w:hAnsi="Arial"/>
                <w:sz w:val="18"/>
                <w:szCs w:val="18"/>
                <w:i w:val="1"/>
                <w:iCs w:val="1"/>
                <w:color w:val="auto"/>
                <w:w w:val="97"/>
              </w:rPr>
              <w:t>(In thousands, except</w:t>
            </w: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percentages)</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69"/>
        </w:trPr>
        <w:tc>
          <w:tcPr>
            <w:tcW w:w="170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47,633</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45,867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1,766</w:t>
            </w:r>
          </w:p>
        </w:tc>
        <w:tc>
          <w:tcPr>
            <w:tcW w:w="8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100,284</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90"/>
              </w:rPr>
              <w:t>92,434</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7,850</w:t>
            </w:r>
          </w:p>
        </w:tc>
        <w:tc>
          <w:tcPr>
            <w:tcW w:w="1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8.5 %</w:t>
            </w:r>
          </w:p>
        </w:tc>
      </w:tr>
      <w:tr>
        <w:trPr>
          <w:trHeight w:val="270"/>
        </w:trPr>
        <w:tc>
          <w:tcPr>
            <w:tcW w:w="1700" w:type="dxa"/>
            <w:vAlign w:val="bottom"/>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26,943</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26,487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55,323</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90"/>
              </w:rPr>
              <w:t>52,292</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5.8 %</w:t>
            </w:r>
          </w:p>
        </w:tc>
      </w:tr>
    </w:tbl>
    <w:p>
      <w:pPr>
        <w:spacing w:after="0" w:line="350"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Cost of revenue was $47.6 million for the three months ended June 30, 2021, as compared to $45.9 million for the three months ended June 30, 2020. The increase of $1.8 million, or 3.9%, was primarily due to increased product costs, offset by a decrease in shipping and fulfillment expenses as we saw the shift in revenue from our Digital channel to our Retail channel. Cost of revenue as a percentage of revenue increased by 48 basis points primarily due to a more normalized level of trade spend and higher input costs as compared to the three months ended June 30,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profit was $26.9 million for the three months ended June 30, 2021, as compared to $26.5 million for the three months ended June 30,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$0.5 million, or 1.7%, was primarily due to the increased sales of our products primarily from Skin and Personal Care.</w:t>
      </w:r>
    </w:p>
    <w:p>
      <w:pPr>
        <w:spacing w:after="0" w:line="224" w:lineRule="exact"/>
        <w:rPr>
          <w:sz w:val="20"/>
          <w:szCs w:val="20"/>
          <w:color w:val="auto"/>
        </w:rPr>
      </w:pPr>
    </w:p>
    <w:p>
      <w:pPr>
        <w:ind w:right="20" w:firstLine="648"/>
        <w:spacing w:after="0" w:line="231" w:lineRule="auto"/>
        <w:rPr>
          <w:sz w:val="20"/>
          <w:szCs w:val="20"/>
          <w:color w:val="auto"/>
        </w:rPr>
      </w:pPr>
      <w:r>
        <w:rPr>
          <w:rFonts w:ascii="Arial" w:cs="Arial" w:eastAsia="Arial" w:hAnsi="Arial"/>
          <w:sz w:val="18"/>
          <w:szCs w:val="18"/>
          <w:color w:val="auto"/>
        </w:rPr>
        <w:t>Cost of revenue was $100.3 million for the six months ended June 30, 2021, as compared to $92.4 million for the six months ended June 30, 2020. The increase of $7.9 million, or 8.5%, was primarily due to increased product costs and fulfillment expenses associated with the increased sales of our products. Cost of revenue as a percentage of revenue increased by 58 basis points primarily due to a more normalized level of trade spend and higher input costs as compared to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8" w:name="page29"/>
    <w:bookmarkEnd w:id="28"/>
    <w:p>
      <w:pPr>
        <w:ind w:right="60" w:firstLine="648"/>
        <w:spacing w:after="0" w:line="263" w:lineRule="auto"/>
        <w:rPr>
          <w:sz w:val="20"/>
          <w:szCs w:val="20"/>
          <w:color w:val="auto"/>
        </w:rPr>
      </w:pPr>
      <w:r>
        <w:rPr>
          <w:rFonts w:ascii="Arial" w:cs="Arial" w:eastAsia="Arial" w:hAnsi="Arial"/>
          <w:sz w:val="18"/>
          <w:szCs w:val="18"/>
          <w:color w:val="auto"/>
        </w:rPr>
        <w:t>Gross profit was $55.3 million for the six months ended June 30, 2021, as compared to $52.3 million for the six months ended June 30, 2020. The increase of $3.0 million, or 5.8%, was primarily due to the increased sales of our products primarily from Skin and Personal Care and Household and Wellness.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80" w:type="dxa"/>
            <w:vAlign w:val="bottom"/>
            <w:gridSpan w:val="11"/>
          </w:tcPr>
          <w:p>
            <w:pPr>
              <w:jc w:val="right"/>
              <w:ind w:right="1200"/>
              <w:spacing w:after="0"/>
              <w:rPr>
                <w:sz w:val="20"/>
                <w:szCs w:val="20"/>
                <w:color w:val="auto"/>
              </w:rPr>
            </w:pPr>
            <w:r>
              <w:rPr>
                <w:rFonts w:ascii="Arial" w:cs="Arial" w:eastAsia="Arial" w:hAnsi="Arial"/>
                <w:sz w:val="18"/>
                <w:szCs w:val="18"/>
                <w:b w:val="1"/>
                <w:bCs w:val="1"/>
                <w:color w:val="auto"/>
              </w:rPr>
              <w:t>For the three months ended June 30,</w:t>
            </w:r>
          </w:p>
        </w:tc>
        <w:tc>
          <w:tcPr>
            <w:tcW w:w="4140" w:type="dxa"/>
            <w:vAlign w:val="bottom"/>
            <w:gridSpan w:val="10"/>
          </w:tcPr>
          <w:p>
            <w:pPr>
              <w:jc w:val="right"/>
              <w:ind w:right="960"/>
              <w:spacing w:after="0"/>
              <w:rPr>
                <w:sz w:val="20"/>
                <w:szCs w:val="20"/>
                <w:color w:val="auto"/>
              </w:rPr>
            </w:pPr>
            <w:r>
              <w:rPr>
                <w:rFonts w:ascii="Arial" w:cs="Arial" w:eastAsia="Arial" w:hAnsi="Arial"/>
                <w:sz w:val="18"/>
                <w:szCs w:val="18"/>
                <w:b w:val="1"/>
                <w:bCs w:val="1"/>
                <w:color w:val="auto"/>
              </w:rPr>
              <w:t>For the six months ended June 30,</w:t>
            </w:r>
          </w:p>
        </w:tc>
      </w:tr>
      <w:tr>
        <w:trPr>
          <w:trHeight w:val="27"/>
        </w:trPr>
        <w:tc>
          <w:tcPr>
            <w:tcW w:w="2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52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w w:val="99"/>
              </w:rPr>
              <w:t>% change</w:t>
            </w: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i w:val="1"/>
                <w:iCs w:val="1"/>
                <w:color w:val="auto"/>
                <w:w w:val="88"/>
              </w:rPr>
              <w:t>(In thousands, except percentages)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55"/>
        </w:trPr>
        <w:tc>
          <w:tcPr>
            <w:tcW w:w="2220" w:type="dxa"/>
            <w:vAlign w:val="bottom"/>
          </w:tcPr>
          <w:p>
            <w:pPr>
              <w:spacing w:after="0"/>
              <w:rPr>
                <w:sz w:val="20"/>
                <w:szCs w:val="20"/>
                <w:color w:val="auto"/>
              </w:rPr>
            </w:pPr>
            <w:r>
              <w:rPr>
                <w:rFonts w:ascii="Arial" w:cs="Arial" w:eastAsia="Arial" w:hAnsi="Arial"/>
                <w:sz w:val="18"/>
                <w:szCs w:val="18"/>
                <w:color w:val="auto"/>
              </w:rPr>
              <w:t>Selling, general and</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administrative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30,091</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14,940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15,151</w:t>
            </w:r>
          </w:p>
        </w:tc>
        <w:tc>
          <w:tcPr>
            <w:tcW w:w="100" w:type="dxa"/>
            <w:vAlign w:val="bottom"/>
          </w:tcPr>
          <w:p>
            <w:pPr>
              <w:spacing w:after="0"/>
              <w:rPr>
                <w:sz w:val="20"/>
                <w:szCs w:val="20"/>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101.4 %  $</w:t>
            </w:r>
          </w:p>
        </w:tc>
        <w:tc>
          <w:tcPr>
            <w:tcW w:w="780" w:type="dxa"/>
            <w:vAlign w:val="bottom"/>
          </w:tcPr>
          <w:p>
            <w:pPr>
              <w:jc w:val="right"/>
              <w:spacing w:after="0"/>
              <w:rPr>
                <w:sz w:val="20"/>
                <w:szCs w:val="20"/>
                <w:color w:val="auto"/>
              </w:rPr>
            </w:pPr>
            <w:r>
              <w:rPr>
                <w:rFonts w:ascii="Arial" w:cs="Arial" w:eastAsia="Arial" w:hAnsi="Arial"/>
                <w:sz w:val="18"/>
                <w:szCs w:val="18"/>
                <w:color w:val="auto"/>
              </w:rPr>
              <w:t>46,788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29,646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17,142</w:t>
            </w:r>
          </w:p>
        </w:tc>
        <w:tc>
          <w:tcPr>
            <w:tcW w:w="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57.8 %</w:t>
            </w:r>
          </w:p>
        </w:tc>
      </w:tr>
    </w:tbl>
    <w:p>
      <w:pPr>
        <w:spacing w:after="0" w:line="35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Selling, general and administrative expenses were $30.1 million for the three months ended June 30, 2021 as compared to $14.9 million for the three months ended June 30, 2020. The increase of $15.2 million, or 101.4%, was primarily due to a $9.1 million bonus payment to certain employees, including members of management, excluding in each case payroll taxes and expenses, as well as an increase of $3.7 million in stock-based compensation expense related to the IPO.</w:t>
      </w:r>
    </w:p>
    <w:p>
      <w:pPr>
        <w:spacing w:after="0" w:line="200"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6"/>
          <w:szCs w:val="16"/>
          <w:color w:val="auto"/>
        </w:rPr>
        <w:t>Selling, general and administrative expenses were $46.8 million for the six months ended June 30, 2021 as compared to $29.6 million for the six months ended June 30, 2020. The increase of $17.1 million, or 57.8%, was primarily due to a $9.1 million bonus payment to certain employees, including members of management, excluding in each case payroll taxes and expenses, as well as an increase of $3.6 million in stock-based compensation expense, $1.5 million in audit fees and $1.0 million in legal expenses all related to the preparation of becoming a public company.</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260" w:type="dxa"/>
            <w:vAlign w:val="bottom"/>
            <w:gridSpan w:val="2"/>
          </w:tcPr>
          <w:p>
            <w:pPr>
              <w:ind w:left="640"/>
              <w:spacing w:after="0"/>
              <w:rPr>
                <w:sz w:val="20"/>
                <w:szCs w:val="20"/>
                <w:color w:val="auto"/>
              </w:rPr>
            </w:pPr>
            <w:r>
              <w:rPr>
                <w:rFonts w:ascii="Arial" w:cs="Arial" w:eastAsia="Arial" w:hAnsi="Arial"/>
                <w:sz w:val="18"/>
                <w:szCs w:val="18"/>
                <w:b w:val="1"/>
                <w:bCs w:val="1"/>
                <w:i w:val="1"/>
                <w:iCs w:val="1"/>
                <w:color w:val="auto"/>
                <w:w w:val="91"/>
              </w:rPr>
              <w:t>Marketing Expenses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2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gridSpan w:val="11"/>
          </w:tcPr>
          <w:p>
            <w:pPr>
              <w:jc w:val="right"/>
              <w:ind w:right="1300"/>
              <w:spacing w:after="0"/>
              <w:rPr>
                <w:sz w:val="20"/>
                <w:szCs w:val="20"/>
                <w:color w:val="auto"/>
              </w:rPr>
            </w:pPr>
            <w:r>
              <w:rPr>
                <w:rFonts w:ascii="Arial" w:cs="Arial" w:eastAsia="Arial" w:hAnsi="Arial"/>
                <w:sz w:val="18"/>
                <w:szCs w:val="18"/>
                <w:b w:val="1"/>
                <w:bCs w:val="1"/>
                <w:color w:val="auto"/>
              </w:rPr>
              <w:t>For the three months ended June 30,</w:t>
            </w:r>
          </w:p>
        </w:tc>
        <w:tc>
          <w:tcPr>
            <w:tcW w:w="4120" w:type="dxa"/>
            <w:vAlign w:val="bottom"/>
            <w:gridSpan w:val="10"/>
          </w:tcPr>
          <w:p>
            <w:pPr>
              <w:jc w:val="right"/>
              <w:ind w:right="940"/>
              <w:spacing w:after="0"/>
              <w:rPr>
                <w:sz w:val="20"/>
                <w:szCs w:val="20"/>
                <w:color w:val="auto"/>
              </w:rPr>
            </w:pPr>
            <w:r>
              <w:rPr>
                <w:rFonts w:ascii="Arial" w:cs="Arial" w:eastAsia="Arial" w:hAnsi="Arial"/>
                <w:sz w:val="18"/>
                <w:szCs w:val="18"/>
                <w:b w:val="1"/>
                <w:bCs w:val="1"/>
                <w:color w:val="auto"/>
              </w:rPr>
              <w:t>For the six months ended June 30,</w:t>
            </w:r>
          </w:p>
        </w:tc>
      </w:tr>
      <w:tr>
        <w:trPr>
          <w:trHeight w:val="27"/>
        </w:trPr>
        <w:tc>
          <w:tcPr>
            <w:tcW w:w="2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62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 change</w:t>
            </w: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04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24"/>
        </w:trPr>
        <w:tc>
          <w:tcPr>
            <w:tcW w:w="3040" w:type="dxa"/>
            <w:vAlign w:val="bottom"/>
            <w:gridSpan w:val="3"/>
          </w:tcPr>
          <w:p>
            <w:pPr>
              <w:spacing w:after="0"/>
              <w:rPr>
                <w:sz w:val="20"/>
                <w:szCs w:val="20"/>
                <w:color w:val="auto"/>
              </w:rPr>
            </w:pPr>
            <w:r>
              <w:rPr>
                <w:rFonts w:ascii="Arial" w:cs="Arial" w:eastAsia="Arial" w:hAnsi="Arial"/>
                <w:sz w:val="18"/>
                <w:szCs w:val="18"/>
                <w:i w:val="1"/>
                <w:iCs w:val="1"/>
                <w:color w:val="auto"/>
              </w:rPr>
              <w:t>(In thousands, except percentages)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9"/>
        </w:trPr>
        <w:tc>
          <w:tcPr>
            <w:tcW w:w="2040" w:type="dxa"/>
            <w:vAlign w:val="bottom"/>
          </w:tcPr>
          <w:p>
            <w:pPr>
              <w:spacing w:after="0"/>
              <w:rPr>
                <w:sz w:val="20"/>
                <w:szCs w:val="20"/>
                <w:color w:val="auto"/>
              </w:rPr>
            </w:pPr>
            <w:r>
              <w:rPr>
                <w:rFonts w:ascii="Arial" w:cs="Arial" w:eastAsia="Arial" w:hAnsi="Arial"/>
                <w:sz w:val="18"/>
                <w:szCs w:val="18"/>
                <w:color w:val="auto"/>
              </w:rPr>
              <w:t>Marketing</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14,009</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10,625</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23"/>
                <w:szCs w:val="23"/>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31.8 %   $</w:t>
            </w:r>
          </w:p>
        </w:tc>
        <w:tc>
          <w:tcPr>
            <w:tcW w:w="780" w:type="dxa"/>
            <w:vAlign w:val="bottom"/>
          </w:tcPr>
          <w:p>
            <w:pPr>
              <w:jc w:val="right"/>
              <w:spacing w:after="0"/>
              <w:rPr>
                <w:sz w:val="20"/>
                <w:szCs w:val="20"/>
                <w:color w:val="auto"/>
              </w:rPr>
            </w:pPr>
            <w:r>
              <w:rPr>
                <w:rFonts w:ascii="Arial" w:cs="Arial" w:eastAsia="Arial" w:hAnsi="Arial"/>
                <w:sz w:val="18"/>
                <w:szCs w:val="18"/>
                <w:color w:val="auto"/>
              </w:rPr>
              <w:t>28,182</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19,818</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8,364</w:t>
            </w:r>
          </w:p>
        </w:tc>
        <w:tc>
          <w:tcPr>
            <w:tcW w:w="10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42.2 %</w:t>
            </w:r>
          </w:p>
        </w:tc>
      </w:tr>
    </w:tbl>
    <w:p>
      <w:pPr>
        <w:spacing w:after="0" w:line="35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Marketing expenses were $14.0 million for the three months ended June 30, 2021, as compared to $10.6 million for the three months ended June 30, 2020. The increase of $3.4 million, or 31.8%, was primarily due to an increase of $1.2 million in retail marketing expenses and an increase of $1.1 million in digital advertising expenses. The increase in retail marketing expense was driven in part by the launch of our Clean Conscious Diaper, as well as by marketing for a key digital partner’s promotional event. The increase in digital advertising expenses drove our Content, Community, Commerce marketing strategy within Skin and Personal Care and Diapers and Wipes.</w:t>
      </w:r>
    </w:p>
    <w:p>
      <w:pPr>
        <w:spacing w:after="0" w:line="201" w:lineRule="exact"/>
        <w:rPr>
          <w:sz w:val="20"/>
          <w:szCs w:val="20"/>
          <w:color w:val="auto"/>
        </w:rPr>
      </w:pPr>
    </w:p>
    <w:p>
      <w:pPr>
        <w:ind w:firstLine="648"/>
        <w:spacing w:after="0" w:line="225" w:lineRule="auto"/>
        <w:rPr>
          <w:sz w:val="20"/>
          <w:szCs w:val="20"/>
          <w:color w:val="auto"/>
        </w:rPr>
      </w:pPr>
      <w:r>
        <w:rPr>
          <w:rFonts w:ascii="Arial" w:cs="Arial" w:eastAsia="Arial" w:hAnsi="Arial"/>
          <w:sz w:val="18"/>
          <w:szCs w:val="18"/>
          <w:color w:val="auto"/>
        </w:rPr>
        <w:t>Marketing expenses were $28.2 million for the six months ended June 30, 2021, as compared to $19.8 million for the six months ended June 30, 2020. The increase of $8.4 million, or 42.2%, was primarily due to an increase of $3.5 million in retail marketing expenses, $2.4 million in digital advertising expenses and $1.0 million in video and photo production costs. The increase in retail marketing expense was driven in part by the launch of our Clean Conscious Diaper in January 2021, as well as by marketing for a key digital partner’s promotional event. The increase in digital advertising expenses drove our Content, Community, Commerce marketing strategy within Skin and Personal Care and Diapers and Wipes. The increase in video and production costs were primarily related to our new innovations and other promotional events, including the Clean Conscious Diaper, incurred during the second quarter of 2021.</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gridSpan w:val="11"/>
          </w:tcPr>
          <w:p>
            <w:pPr>
              <w:jc w:val="right"/>
              <w:ind w:right="1220"/>
              <w:spacing w:after="0"/>
              <w:rPr>
                <w:sz w:val="20"/>
                <w:szCs w:val="20"/>
                <w:color w:val="auto"/>
              </w:rPr>
            </w:pPr>
            <w:r>
              <w:rPr>
                <w:rFonts w:ascii="Arial" w:cs="Arial" w:eastAsia="Arial" w:hAnsi="Arial"/>
                <w:sz w:val="18"/>
                <w:szCs w:val="18"/>
                <w:b w:val="1"/>
                <w:bCs w:val="1"/>
                <w:color w:val="auto"/>
              </w:rPr>
              <w:t>For the three months ended June 30,</w:t>
            </w:r>
          </w:p>
        </w:tc>
        <w:tc>
          <w:tcPr>
            <w:tcW w:w="4080" w:type="dxa"/>
            <w:vAlign w:val="bottom"/>
            <w:gridSpan w:val="10"/>
          </w:tcPr>
          <w:p>
            <w:pPr>
              <w:jc w:val="right"/>
              <w:ind w:right="920"/>
              <w:spacing w:after="0"/>
              <w:rPr>
                <w:sz w:val="20"/>
                <w:szCs w:val="20"/>
                <w:color w:val="auto"/>
              </w:rPr>
            </w:pPr>
            <w:r>
              <w:rPr>
                <w:rFonts w:ascii="Arial" w:cs="Arial" w:eastAsia="Arial" w:hAnsi="Arial"/>
                <w:sz w:val="18"/>
                <w:szCs w:val="18"/>
                <w:b w:val="1"/>
                <w:bCs w:val="1"/>
                <w:color w:val="auto"/>
              </w:rPr>
              <w:t>For the six months ended June 30,</w:t>
            </w:r>
          </w:p>
        </w:tc>
      </w:tr>
      <w:tr>
        <w:trPr>
          <w:trHeight w:val="27"/>
        </w:trPr>
        <w:tc>
          <w:tcPr>
            <w:tcW w:w="2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2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56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 change</w:t>
            </w: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24"/>
        </w:trPr>
        <w:tc>
          <w:tcPr>
            <w:tcW w:w="2540" w:type="dxa"/>
            <w:vAlign w:val="bottom"/>
            <w:gridSpan w:val="2"/>
          </w:tcPr>
          <w:p>
            <w:pPr>
              <w:spacing w:after="0"/>
              <w:rPr>
                <w:sz w:val="20"/>
                <w:szCs w:val="20"/>
                <w:color w:val="auto"/>
              </w:rPr>
            </w:pPr>
            <w:r>
              <w:rPr>
                <w:rFonts w:ascii="Arial" w:cs="Arial" w:eastAsia="Arial" w:hAnsi="Arial"/>
                <w:sz w:val="18"/>
                <w:szCs w:val="18"/>
                <w:i w:val="1"/>
                <w:iCs w:val="1"/>
                <w:color w:val="auto"/>
                <w:w w:val="89"/>
              </w:rPr>
              <w:t>(In thousands, except percentages)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9"/>
        </w:trPr>
        <w:tc>
          <w:tcPr>
            <w:tcW w:w="22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1,245</w:t>
            </w:r>
          </w:p>
        </w:tc>
        <w:tc>
          <w:tcPr>
            <w:tcW w:w="80" w:type="dxa"/>
            <w:vAlign w:val="bottom"/>
          </w:tcPr>
          <w:p>
            <w:pPr>
              <w:spacing w:after="0"/>
              <w:rPr>
                <w:sz w:val="23"/>
                <w:szCs w:val="23"/>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113.2 %  $</w:t>
            </w:r>
          </w:p>
        </w:tc>
        <w:tc>
          <w:tcPr>
            <w:tcW w:w="760" w:type="dxa"/>
            <w:vAlign w:val="bottom"/>
          </w:tcPr>
          <w:p>
            <w:pPr>
              <w:jc w:val="right"/>
              <w:spacing w:after="0"/>
              <w:rPr>
                <w:sz w:val="20"/>
                <w:szCs w:val="20"/>
                <w:color w:val="auto"/>
              </w:rPr>
            </w:pPr>
            <w:r>
              <w:rPr>
                <w:rFonts w:ascii="Arial" w:cs="Arial" w:eastAsia="Arial" w:hAnsi="Arial"/>
                <w:sz w:val="18"/>
                <w:szCs w:val="18"/>
                <w:color w:val="auto"/>
              </w:rPr>
              <w:t>3,991</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1,725</w:t>
            </w:r>
          </w:p>
        </w:tc>
        <w:tc>
          <w:tcPr>
            <w:tcW w:w="8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76.1 %</w:t>
            </w:r>
          </w:p>
        </w:tc>
      </w:tr>
    </w:tbl>
    <w:p>
      <w:pPr>
        <w:spacing w:after="0" w:line="200" w:lineRule="exact"/>
        <w:rPr>
          <w:sz w:val="20"/>
          <w:szCs w:val="20"/>
          <w:color w:val="auto"/>
        </w:rPr>
      </w:pP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29" w:name="page30"/>
    <w:bookmarkEnd w:id="29"/>
    <w:p>
      <w:pPr>
        <w:ind w:firstLine="648"/>
        <w:spacing w:after="0" w:line="228" w:lineRule="auto"/>
        <w:rPr>
          <w:sz w:val="20"/>
          <w:szCs w:val="20"/>
          <w:color w:val="auto"/>
        </w:rPr>
      </w:pPr>
      <w:r>
        <w:rPr>
          <w:rFonts w:ascii="Arial" w:cs="Arial" w:eastAsia="Arial" w:hAnsi="Arial"/>
          <w:sz w:val="18"/>
          <w:szCs w:val="18"/>
          <w:color w:val="auto"/>
        </w:rPr>
        <w:t>Research and development expenses were $2.3 million for the three months ended June 30, 2021, as compared to $1.1 million for the three months ended June 30, 2020. The increase of $1.2 million, or 113.2%, was primarily due to an increase in employee expenses, product development expenses, as well as clinical and claims testing and pilot trial expenses. The increase in employee expenses was driven by a $0.4 million bonus payment to certain employees, including management, excluding in each case payroll taxes and expenses, in connection with the IPO, as well as an increase of $0.4 million in stock-based compensation related to the IPO.</w:t>
      </w:r>
    </w:p>
    <w:p>
      <w:pPr>
        <w:spacing w:after="0" w:line="205" w:lineRule="exact"/>
        <w:rPr>
          <w:sz w:val="20"/>
          <w:szCs w:val="20"/>
          <w:color w:val="auto"/>
        </w:rPr>
      </w:pPr>
    </w:p>
    <w:p>
      <w:pPr>
        <w:ind w:right="80" w:firstLine="648"/>
        <w:spacing w:after="0" w:line="228" w:lineRule="auto"/>
        <w:rPr>
          <w:sz w:val="20"/>
          <w:szCs w:val="20"/>
          <w:color w:val="auto"/>
        </w:rPr>
      </w:pPr>
      <w:r>
        <w:rPr>
          <w:rFonts w:ascii="Arial" w:cs="Arial" w:eastAsia="Arial" w:hAnsi="Arial"/>
          <w:sz w:val="18"/>
          <w:szCs w:val="18"/>
          <w:color w:val="auto"/>
        </w:rPr>
        <w:t>Research and development expenses were $4.0 million for the six months ended June 30, 2021, as compared to $2.3 million for the six months ended June 30, 2020. The increase of $1.7 million, or 76.1%, was primarily due to an increase in employee expenses, product development expenses, as well as clinical and claims testing and pilot trial expenses. The increase in employee expenses was driven by a $0.4 million bonus payment to certain employees, including management, excluding in each case payroll taxes and expenses, in connection with the IPO, as well as an increase of $0.4 million in stock-based compensation related to the IPO.</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60" w:type="dxa"/>
            <w:vAlign w:val="bottom"/>
            <w:gridSpan w:val="11"/>
          </w:tcPr>
          <w:p>
            <w:pPr>
              <w:jc w:val="right"/>
              <w:ind w:right="1200"/>
              <w:spacing w:after="0"/>
              <w:rPr>
                <w:sz w:val="20"/>
                <w:szCs w:val="20"/>
                <w:color w:val="auto"/>
              </w:rPr>
            </w:pPr>
            <w:r>
              <w:rPr>
                <w:rFonts w:ascii="Arial" w:cs="Arial" w:eastAsia="Arial" w:hAnsi="Arial"/>
                <w:sz w:val="18"/>
                <w:szCs w:val="18"/>
                <w:b w:val="1"/>
                <w:bCs w:val="1"/>
                <w:color w:val="auto"/>
                <w:w w:val="99"/>
              </w:rPr>
              <w:t>For the three months ended June 30,</w:t>
            </w:r>
          </w:p>
        </w:tc>
        <w:tc>
          <w:tcPr>
            <w:tcW w:w="3220" w:type="dxa"/>
            <w:vAlign w:val="bottom"/>
            <w:gridSpan w:val="9"/>
          </w:tcPr>
          <w:p>
            <w:pPr>
              <w:ind w:left="580"/>
              <w:spacing w:after="0"/>
              <w:rPr>
                <w:sz w:val="20"/>
                <w:szCs w:val="20"/>
                <w:color w:val="auto"/>
              </w:rPr>
            </w:pPr>
            <w:r>
              <w:rPr>
                <w:rFonts w:ascii="Arial" w:cs="Arial" w:eastAsia="Arial" w:hAnsi="Arial"/>
                <w:sz w:val="18"/>
                <w:szCs w:val="18"/>
                <w:b w:val="1"/>
                <w:bCs w:val="1"/>
                <w:color w:val="auto"/>
                <w:w w:val="88"/>
              </w:rPr>
              <w:t>For the six months ended June 30,</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8"/>
        </w:trPr>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154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 change</w:t>
            </w: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 change</w:t>
            </w:r>
          </w:p>
        </w:tc>
        <w:tc>
          <w:tcPr>
            <w:tcW w:w="9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change</w:t>
            </w:r>
          </w:p>
        </w:tc>
      </w:tr>
      <w:tr>
        <w:trPr>
          <w:trHeight w:val="27"/>
        </w:trPr>
        <w:tc>
          <w:tcPr>
            <w:tcW w:w="2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i w:val="1"/>
                <w:iCs w:val="1"/>
                <w:color w:val="auto"/>
                <w:w w:val="88"/>
              </w:rPr>
              <w:t>(In thousands, except percentages)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5"/>
        </w:trPr>
        <w:tc>
          <w:tcPr>
            <w:tcW w:w="220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(expense),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20"/>
                <w:szCs w:val="20"/>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191.4 %  $</w:t>
            </w:r>
          </w:p>
        </w:tc>
        <w:tc>
          <w:tcPr>
            <w:tcW w:w="78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150.3 %</w:t>
            </w:r>
          </w:p>
        </w:tc>
      </w:tr>
    </w:tbl>
    <w:p>
      <w:pPr>
        <w:spacing w:after="0" w:line="323"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Interest and other income (expense), net was net expense of $0.5 million for the three months ended June 30, 2021, as compared to net expense of $0.2 million for the three months ended June 30, 2020. The increase of $0.3 million, or 191.4%, was primarily due to a decrease in interest income on our short-term investments due to a lower average investment balance and lower average interest rates, as well as interest expense on a litigation matter.</w:t>
      </w:r>
    </w:p>
    <w:p>
      <w:pPr>
        <w:spacing w:after="0" w:line="149" w:lineRule="exact"/>
        <w:rPr>
          <w:sz w:val="20"/>
          <w:szCs w:val="20"/>
          <w:color w:val="auto"/>
        </w:rPr>
      </w:pPr>
    </w:p>
    <w:p>
      <w:pPr>
        <w:jc w:val="both"/>
        <w:ind w:right="220" w:firstLine="648"/>
        <w:spacing w:after="0" w:line="311" w:lineRule="auto"/>
        <w:rPr>
          <w:sz w:val="20"/>
          <w:szCs w:val="20"/>
          <w:color w:val="auto"/>
        </w:rPr>
      </w:pPr>
      <w:r>
        <w:rPr>
          <w:rFonts w:ascii="Arial" w:cs="Arial" w:eastAsia="Arial" w:hAnsi="Arial"/>
          <w:sz w:val="16"/>
          <w:szCs w:val="16"/>
          <w:color w:val="auto"/>
        </w:rPr>
        <w:t>Interest and other income (expense), net was net expense of $0.8 million for the six months ended June 30, 2021, as compared to net expense of $0.3 million for the six months ended June 30, 2020. The increase of $0.5 million, or 150.3%, was primarily due to a decrease in interest income on our short-term investments due to a lower average investment balance and lower average interest rates, as well as interest expense on a litigation matter.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incurred net losses and net cash outflows from operating activities since our inception. To date, our available liquidity and operations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have been financed primarily through the sale of redeemable convertible preferred stock, equity securities and to a lesser extent, debt financing.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2021, we had $41.4 million of cash and cash equivalents and $53.7 million of short-term investments. Although we are dependent on our ability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raise capital or generate sufficient cash flow from operations to achieve our business objectives, we believe our existing cash, cash equivalents, and short-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 investments will be sufficient to meet our working capital and capital expenditure needs for at least the next twelve months. Future capital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will depend on many factors, including our rate of revenue growth, gross margin and the level of expenditures in all areas of the Company.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extent that existing capital resources and sales growth are not sufficient to fund future activities, we will need to raise capital through additional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debt financing. Additional funds may not be available on terms favorable to us or at all. Failure to raise additional capital, if and when needed, could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a material adverse effect on our financial position, results of operations, and cash flows.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Credit Facility</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April 2021, we entered into a first lien credit agreement (the “2021 Credit Facility”), with JPMorgan Chase Bank, N.A., as administrative agent and lender, and the other lenders party thereto, which provides for a $35.0 million revolving credit facility maturing five years from the date of the 2021 Credit Facility. The 2021 Credit Facility includes a subfacility that provides for the issuance of letters of credit in an amount of up to $10.0 million at any time outstanding, which reduces the amount available under the 2021 Credit Facility.</w:t>
      </w:r>
    </w:p>
    <w:p>
      <w:pPr>
        <w:spacing w:after="0" w:line="21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2021 Credit Facility is subject to customary fees for loan facilities of this type, including a commitment fee based on the average daily undrawn potion of the revolving credit facility. The interest rate applicable to the 2021 Credit Facility is, at our option, either (a) the LIBOR (or a replacement rate established in accordance with the terms of the 2021 Credit Facility) (subject to a 0.00% LIBOR floor), plus a margin of 1.50% or (b) the CB floating rate minus a margin of 0.50%. The CB floating rate is the higher of (a) the Wall Street Journal prime rate and (b)(i) 2.50% plus (ii) the adjusted LIBOR rate for a one-month interest period.</w:t>
      </w:r>
    </w:p>
    <w:p>
      <w:pPr>
        <w:sectPr>
          <w:pgSz w:w="11900" w:h="16838" w:orient="portrait"/>
          <w:cols w:equalWidth="0" w:num="1">
            <w:col w:w="11240"/>
          </w:cols>
          <w:pgMar w:left="320" w:top="7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30" w:name="page31"/>
    <w:bookmarkEnd w:id="30"/>
    <w:p>
      <w:pPr>
        <w:jc w:val="both"/>
        <w:ind w:right="160" w:firstLine="648"/>
        <w:spacing w:after="0" w:line="235" w:lineRule="auto"/>
        <w:rPr>
          <w:sz w:val="20"/>
          <w:szCs w:val="20"/>
          <w:color w:val="auto"/>
        </w:rPr>
      </w:pPr>
      <w:r>
        <w:rPr>
          <w:rFonts w:ascii="Arial" w:cs="Arial" w:eastAsia="Arial" w:hAnsi="Arial"/>
          <w:sz w:val="18"/>
          <w:szCs w:val="18"/>
          <w:color w:val="auto"/>
        </w:rPr>
        <w:t>The 2021 Credit Facility terminates and borrowings thereunder, if any, will be due in full five years from the date of the 2021 Credit Facility. As of June 30, 2021, there was no outstanding balance under the 2021 Credit Facility. We are required to follow certain covenants. As of August 9, 2021, we were in compliance with all covenants under the 2021 Credit Facility.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6 included in these condensed consolidated financial statements for more information on the 2021 Credit Facility.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420" w:type="dxa"/>
            <w:vAlign w:val="bottom"/>
          </w:tcPr>
          <w:p>
            <w:pPr>
              <w:ind w:left="640"/>
              <w:spacing w:after="0"/>
              <w:rPr>
                <w:sz w:val="20"/>
                <w:szCs w:val="20"/>
                <w:color w:val="auto"/>
              </w:rPr>
            </w:pPr>
            <w:r>
              <w:rPr>
                <w:rFonts w:ascii="Arial" w:cs="Arial" w:eastAsia="Arial" w:hAnsi="Arial"/>
                <w:sz w:val="18"/>
                <w:szCs w:val="18"/>
                <w:color w:val="auto"/>
              </w:rPr>
              <w:t>The following table summarizes our cash flows for the periods presented:</w:t>
            </w: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86"/>
        </w:trPr>
        <w:tc>
          <w:tcPr>
            <w:tcW w:w="7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5"/>
              </w:rPr>
              <w:t>For the six months ended June 30,</w:t>
            </w:r>
          </w:p>
        </w:tc>
      </w:tr>
      <w:tr>
        <w:trPr>
          <w:trHeight w:val="27"/>
        </w:trPr>
        <w:tc>
          <w:tcPr>
            <w:tcW w:w="7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r>
      <w:tr>
        <w:trPr>
          <w:trHeight w:val="27"/>
        </w:trPr>
        <w:tc>
          <w:tcPr>
            <w:tcW w:w="7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center"/>
              <w:ind w:left="690"/>
              <w:spacing w:after="0"/>
              <w:rPr>
                <w:sz w:val="20"/>
                <w:szCs w:val="20"/>
                <w:color w:val="auto"/>
              </w:rPr>
            </w:pPr>
            <w:r>
              <w:rPr>
                <w:rFonts w:ascii="Arial" w:cs="Arial" w:eastAsia="Arial" w:hAnsi="Arial"/>
                <w:sz w:val="18"/>
                <w:szCs w:val="18"/>
                <w:color w:val="auto"/>
                <w:w w:val="92"/>
              </w:rPr>
              <w:t>(32,607)</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13,486</w:t>
            </w:r>
          </w:p>
        </w:tc>
      </w:tr>
      <w:tr>
        <w:trPr>
          <w:trHeight w:val="270"/>
        </w:trPr>
        <w:tc>
          <w:tcPr>
            <w:tcW w:w="74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center"/>
              <w:ind w:left="690"/>
              <w:spacing w:after="0"/>
              <w:rPr>
                <w:sz w:val="20"/>
                <w:szCs w:val="20"/>
                <w:color w:val="auto"/>
              </w:rPr>
            </w:pPr>
            <w:r>
              <w:rPr>
                <w:rFonts w:ascii="Arial" w:cs="Arial" w:eastAsia="Arial" w:hAnsi="Arial"/>
                <w:sz w:val="18"/>
                <w:szCs w:val="18"/>
                <w:color w:val="auto"/>
                <w:w w:val="92"/>
              </w:rPr>
              <w:t>(19,540)</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33,247</w:t>
            </w:r>
          </w:p>
        </w:tc>
      </w:tr>
      <w:tr>
        <w:trPr>
          <w:trHeight w:val="270"/>
        </w:trPr>
        <w:tc>
          <w:tcPr>
            <w:tcW w:w="742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center"/>
              <w:ind w:left="730"/>
              <w:spacing w:after="0"/>
              <w:rPr>
                <w:sz w:val="20"/>
                <w:szCs w:val="20"/>
                <w:color w:val="auto"/>
              </w:rPr>
            </w:pPr>
            <w:r>
              <w:rPr>
                <w:rFonts w:ascii="Arial" w:cs="Arial" w:eastAsia="Arial" w:hAnsi="Arial"/>
                <w:sz w:val="18"/>
                <w:szCs w:val="18"/>
                <w:color w:val="auto"/>
                <w:w w:val="90"/>
              </w:rPr>
              <w:t>56,385</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(477)</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largest source of operating cash is from the sales of our products through Digital and Retail channels to our consumers. Our primary uses of cash from operating activities are for cost of revenue expenses, selling, general and administrative expenses, marketing expenses and research and development expenses. We have generated negative cash flows from operating activities and have supplemented working capital requirements through net proceeds from the sale and maturity of short-term investments.</w:t>
      </w:r>
    </w:p>
    <w:p>
      <w:pPr>
        <w:spacing w:after="0" w:line="18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Net cash used in operating activities of $32.6 million for the six months ended June 30, 2021 was primarily due to net loss of $24.5 million, non-cash adjustments of $10.7 million and a net decrease in cash related to changes in operating assets and liabilities of $18.8 million. Non-cash adjustments primarily consisted of stock-based compensation of $8.5 million and depreciation and amortization of $2.1 million. Changes in cash flows related to operating assets and liabilities primarily consisted of a $5.7 million increase in inventory due to timing of inventory purchases, $4.6 million increase in accounts receivable due to increase in sales from retail customers, $4.5 million increase in prepaid expenses and other assets due to timing of payments, as well as the non-monetary sale of our legacy beauty inventory for future marketing and transportation credits and a $4.0 million use of cash due to the timing of payments associated with our accounts payable and operating leasing obligations.</w:t>
      </w:r>
    </w:p>
    <w:p>
      <w:pPr>
        <w:spacing w:after="0" w:line="20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Net cash provided by operating activities of $13.5 million for the six months ended June 30, 2020 was primarily due to net income of $0.2 million, non-cash adjustments of $6.8 million and a net decrease in cash related to changes in operating assets and liabilities of $6.5 million. Non-cash adjustments primarily consisted of stock-based compensation of $4.2 million and depreciation and amortization of $2.6 million. Changes in cash flows related to operating assets and liabilities primarily consisted of a $4.7 million increase in accounts payable and operating leasing obligations due to the timing of associated payments, a $3.1 million decrease in accounts receivable due to timing of cash collection from retail customers and a $0.7 million decrease in inventory due to the timing of inventory purchases. This use of cash was partially offset by a $1.9 million increase in prepaid expenses and other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primary source of investing cash is the sale and maturity of short-term investments and our primary use of investing cash is the purchase of short-term investments and property and equipment.</w:t>
      </w:r>
    </w:p>
    <w:p>
      <w:pPr>
        <w:spacing w:after="0" w:line="19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Net cash used in investing activities of $19.5 million for the six months ended June 30, 2021 was due to purchases of short-term investments of $54.0 million, offset by proceeds from the sales and maturities of short-term investments of $25.4 million and $9.2 million, respectively.</w:t>
      </w:r>
    </w:p>
    <w:p>
      <w:pPr>
        <w:spacing w:after="0" w:line="15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Net cash provided by investing activities of $33.2 million for the six months ended June 30, 2020 was due to maturities and sales of short-term investments of $31.9 million and $5.8 million, respectively, net of purchases of short-term investments of $4.5 million.</w:t>
      </w:r>
    </w:p>
    <w:p>
      <w:pPr>
        <w:sectPr>
          <w:pgSz w:w="11900" w:h="16838" w:orient="portrait"/>
          <w:cols w:equalWidth="0" w:num="1">
            <w:col w:w="11220"/>
          </w:cols>
          <w:pgMar w:left="320" w:top="76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Our financing activities primarily consisted of payments of deferred offering cost, stock option awards exercises and principal payments of financing lease obligations.</w:t>
      </w:r>
    </w:p>
    <w:p>
      <w:pPr>
        <w:spacing w:after="0" w:line="19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Net cash provided by financing activities of $56.4 million for the six months ended June 30, 2021 primarily consisted of proceeds from our IPO of $96.5 million net of underwriting discounts and commissions, offset by dividend payments of $35.0 million and payments of offering cost in connection with our IPO of $4.9 million.</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Net cash used in financing activities of $0.5 million for the six months ended June 30, 2020 primarily consisted of principal payments of financing lease obligations of $0.5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April 2021, our board of directors declared a cash dividend of $35.0 million to the holders of record of our common stock and our redeemable convertible preferred stock as of May 3, 2021, which we paid on June 29, 2021 (the “2021 Dividend”). Other than the 2021 Dividend, we have not declared or paid cash dividends on our capital stock, and we do not anticipate declaring or paying any cash dividends other than the 2021 Dividend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2021 Credit Facility contains restrictions on our ability to pay dividends.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prepare and present our condensed consolidated financial statements in accordance with GAAP. However, management believes that adjusted EBITDA, a non-GAAP financial measure, provides investors with additional useful information in evaluating our performance.</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calculate adjusted EBITDA as net income (loss), adjusted to exclude: (1) interest and other (income) expense, net; (2) income tax provision;</w:t>
      </w:r>
    </w:p>
    <w:p>
      <w:pPr>
        <w:spacing w:after="0" w:line="46" w:lineRule="exact"/>
        <w:rPr>
          <w:sz w:val="20"/>
          <w:szCs w:val="20"/>
          <w:color w:val="auto"/>
        </w:rPr>
      </w:pPr>
    </w:p>
    <w:p>
      <w:pPr>
        <w:ind w:right="60" w:firstLine="8"/>
        <w:spacing w:after="0" w:line="255"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depreciation and amortization; (4) stock-based compensation expense; (5) professional fees and expenses and executive termination expenses related to our Innovation Strategy; (6) litigation and settlement fees associated with certain non-ordinary course litigation; and (7) the IPO Bonuses, including associated payroll taxes and expenses, and third-party costs associated with our IPO.</w:t>
      </w:r>
    </w:p>
    <w:p>
      <w:pPr>
        <w:spacing w:after="0" w:line="2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Adjusted EBITDA is a financial measure that is not required by, or presented in accordance with GAAP. We believe that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and evaluating our operating performance, as well as for internal planning and forecasting purposes.</w:t>
      </w:r>
    </w:p>
    <w:p>
      <w:pPr>
        <w:spacing w:after="0" w:line="21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include the IPO Bonuses, including associated payroll taxes and expenses, or third-party costs associated with the preparation of the IPO, (6) it does not reflect tax payments that may represent a reduction in cash available to us, and (7) does not include certain non-ordinary cash expenses that we do not believe are representative of our business on a steady-state basis. In addition, our use of adjusted EBITDA may not be comparable to similarly titled measures of other companies because they may not calculate adjusted EBITDA in the same manner, limiting its usefulness as a comparative measure. Because of these limitations, when evaluating our performance, you should consider adjusted EBITDA alongside other financial measures, including our net income (loss) and other results stated in accordance with GAAP.</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a reconciliation of net income (loss), the most directly comparable financial measure stated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to adjusted EBITDA, for each of the periods presented:</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32" w:name="page33"/>
    <w:bookmarkEnd w:id="32"/>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80" w:type="dxa"/>
            <w:vAlign w:val="bottom"/>
            <w:gridSpan w:val="5"/>
          </w:tcPr>
          <w:p>
            <w:pPr>
              <w:ind w:left="200"/>
              <w:spacing w:after="0"/>
              <w:rPr>
                <w:sz w:val="20"/>
                <w:szCs w:val="20"/>
                <w:color w:val="auto"/>
              </w:rPr>
            </w:pPr>
            <w:r>
              <w:rPr>
                <w:rFonts w:ascii="Arial" w:cs="Arial" w:eastAsia="Arial" w:hAnsi="Arial"/>
                <w:sz w:val="18"/>
                <w:szCs w:val="18"/>
                <w:b w:val="1"/>
                <w:bCs w:val="1"/>
                <w:color w:val="auto"/>
              </w:rPr>
              <w:t>For the three months ended June 30,</w:t>
            </w:r>
          </w:p>
        </w:tc>
        <w:tc>
          <w:tcPr>
            <w:tcW w:w="360" w:type="dxa"/>
            <w:vAlign w:val="bottom"/>
          </w:tcPr>
          <w:p>
            <w:pPr>
              <w:spacing w:after="0"/>
              <w:rPr>
                <w:sz w:val="20"/>
                <w:szCs w:val="20"/>
                <w:color w:val="auto"/>
              </w:rPr>
            </w:pPr>
          </w:p>
        </w:tc>
        <w:tc>
          <w:tcPr>
            <w:tcW w:w="34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5"/>
              </w:rPr>
              <w:t>For the six months ended June 30,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540" w:type="dxa"/>
            <w:vAlign w:val="bottom"/>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Net Income (Loss) to</w:t>
            </w: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5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(20,034)</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(24,518)</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0"/>
        </w:trPr>
        <w:tc>
          <w:tcPr>
            <w:tcW w:w="3540" w:type="dxa"/>
            <w:vAlign w:val="bottom"/>
          </w:tcPr>
          <w:p>
            <w:pPr>
              <w:ind w:left="120"/>
              <w:spacing w:after="0"/>
              <w:rPr>
                <w:sz w:val="20"/>
                <w:szCs w:val="20"/>
                <w:color w:val="auto"/>
              </w:rPr>
            </w:pPr>
            <w:r>
              <w:rPr>
                <w:rFonts w:ascii="Arial" w:cs="Arial" w:eastAsia="Arial" w:hAnsi="Arial"/>
                <w:sz w:val="18"/>
                <w:szCs w:val="18"/>
                <w:color w:val="auto"/>
              </w:rPr>
              <w:t>Interest and other (income) expense, net</w:t>
            </w:r>
          </w:p>
        </w:tc>
        <w:tc>
          <w:tcPr>
            <w:tcW w:w="3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0"/>
        </w:trPr>
        <w:tc>
          <w:tcPr>
            <w:tcW w:w="3540" w:type="dxa"/>
            <w:vAlign w:val="bottom"/>
          </w:tcPr>
          <w:p>
            <w:pPr>
              <w:ind w:left="120"/>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35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1,328</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70"/>
        </w:trPr>
        <w:tc>
          <w:tcPr>
            <w:tcW w:w="35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6,626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2,325</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8,464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310"/>
        </w:trPr>
        <w:tc>
          <w:tcPr>
            <w:tcW w:w="3540" w:type="dxa"/>
            <w:vAlign w:val="bottom"/>
          </w:tcPr>
          <w:p>
            <w:pPr>
              <w:ind w:left="120"/>
              <w:spacing w:after="0"/>
              <w:rPr>
                <w:sz w:val="20"/>
                <w:szCs w:val="20"/>
                <w:color w:val="auto"/>
              </w:rPr>
            </w:pPr>
            <w:r>
              <w:rPr>
                <w:rFonts w:ascii="Arial" w:cs="Arial" w:eastAsia="Arial" w:hAnsi="Arial"/>
                <w:sz w:val="18"/>
                <w:szCs w:val="18"/>
                <w:color w:val="auto"/>
              </w:rPr>
              <w:t>Innovation Strategy expenses</w:t>
            </w:r>
            <w:r>
              <w:rPr>
                <w:rFonts w:ascii="Arial" w:cs="Arial" w:eastAsia="Arial" w:hAnsi="Arial"/>
                <w:sz w:val="23"/>
                <w:szCs w:val="23"/>
                <w:color w:val="auto"/>
                <w:vertAlign w:val="superscript"/>
              </w:rPr>
              <w:t>(1)</w:t>
            </w:r>
          </w:p>
        </w:tc>
        <w:tc>
          <w:tcPr>
            <w:tcW w:w="300" w:type="dxa"/>
            <w:vAlign w:val="bottom"/>
          </w:tcPr>
          <w:p>
            <w:pPr>
              <w:spacing w:after="0"/>
              <w:rPr>
                <w:sz w:val="24"/>
                <w:szCs w:val="24"/>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1"/>
        </w:trPr>
        <w:tc>
          <w:tcPr>
            <w:tcW w:w="3540" w:type="dxa"/>
            <w:vAlign w:val="bottom"/>
          </w:tcPr>
          <w:p>
            <w:pPr>
              <w:ind w:left="120"/>
              <w:spacing w:after="0"/>
              <w:rPr>
                <w:sz w:val="20"/>
                <w:szCs w:val="20"/>
                <w:color w:val="auto"/>
              </w:rPr>
            </w:pPr>
            <w:r>
              <w:rPr>
                <w:rFonts w:ascii="Arial" w:cs="Arial" w:eastAsia="Arial" w:hAnsi="Arial"/>
                <w:sz w:val="18"/>
                <w:szCs w:val="18"/>
                <w:color w:val="auto"/>
                <w:w w:val="89"/>
              </w:rPr>
              <w:t>Related IPO costs and other transaction-related</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540" w:type="dxa"/>
            <w:vAlign w:val="bottom"/>
          </w:tcPr>
          <w:p>
            <w:pPr>
              <w:ind w:left="120"/>
              <w:spacing w:after="0" w:line="263"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(2)</w:t>
            </w:r>
          </w:p>
        </w:tc>
        <w:tc>
          <w:tcPr>
            <w:tcW w:w="3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11,085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12,160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40" w:hanging="333"/>
        <w:spacing w:after="0"/>
        <w:tabs>
          <w:tab w:leader="none" w:pos="340" w:val="left"/>
        </w:tabs>
        <w:numPr>
          <w:ilvl w:val="0"/>
          <w:numId w:val="20"/>
        </w:numPr>
        <w:rPr>
          <w:rFonts w:ascii="Arial" w:cs="Arial" w:eastAsia="Arial" w:hAnsi="Arial"/>
          <w:sz w:val="9"/>
          <w:szCs w:val="9"/>
          <w:color w:val="auto"/>
        </w:rPr>
      </w:pPr>
      <w:r>
        <w:rPr>
          <w:rFonts w:ascii="Arial" w:cs="Arial" w:eastAsia="Arial" w:hAnsi="Arial"/>
          <w:sz w:val="18"/>
          <w:szCs w:val="18"/>
          <w:color w:val="auto"/>
        </w:rPr>
        <w:t>Includes professional fees and expenses and executive severance and termination expenses related to our Innovation Strategy.</w:t>
      </w:r>
    </w:p>
    <w:p>
      <w:pPr>
        <w:spacing w:after="0" w:line="23" w:lineRule="exact"/>
        <w:rPr>
          <w:rFonts w:ascii="Arial" w:cs="Arial" w:eastAsia="Arial" w:hAnsi="Arial"/>
          <w:sz w:val="9"/>
          <w:szCs w:val="9"/>
          <w:color w:val="auto"/>
        </w:rPr>
      </w:pPr>
    </w:p>
    <w:p>
      <w:pPr>
        <w:ind w:left="340" w:right="180" w:hanging="333"/>
        <w:spacing w:after="0" w:line="260" w:lineRule="auto"/>
        <w:tabs>
          <w:tab w:leader="none" w:pos="304" w:val="left"/>
        </w:tabs>
        <w:numPr>
          <w:ilvl w:val="0"/>
          <w:numId w:val="20"/>
        </w:numPr>
        <w:rPr>
          <w:rFonts w:ascii="Arial" w:cs="Arial" w:eastAsia="Arial" w:hAnsi="Arial"/>
          <w:sz w:val="9"/>
          <w:szCs w:val="9"/>
          <w:color w:val="auto"/>
        </w:rPr>
      </w:pPr>
      <w:r>
        <w:rPr>
          <w:rFonts w:ascii="Arial" w:cs="Arial" w:eastAsia="Arial" w:hAnsi="Arial"/>
          <w:sz w:val="18"/>
          <w:szCs w:val="18"/>
          <w:color w:val="auto"/>
        </w:rPr>
        <w:t>Includes IPO-related costs, including IPO Bonuses, and other transaction-related third-party expenses, which are generally incremental costs incurred associated with the preparation of the IPO.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to our contractual obligations from those described in the Prospectus.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64" w:lineRule="exact"/>
        <w:rPr>
          <w:sz w:val="20"/>
          <w:szCs w:val="20"/>
          <w:color w:val="auto"/>
        </w:rPr>
      </w:pPr>
    </w:p>
    <w:p>
      <w:pPr>
        <w:jc w:val="both"/>
        <w:ind w:right="260" w:firstLine="648"/>
        <w:spacing w:after="0" w:line="311"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Our condensed consolidated financial statements and the related notes thereto included elsewhere in this Quarterly Report on Form 10-Q are prepared in accordance with GAAP. The preparation of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16"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Our critical accounting policies are described under the heading “Management’s Discussion and Analysis of Financial Condition and Results of Operations—Critical Accounting Policies and Estimates” in the Prospectus and the notes to the audited consolidated financial statements appearing in the Prospectus. During the three and six months ended June 30, 2021, there were no material changes to our critical accounting policies from those discussed in our Prospectus.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6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Refer to Note 2 to our condensed consolidated financial statements included in this Quarterly Report on Form 10-Q for a discussion of recently issued accounting pronouncements not yet adopted.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64"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had cash and cash equivalents of $41.4 million as of June 30, 2021, which consisted of bank accounts, money market funds, certificates of deposit and corporate bonds. We had short-term investments of $53.7 million as of June 30, 2021, which</w:t>
      </w:r>
    </w:p>
    <w:p>
      <w:pPr>
        <w:sectPr>
          <w:pgSz w:w="11900" w:h="16838" w:orient="portrait"/>
          <w:cols w:equalWidth="0" w:num="1">
            <w:col w:w="11240"/>
          </w:cols>
          <w:pgMar w:left="320" w:top="823" w:right="339" w:bottom="8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833" w:gutter="0" w:footer="0" w:header="0"/>
          <w:type w:val="continuous"/>
        </w:sectPr>
      </w:pPr>
    </w:p>
    <w:bookmarkStart w:id="33" w:name="page34"/>
    <w:bookmarkEnd w:id="33"/>
    <w:p>
      <w:pPr>
        <w:ind w:right="160"/>
        <w:spacing w:after="0" w:line="257" w:lineRule="auto"/>
        <w:rPr>
          <w:sz w:val="20"/>
          <w:szCs w:val="20"/>
          <w:color w:val="auto"/>
        </w:rPr>
      </w:pPr>
      <w:r>
        <w:rPr>
          <w:rFonts w:ascii="Arial" w:cs="Arial" w:eastAsia="Arial" w:hAnsi="Arial"/>
          <w:sz w:val="18"/>
          <w:szCs w:val="18"/>
          <w:color w:val="auto"/>
        </w:rPr>
        <w:t>consisted of commercial paper, certificates of deposit, corporate bonds and U.S. government and agency securities. Interest-earning instruments carry a degree of interest rate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would not result in a material impact on our condensed consolidated financial statements.</w:t>
      </w:r>
    </w:p>
    <w:p>
      <w:pPr>
        <w:spacing w:after="0" w:line="21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We are also subject to interest rate risk in connection with our 2021 Credit Facility. See the section titled “—Liquidity and Capital Resources— 2021 Credit Facility” above. Based on the average interest rate on the instruments under the 2021 Credit Facility during the three and six months ended June 30, 2021, and to the extent that borrowings were outstanding, we do not believe that a hypothetical 10% change in the interest rate would have a material effect on our results of operations or financial condition for the three and six months ended June 30, 2021.</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Our reporting currency is the U.S. dollar. Gains or losses due to transactions in foreign currencies are reflected in the condensed consolidated statements of comprehensive income (loss) under the line item interest and other income (expense), net. We have not engaged in the hedging of foreign currency transactions to date, although we may choose to do so in the future. We do not believe that an immediate 10% increase or decrease in the relative value of the U.S. dollar to other currencies would have a material effect on our condensed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04" w:lineRule="exact"/>
        <w:rPr>
          <w:sz w:val="20"/>
          <w:szCs w:val="20"/>
          <w:color w:val="auto"/>
        </w:rPr>
      </w:pPr>
    </w:p>
    <w:p>
      <w:pPr>
        <w:jc w:val="both"/>
        <w:ind w:right="220" w:firstLine="648"/>
        <w:spacing w:after="0" w:line="235"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we are unable to offset changing commodity prices through price increases or cost reductions, our inability or failure to do so could harm our business, results of operations and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Our management, with the participation of our Chief Executive Officer and Chief Financial Officer, evaluated, as of the period ended June 30, 2021,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the reasonable assurance level.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220" w:firstLine="648"/>
        <w:spacing w:after="0" w:line="291" w:lineRule="auto"/>
        <w:rPr>
          <w:sz w:val="20"/>
          <w:szCs w:val="20"/>
          <w:color w:val="auto"/>
        </w:rPr>
      </w:pPr>
      <w:r>
        <w:rPr>
          <w:rFonts w:ascii="Arial" w:cs="Arial" w:eastAsia="Arial" w:hAnsi="Arial"/>
          <w:sz w:val="17"/>
          <w:szCs w:val="17"/>
          <w:color w:val="auto"/>
        </w:rPr>
        <w:t>There was no change in the Company's internal control over financial reporting that occurred during the Company's second quarter of 2021 that has materially affected, or is reasonably likely to materially affect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ectPr>
          <w:pgSz w:w="11900" w:h="16838" w:orient="portrait"/>
          <w:cols w:equalWidth="0" w:num="1">
            <w:col w:w="11220"/>
          </w:cols>
          <w:pgMar w:left="320" w:top="88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type w:val="continuous"/>
        </w:sectPr>
      </w:pPr>
    </w:p>
    <w:bookmarkStart w:id="34" w:name="page35"/>
    <w:bookmarkEnd w:id="34"/>
    <w:p>
      <w:pPr>
        <w:jc w:val="both"/>
        <w:ind w:firstLine="648"/>
        <w:spacing w:after="0" w:line="243"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The information contained under the heading “Litigation” in Note 8 to our condensed consolidated financial statements included in this Quarterly Report on Form 10-Q is incorporated by reference into this Item.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60" w:firstLine="648"/>
        <w:spacing w:after="0" w:line="271" w:lineRule="auto"/>
        <w:rPr>
          <w:sz w:val="20"/>
          <w:szCs w:val="20"/>
          <w:color w:val="auto"/>
        </w:rPr>
      </w:pPr>
      <w:r>
        <w:rPr>
          <w:rFonts w:ascii="Arial" w:cs="Arial" w:eastAsia="Arial" w:hAnsi="Arial"/>
          <w:sz w:val="16"/>
          <w:szCs w:val="16"/>
          <w:i w:val="1"/>
          <w:iCs w:val="1"/>
          <w:color w:val="auto"/>
        </w:rPr>
        <w:t xml:space="preserve">Other than the risk factors set forth below, there have been no material changes to the risk factors set forth in the section titled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included in our prospectus, dated May 4, 2021, filed with the Securities and Exchange Commission (“SEC”) in accordance with Rule 424(b) of the Securities Act on May 6, 2021 (the “Prospectus”) in connection with our initial public offering (“IPO”). Our business involves significant risks. You should carefully consider the risks and uncertainties described in our Prospectus, together with all of the other information in this Quarterly Report on Form 10-Q, as well as our audited consolidated financial statements and related notes as disclosed in our Prospectus. The risks and uncertainties described in our Prospectus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182" w:lineRule="exact"/>
        <w:rPr>
          <w:sz w:val="20"/>
          <w:szCs w:val="20"/>
          <w:color w:val="auto"/>
        </w:rPr>
      </w:pPr>
    </w:p>
    <w:p>
      <w:pPr>
        <w:ind w:right="640"/>
        <w:spacing w:after="0" w:line="307" w:lineRule="auto"/>
        <w:rPr>
          <w:sz w:val="20"/>
          <w:szCs w:val="20"/>
          <w:color w:val="auto"/>
        </w:rPr>
      </w:pPr>
      <w:r>
        <w:rPr>
          <w:rFonts w:ascii="Arial" w:cs="Arial" w:eastAsia="Arial" w:hAnsi="Arial"/>
          <w:sz w:val="16"/>
          <w:szCs w:val="16"/>
          <w:b w:val="1"/>
          <w:bCs w:val="1"/>
          <w:i w:val="1"/>
          <w:iCs w:val="1"/>
          <w:color w:val="auto"/>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spacing w:after="0" w:line="150" w:lineRule="exact"/>
        <w:rPr>
          <w:sz w:val="20"/>
          <w:szCs w:val="20"/>
          <w:color w:val="auto"/>
        </w:rPr>
      </w:pPr>
    </w:p>
    <w:p>
      <w:pPr>
        <w:ind w:right="160" w:firstLine="648"/>
        <w:spacing w:after="0" w:line="225" w:lineRule="auto"/>
        <w:rPr>
          <w:sz w:val="20"/>
          <w:szCs w:val="20"/>
          <w:color w:val="auto"/>
        </w:rPr>
      </w:pPr>
      <w:r>
        <w:rPr>
          <w:rFonts w:ascii="Arial" w:cs="Arial" w:eastAsia="Arial" w:hAnsi="Arial"/>
          <w:sz w:val="18"/>
          <w:szCs w:val="18"/>
          <w:color w:val="auto"/>
        </w:rPr>
        <w:t>All of the products we offer are manufactured by a limited number of third-party manufacturers, and as a result we may be subject to price fluctuations or demand disruptions. Our operating results would be negatively impacted by increases in the costs of our products, and we have no guarantees that costs will not rise. In addition, as we expand into new categories and product types, we expect that we may not have strong purchasing power in these new areas, which could lead to higher costs than we have historically seen in our current categories. We may not be able to pass increased costs on to consumers, which could adversely affect our operating results. Moreover, in the event of a significant disruption in the supply of the materials used in the manufacture of the products we offer, we and the vendors that we work with might not be able to locate alternative suppliers of materials of comparable quality at an acceptable price.</w:t>
      </w:r>
    </w:p>
    <w:p>
      <w:pPr>
        <w:spacing w:after="0" w:line="208" w:lineRule="exact"/>
        <w:rPr>
          <w:sz w:val="20"/>
          <w:szCs w:val="20"/>
          <w:color w:val="auto"/>
        </w:rPr>
      </w:pPr>
    </w:p>
    <w:p>
      <w:pPr>
        <w:ind w:right="20" w:firstLine="648"/>
        <w:spacing w:after="0" w:line="258" w:lineRule="auto"/>
        <w:rPr>
          <w:sz w:val="20"/>
          <w:szCs w:val="20"/>
          <w:color w:val="auto"/>
        </w:rPr>
      </w:pPr>
      <w:r>
        <w:rPr>
          <w:rFonts w:ascii="Arial" w:cs="Arial" w:eastAsia="Arial" w:hAnsi="Arial"/>
          <w:sz w:val="16"/>
          <w:szCs w:val="16"/>
          <w:color w:val="auto"/>
        </w:rPr>
        <w:t>In addition, products and merchandise we receive from manufacturers and suppliers may not be of sufficient quality or free from damage, or such products may be damaged during shipping, while stored in our warehouse fulfillment centers or with third-party ecommerce or retail customers or when returned by consumers. We may incur additional expenses and our reputation could be harmed if customers or consumers and potential consumers believe that our products do not meet their expectations, are not properly labeled or are damaged. For example, as disinfecting and sanitization products have faced supply chain challenges, decelerating market demand and slower turning inventory, the Company has received some product quality complaints from customers and consumers that have resulted or may result in refunds, returns, write-offs and remediation costs.</w:t>
      </w:r>
    </w:p>
    <w:p>
      <w:pPr>
        <w:spacing w:after="0" w:line="190"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We purchase significant amounts of product supply from a limited number of suppliers with limited supply capabilities. There can be no assurance that our current suppliers will be able to accommodate our anticipated growth or continue to supply current quantities at preferential prices. An inability of our existing suppliers to provide materials in a timely or cost-effective manner could impair our growth and have an adverse effect on our business, financial condition, results of operations and prospects. We generally do not maintain long-term supply contracts with any of our suppliers and any of our suppliers could discontinue selling to us at any time. However, we have a long-term supply agreement with Valor Brands LLC (dba Ontex North America), or Ontex, for the manufacture and supply of certain diaper products. The current term of the supply agreement with Ontex ends on December 31, 2023. In addition, our agreement with Ontex provides that Ontex will be our exclusive supplier of diaper and training pant products so long as Ontex is able to provide us such products. Either party may terminate the agreement if the other party materially breaches the agreement and does not cure the breach within a specified notice period, or upon the other party’s insolvency. If the agreement with Ontex is terminated, is not renewed, or if Ontex becomes insolvent, ceases or significantly reduces its operations or experiences financial distress, as a result of the COVID-19 pandemic or otherwise, or if any environmental, economic or other outside factors impact their operations, our ability to procure diaper manufacturing services may be impaired, and we may not be able to obtain, or may face increased costs related to, such services. The loss of Ontex, or of any of our other significant suppliers, or the discontinuance of any preferential pricing or exclusive incentives they currently offer to us could have an adverse effect on our business, financial condition, results of operations and prospects.</w:t>
      </w:r>
    </w:p>
    <w:p>
      <w:pPr>
        <w:spacing w:after="0" w:line="209" w:lineRule="exact"/>
        <w:rPr>
          <w:sz w:val="20"/>
          <w:szCs w:val="20"/>
          <w:color w:val="auto"/>
        </w:rPr>
      </w:pPr>
    </w:p>
    <w:p>
      <w:pPr>
        <w:ind w:right="40" w:firstLine="648"/>
        <w:spacing w:after="0" w:line="228" w:lineRule="auto"/>
        <w:rPr>
          <w:sz w:val="20"/>
          <w:szCs w:val="20"/>
          <w:color w:val="auto"/>
        </w:rPr>
      </w:pPr>
      <w:r>
        <w:rPr>
          <w:rFonts w:ascii="Arial" w:cs="Arial" w:eastAsia="Arial" w:hAnsi="Arial"/>
          <w:sz w:val="18"/>
          <w:szCs w:val="18"/>
          <w:color w:val="auto"/>
        </w:rPr>
        <w:t>We continually seek to expand our base of suppliers, especially as we identify new products that necessitate new or additional materials. We also require our new and existing suppliers to meet our ethical and business partner standards. Suppliers may also have to meet governmental and industry standards and any relevant standards required by our consumers, which may require additional investment and time on behalf of suppliers and us. If any of our key suppliers becomes insolvent, ceases or significantly reduces its operations or experiences financial distress, as a result of the COVID-19 pandemic or otherwise, or if any</w:t>
      </w:r>
    </w:p>
    <w:p>
      <w:pPr>
        <w:sectPr>
          <w:pgSz w:w="11900" w:h="16838" w:orient="portrait"/>
          <w:cols w:equalWidth="0" w:num="1">
            <w:col w:w="11200"/>
          </w:cols>
          <w:pgMar w:left="320" w:top="101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type w:val="continuous"/>
        </w:sectPr>
      </w:pPr>
    </w:p>
    <w:bookmarkStart w:id="36" w:name="page37"/>
    <w:bookmarkEnd w:id="36"/>
    <w:p>
      <w:pPr>
        <w:jc w:val="both"/>
        <w:ind w:right="420"/>
        <w:spacing w:after="0" w:line="235" w:lineRule="auto"/>
        <w:rPr>
          <w:sz w:val="20"/>
          <w:szCs w:val="20"/>
          <w:color w:val="auto"/>
        </w:rPr>
      </w:pPr>
      <w:r>
        <w:rPr>
          <w:rFonts w:ascii="Arial" w:cs="Arial" w:eastAsia="Arial" w:hAnsi="Arial"/>
          <w:sz w:val="18"/>
          <w:szCs w:val="18"/>
          <w:color w:val="auto"/>
        </w:rPr>
        <w:t>environmental, economic or other outside factors impact their operations. If we are unable to identify or enter into distribution relationships with new suppliers or to replace the loss of any of our existing suppliers, we may experience a competitive disadvantage, our business may be disrupted and our business, financial condition, results of operations and prospects could be adversely affected.</w:t>
      </w:r>
    </w:p>
    <w:p>
      <w:pPr>
        <w:spacing w:after="0" w:line="202" w:lineRule="exact"/>
        <w:rPr>
          <w:sz w:val="20"/>
          <w:szCs w:val="20"/>
          <w:color w:val="auto"/>
        </w:rPr>
      </w:pPr>
    </w:p>
    <w:p>
      <w:pPr>
        <w:ind w:right="140" w:firstLine="648"/>
        <w:spacing w:after="0" w:line="266" w:lineRule="auto"/>
        <w:rPr>
          <w:sz w:val="20"/>
          <w:szCs w:val="20"/>
          <w:color w:val="auto"/>
        </w:rPr>
      </w:pPr>
      <w:r>
        <w:rPr>
          <w:rFonts w:ascii="Arial" w:cs="Arial" w:eastAsia="Arial" w:hAnsi="Arial"/>
          <w:sz w:val="16"/>
          <w:szCs w:val="16"/>
          <w:color w:val="auto"/>
        </w:rPr>
        <w:t>Our principal suppliers currently provide us with certain incentives such as volume purchasing, trade discounts, cooperative advertising and market development funds. A reduction or discontinuance of these incentives would increase our costs and could reduce our ability to achieve or maintain profitability. Similarly, if one or more of our suppliers were to offer these incentives, including preferential pricing, to our competitors, our competitive advantage would be reduced, which could have an adverse effect on our business, financial condition, results of operations and prospects.</w:t>
      </w:r>
    </w:p>
    <w:p>
      <w:pPr>
        <w:spacing w:after="0" w:line="183"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In addition, we have warehouse fulfillment centers located in Las Vegas, Nevada, Fontana, California, Breinigsville, Pennsylvania and the Netherlands, all of which are managed by a single distribution partner, GEODIS Logistics LLC, or GEODIS. We have an agreement with GEODIS pursuant to which GEODIS provides warehousing, distribution and fulfillment services to us. Our agreement with GEODIS may be terminated for any reason by us or by GEODIS on delivery of prior written notice, and is renewable on an annual basis. If the agreement with GEODIS is terminated, is not renewed, or if GEODIS becomes insolvent, ceases or significantly reduces its operations or experiences financial distress, as a result of the COVID-19 pandemic or otherwise, or if any environmental, economic or other outside factors impact their operations, our ability to procure warehousing, distribution and fulfillment services may be impaired, and we may not be able to obtain, or may face increased costs related to, such services and our business, financial condition, results of operations and prospects could be adversely affected.</w:t>
      </w:r>
    </w:p>
    <w:p>
      <w:pPr>
        <w:spacing w:after="0" w:line="204"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We rely on third-party suppliers, manufacturers, retail and ecommerce partners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6"/>
          <w:szCs w:val="16"/>
          <w:color w:val="auto"/>
        </w:rPr>
        <w:t>We do not own or operate any manufacturing facilities. We use multiple third-party suppliers and manufacturers based primarily in the United States, China and Mexico and other countries to a lesser extent, to source and manufacture all of our products, including product components, under our owned brand. We engage many of our third-party suppliers and manufacturers on a purchase order basis and in some cases are not party to long-term contracts with them. The ability and willingness of these third parties to supply and manufacture our products may be affected by competing orders placed by other companies and the demands of those companies. If we experience significant increases in demand, or need to replace a significant number of existing suppliers or manufacturers, there can be no assurance that additional supply and manufacturing capacity will be available when required on terms that are acceptable to us, or at all, or that any supplier or manufacturer will allocate sufficient capacity to us in order to meet our requirements. Furthermore, our reliance on suppliers and manufacturers outside of the United States, the number of third parties with whom we transact and the number of jurisdictions to which we sell complicates our efforts to comply with customs duties and excise taxes; any failure to comply could adversely affect our business.</w:t>
      </w:r>
    </w:p>
    <w:p>
      <w:pPr>
        <w:spacing w:after="0" w:line="192" w:lineRule="exact"/>
        <w:rPr>
          <w:sz w:val="20"/>
          <w:szCs w:val="20"/>
          <w:color w:val="auto"/>
        </w:rPr>
      </w:pPr>
    </w:p>
    <w:p>
      <w:pPr>
        <w:ind w:right="260" w:firstLine="648"/>
        <w:spacing w:after="0" w:line="227" w:lineRule="auto"/>
        <w:rPr>
          <w:sz w:val="20"/>
          <w:szCs w:val="20"/>
          <w:color w:val="auto"/>
        </w:rPr>
      </w:pPr>
      <w:r>
        <w:rPr>
          <w:rFonts w:ascii="Arial" w:cs="Arial" w:eastAsia="Arial" w:hAnsi="Arial"/>
          <w:sz w:val="18"/>
          <w:szCs w:val="18"/>
          <w:color w:val="auto"/>
        </w:rPr>
        <w:t>In addition, quality control problems, such as the use of materials and delivery of products that do not meet our quality control standards and specifications or comply with applicable laws or regulations, could harm our business. For example, as disinfecting and sanitization products have faced supply chain challenges, decelerating market demand and slower turning inventory, the Company has received some product quality complaints from customers and consumers that have resulted or may result in refunds, returns, write-offs and remediation costs. Quality control problems could result in regulatory action, such as restrictions on importation, products of inferior quality or product stock outages or shortages, harming our sales and creating inventory write-downs for unusable products.</w:t>
      </w:r>
    </w:p>
    <w:p>
      <w:pPr>
        <w:spacing w:after="0" w:line="202" w:lineRule="exact"/>
        <w:rPr>
          <w:sz w:val="20"/>
          <w:szCs w:val="20"/>
          <w:color w:val="auto"/>
        </w:rPr>
      </w:pPr>
    </w:p>
    <w:p>
      <w:pPr>
        <w:ind w:right="20" w:firstLine="648"/>
        <w:spacing w:after="0" w:line="239" w:lineRule="auto"/>
        <w:rPr>
          <w:sz w:val="20"/>
          <w:szCs w:val="20"/>
          <w:color w:val="auto"/>
        </w:rPr>
      </w:pPr>
      <w:r>
        <w:rPr>
          <w:rFonts w:ascii="Arial" w:cs="Arial" w:eastAsia="Arial" w:hAnsi="Arial"/>
          <w:sz w:val="17"/>
          <w:szCs w:val="17"/>
          <w:color w:val="auto"/>
        </w:rPr>
        <w:t>We have also outsourced portions of our fulfillment process, as well as certain technology-related functions, to third-party service providers. Specifically, we rely on third parties in a number of foreign countries and territories, we are dependent on third-party vendors for credit card processing, and we use third-party hosting and networking providers to host our sites. The failure of one or more of these entities to provide the expected services on a timely basis, or at all, or at the prices we expect, or the costs and disruption incurred in changing these outsourced functions to being performed under our management and direct control or that of a third party, could have an adverse effect on our business, financial condition, results of operations and prospects. We are not party to long-term contracts with some of our retail and ecommerce partners, and upon expiration of these existing agreements, we may not be able to renegotiate the terms on a commercially reasonable basis, or at all.</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our third-party manufacturers, suppliers and retail and ecommerce partners may:</w:t>
      </w:r>
    </w:p>
    <w:p>
      <w:pPr>
        <w:spacing w:after="0" w:line="22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economic or business interests or goals that are inconsistent with ours;</w:t>
      </w:r>
    </w:p>
    <w:p>
      <w:pPr>
        <w:ind w:left="660" w:hanging="328"/>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take actions contrary to our instructions, requests, policies or objectives;</w:t>
      </w:r>
    </w:p>
    <w:p>
      <w:pPr>
        <w:ind w:left="660" w:right="180" w:hanging="328"/>
        <w:spacing w:after="0" w:line="21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unable or unwilling to fulfill their obligations under relevant purchase orders or manufacturing or supply agreements, including obligations to meet our production deadlines, quality standards, pricing guidelines and product specifications, and to comply with applicable regulations, including those regarding the safety and quality of products;</w:t>
      </w:r>
    </w:p>
    <w:p>
      <w:pPr>
        <w:ind w:left="660" w:hanging="328"/>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financial difficulties;</w:t>
      </w:r>
    </w:p>
    <w:p>
      <w:pPr>
        <w:ind w:left="660" w:hanging="328"/>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encounter raw material or labor shortages;</w:t>
      </w:r>
    </w:p>
    <w:p>
      <w:pPr>
        <w:ind w:left="660" w:hanging="328"/>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encounter increases in raw material or labor costs which may affect our procurement costs;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encounter difficulties with proper payment of custom duties or excise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7" w:name="page38"/>
    <w:bookmarkEnd w:id="37"/>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 our confidential information or intellectual property to competitors or third parties;</w:t>
      </w:r>
    </w:p>
    <w:p>
      <w:pPr>
        <w:ind w:left="660" w:hanging="328"/>
        <w:spacing w:after="0" w:line="21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activities or employ practices that may harm our reputation; and</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 with, be acquired by, or come under control of, our competitors.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Recent Sales of Unregistered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39"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color w:val="auto"/>
        </w:rPr>
        <w:t>On May 7, 2021, we granted an aggregate of 23,124 RSUs with an aggregate value of $370,000 to two of our non-employee directors in connection with our IPO, which will vest in three equal annual installments on the one-, two- and three-year anniversaries of the grant date, subject to the non-employee director’s continued service on each vesting date. We also granted an aggregate of 87,143 RSUs with an aggregate value of $1.4 million to our seven non-employee directors, which vested as to 1/13th of each such grant on June 1, 2021, and as to 12/13th of each such grant on the earlier of (i) the date immediately prior to the annual meeting of our stockholders next following the grant date of each such grant and (ii) June 1, 2022, subject to the non-employee director’s continued service through each vesting date. Each non-employee director may elect to defer the delivery of shares in settlement of any restricted stock unit award granted under the terms of our Non-Employee Director Compensation Policy (the “Policy”) that would otherwise be delivered to such non-employee director on or following the date such award vests pursuant to the terms of a deferral election such non-employee director makes in accordance with the Policy.</w:t>
      </w:r>
    </w:p>
    <w:p>
      <w:pPr>
        <w:spacing w:after="0" w:line="211"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offers, sales and issuances of the securities described above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served as a director of the Company. No underwriters were involved in these transactions.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Issued Upon Conversion of Preferred Stock</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Immediately prior to the completion of the IPO, 49,100,928 outstanding shares of redeemable convertible preferred stock with a carrying value of $376.4 million converted into 49,649,023 shares of common stock. Immediately prior to the completion of the IPO, we filed an Amended and Restated Certificate of Incorporation, which authorized a total of 1,000,000,000 shares of common stock and 20,000,000 shares of preferred stock. Upon the filing of the Amended and Restated Certificate of Incorporation, 49,100,928 shares of our redeemable convertible preferred stock then outstanding were automatically converted into 49,649,023 shares of our common stock. The issuance of such shares of our common stock was exempt from registration under Section 3(a)(9) of the Securities Act.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May 4, 2021, our Registration Statement on Form S-1, as amended (File No. 333-255150) was declared effective in connection with our IPO,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pursuant to which we issued and sold an aggregate of 6,451,613 shares of our common stock, and certain existing stockholders sold an aggregate of</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23,226,437 shares of our common stock, including the full exercise of the underwriters’ option to purchase additional shares, at a price to the public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$16.00 per share. Morgan Stanley &amp; Co. LLC, J.P. Morgan Securities LLC and Jefferies LLC acted as representatives of the underwriters for the offering.</w:t>
      </w:r>
    </w:p>
    <w:p>
      <w:pPr>
        <w:spacing w:after="0" w:line="246" w:lineRule="exact"/>
        <w:rPr>
          <w:sz w:val="20"/>
          <w:szCs w:val="20"/>
          <w:color w:val="auto"/>
        </w:rPr>
      </w:pPr>
    </w:p>
    <w:p>
      <w:pPr>
        <w:jc w:val="both"/>
        <w:ind w:right="60" w:firstLine="648"/>
        <w:spacing w:after="0" w:line="270" w:lineRule="auto"/>
        <w:rPr>
          <w:sz w:val="20"/>
          <w:szCs w:val="20"/>
          <w:color w:val="auto"/>
        </w:rPr>
      </w:pPr>
      <w:r>
        <w:rPr>
          <w:rFonts w:ascii="Arial" w:cs="Arial" w:eastAsia="Arial" w:hAnsi="Arial"/>
          <w:sz w:val="17"/>
          <w:szCs w:val="17"/>
          <w:color w:val="auto"/>
        </w:rPr>
        <w:t>The IPO closed May 7, 2021. We received net proceeds of approximately $91.0 million, after deducting underwriting discounts and commissions of $6.7 million and offering expenses of $5.5 million. No payments for such expenses were made directly or indirectly to (i) any of our officers or directors or their associates, (ii) any persons owning 10% or more of any class of our equity securities or (iii) any of our affiliates.</w:t>
      </w:r>
    </w:p>
    <w:p>
      <w:pPr>
        <w:spacing w:after="0" w:line="191"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The net proceeds from our IPO have been invested in investment grade, interest-bearing instruments. There has been no material change in the expected use of the net proceeds from our IPO as described in our Prospectus.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ectPr>
          <w:pgSz w:w="11900" w:h="16838" w:orient="portrait"/>
          <w:cols w:equalWidth="0" w:num="1">
            <w:col w:w="11240"/>
          </w:cols>
          <w:pgMar w:left="320" w:top="7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4419"/>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1315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61" w:lineRule="exact"/>
        <w:rPr>
          <w:sz w:val="20"/>
          <w:szCs w:val="20"/>
          <w:color w:val="auto"/>
        </w:rPr>
      </w:pPr>
    </w:p>
    <w:p>
      <w:pPr>
        <w:ind w:left="20"/>
        <w:spacing w:after="0"/>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3.1</w:t>
        </w:r>
      </w:hyperlink>
    </w:p>
    <w:p>
      <w:pPr>
        <w:spacing w:after="0" w:line="225" w:lineRule="exact"/>
        <w:rPr>
          <w:sz w:val="20"/>
          <w:szCs w:val="20"/>
          <w:color w:val="auto"/>
        </w:rPr>
      </w:pPr>
    </w:p>
    <w:p>
      <w:pPr>
        <w:ind w:left="20"/>
        <w:spacing w:after="0"/>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3.2</w:t>
        </w:r>
      </w:hyperlink>
    </w:p>
    <w:p>
      <w:pPr>
        <w:spacing w:after="0" w:line="225" w:lineRule="exact"/>
        <w:rPr>
          <w:sz w:val="20"/>
          <w:szCs w:val="20"/>
          <w:color w:val="auto"/>
        </w:rPr>
      </w:pPr>
    </w:p>
    <w:p>
      <w:pPr>
        <w:ind w:left="20"/>
        <w:spacing w:after="0"/>
        <w:rPr>
          <w:rFonts w:ascii="Arial" w:cs="Arial" w:eastAsia="Arial" w:hAnsi="Arial"/>
          <w:sz w:val="18"/>
          <w:szCs w:val="18"/>
          <w:color w:val="0000FF"/>
        </w:rPr>
      </w:pPr>
      <w:hyperlink r:id="rId52">
        <w:r>
          <w:rPr>
            <w:rFonts w:ascii="Arial" w:cs="Arial" w:eastAsia="Arial" w:hAnsi="Arial"/>
            <w:sz w:val="18"/>
            <w:szCs w:val="18"/>
            <w:u w:val="single" w:color="auto"/>
            <w:color w:val="0000FF"/>
          </w:rPr>
          <w:t>10.1</w:t>
        </w:r>
      </w:hyperlink>
      <w:r>
        <w:rPr>
          <w:rFonts w:ascii="Arial" w:cs="Arial" w:eastAsia="Arial" w:hAnsi="Arial"/>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ind w:left="20"/>
        <w:spacing w:after="0"/>
        <w:rPr>
          <w:rFonts w:ascii="Arial" w:cs="Arial" w:eastAsia="Arial" w:hAnsi="Arial"/>
          <w:sz w:val="18"/>
          <w:szCs w:val="18"/>
          <w:color w:val="0000FF"/>
        </w:rPr>
      </w:pPr>
      <w:hyperlink r:id="rId53">
        <w:r>
          <w:rPr>
            <w:rFonts w:ascii="Arial" w:cs="Arial" w:eastAsia="Arial" w:hAnsi="Arial"/>
            <w:sz w:val="18"/>
            <w:szCs w:val="18"/>
            <w:u w:val="single" w:color="auto"/>
            <w:color w:val="0000FF"/>
          </w:rPr>
          <w:t>10.2</w:t>
        </w:r>
      </w:hyperlink>
      <w:r>
        <w:rPr>
          <w:rFonts w:ascii="Arial" w:cs="Arial" w:eastAsia="Arial" w:hAnsi="Arial"/>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ind w:left="20"/>
        <w:spacing w:after="0"/>
        <w:rPr>
          <w:rFonts w:ascii="Arial" w:cs="Arial" w:eastAsia="Arial" w:hAnsi="Arial"/>
          <w:sz w:val="18"/>
          <w:szCs w:val="18"/>
          <w:color w:val="0000FF"/>
        </w:rPr>
      </w:pPr>
      <w:hyperlink r:id="rId54">
        <w:r>
          <w:rPr>
            <w:rFonts w:ascii="Arial" w:cs="Arial" w:eastAsia="Arial" w:hAnsi="Arial"/>
            <w:sz w:val="18"/>
            <w:szCs w:val="18"/>
            <w:u w:val="single" w:color="auto"/>
            <w:color w:val="0000FF"/>
          </w:rPr>
          <w:t>10.3</w:t>
        </w:r>
      </w:hyperlink>
      <w:r>
        <w:rPr>
          <w:rFonts w:ascii="Arial" w:cs="Arial" w:eastAsia="Arial" w:hAnsi="Arial"/>
          <w:sz w:val="18"/>
          <w:szCs w:val="18"/>
          <w:color w:val="000000"/>
        </w:rPr>
        <w:t>+</w:t>
      </w:r>
    </w:p>
    <w:p>
      <w:pPr>
        <w:spacing w:after="0" w:line="225" w:lineRule="exact"/>
        <w:rPr>
          <w:sz w:val="20"/>
          <w:szCs w:val="20"/>
          <w:color w:val="auto"/>
        </w:rPr>
      </w:pPr>
    </w:p>
    <w:p>
      <w:pPr>
        <w:ind w:left="20"/>
        <w:spacing w:after="0"/>
        <w:rPr>
          <w:rFonts w:ascii="Arial" w:cs="Arial" w:eastAsia="Arial" w:hAnsi="Arial"/>
          <w:sz w:val="18"/>
          <w:szCs w:val="18"/>
          <w:color w:val="0000FF"/>
        </w:rPr>
      </w:pPr>
      <w:hyperlink r:id="rId55">
        <w:r>
          <w:rPr>
            <w:rFonts w:ascii="Arial" w:cs="Arial" w:eastAsia="Arial" w:hAnsi="Arial"/>
            <w:sz w:val="18"/>
            <w:szCs w:val="18"/>
            <w:u w:val="single" w:color="auto"/>
            <w:color w:val="0000FF"/>
          </w:rPr>
          <w:t>10.4</w:t>
        </w:r>
      </w:hyperlink>
      <w:r>
        <w:rPr>
          <w:rFonts w:ascii="Arial" w:cs="Arial" w:eastAsia="Arial" w:hAnsi="Arial"/>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ind w:left="20"/>
        <w:spacing w:after="0"/>
        <w:rPr>
          <w:rFonts w:ascii="Arial" w:cs="Arial" w:eastAsia="Arial" w:hAnsi="Arial"/>
          <w:sz w:val="18"/>
          <w:szCs w:val="18"/>
          <w:color w:val="0000FF"/>
        </w:rPr>
      </w:pPr>
      <w:hyperlink r:id="rId56">
        <w:r>
          <w:rPr>
            <w:rFonts w:ascii="Arial" w:cs="Arial" w:eastAsia="Arial" w:hAnsi="Arial"/>
            <w:sz w:val="18"/>
            <w:szCs w:val="18"/>
            <w:u w:val="single" w:color="auto"/>
            <w:color w:val="0000FF"/>
          </w:rPr>
          <w:t>10.5</w:t>
        </w:r>
      </w:hyperlink>
      <w:r>
        <w:rPr>
          <w:rFonts w:ascii="Arial" w:cs="Arial" w:eastAsia="Arial" w:hAnsi="Arial"/>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ind w:left="20"/>
        <w:spacing w:after="0"/>
        <w:rPr>
          <w:rFonts w:ascii="Arial" w:cs="Arial" w:eastAsia="Arial" w:hAnsi="Arial"/>
          <w:sz w:val="18"/>
          <w:szCs w:val="18"/>
          <w:color w:val="0000FF"/>
        </w:rPr>
      </w:pPr>
      <w:hyperlink r:id="rId57">
        <w:r>
          <w:rPr>
            <w:rFonts w:ascii="Arial" w:cs="Arial" w:eastAsia="Arial" w:hAnsi="Arial"/>
            <w:sz w:val="18"/>
            <w:szCs w:val="18"/>
            <w:u w:val="single" w:color="auto"/>
            <w:color w:val="0000FF"/>
          </w:rPr>
          <w:t>10.6</w:t>
        </w:r>
      </w:hyperlink>
      <w:r>
        <w:rPr>
          <w:rFonts w:ascii="Arial" w:cs="Arial" w:eastAsia="Arial" w:hAnsi="Arial"/>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ind w:left="20"/>
        <w:spacing w:after="0"/>
        <w:rPr>
          <w:rFonts w:ascii="Arial" w:cs="Arial" w:eastAsia="Arial" w:hAnsi="Arial"/>
          <w:sz w:val="18"/>
          <w:szCs w:val="18"/>
          <w:color w:val="0000FF"/>
        </w:rPr>
      </w:pPr>
      <w:hyperlink r:id="rId58">
        <w:r>
          <w:rPr>
            <w:rFonts w:ascii="Arial" w:cs="Arial" w:eastAsia="Arial" w:hAnsi="Arial"/>
            <w:sz w:val="18"/>
            <w:szCs w:val="18"/>
            <w:u w:val="single" w:color="auto"/>
            <w:color w:val="0000FF"/>
          </w:rPr>
          <w:t>10.7</w:t>
        </w:r>
      </w:hyperlink>
      <w:r>
        <w:rPr>
          <w:rFonts w:ascii="Arial" w:cs="Arial" w:eastAsia="Arial" w:hAnsi="Arial"/>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ind w:left="20"/>
        <w:spacing w:after="0"/>
        <w:rPr>
          <w:rFonts w:ascii="Arial" w:cs="Arial" w:eastAsia="Arial" w:hAnsi="Arial"/>
          <w:sz w:val="18"/>
          <w:szCs w:val="18"/>
          <w:color w:val="0000FF"/>
        </w:rPr>
      </w:pPr>
      <w:hyperlink r:id="rId59">
        <w:r>
          <w:rPr>
            <w:rFonts w:ascii="Arial" w:cs="Arial" w:eastAsia="Arial" w:hAnsi="Arial"/>
            <w:sz w:val="18"/>
            <w:szCs w:val="18"/>
            <w:u w:val="single" w:color="auto"/>
            <w:color w:val="0000FF"/>
          </w:rPr>
          <w:t>10.8</w:t>
        </w:r>
      </w:hyperlink>
      <w:r>
        <w:rPr>
          <w:rFonts w:ascii="Arial" w:cs="Arial" w:eastAsia="Arial" w:hAnsi="Arial"/>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ind w:left="20"/>
        <w:spacing w:after="0"/>
        <w:rPr>
          <w:rFonts w:ascii="Arial" w:cs="Arial" w:eastAsia="Arial" w:hAnsi="Arial"/>
          <w:sz w:val="18"/>
          <w:szCs w:val="18"/>
          <w:color w:val="0000FF"/>
        </w:rPr>
      </w:pPr>
      <w:hyperlink r:id="rId60">
        <w:r>
          <w:rPr>
            <w:rFonts w:ascii="Arial" w:cs="Arial" w:eastAsia="Arial" w:hAnsi="Arial"/>
            <w:sz w:val="18"/>
            <w:szCs w:val="18"/>
            <w:u w:val="single" w:color="auto"/>
            <w:color w:val="0000FF"/>
          </w:rPr>
          <w:t>10.9</w:t>
        </w:r>
      </w:hyperlink>
      <w:r>
        <w:rPr>
          <w:rFonts w:ascii="Arial" w:cs="Arial" w:eastAsia="Arial" w:hAnsi="Arial"/>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ind w:left="20"/>
        <w:spacing w:after="0"/>
        <w:rPr>
          <w:rFonts w:ascii="Arial" w:cs="Arial" w:eastAsia="Arial" w:hAnsi="Arial"/>
          <w:sz w:val="18"/>
          <w:szCs w:val="18"/>
          <w:color w:val="0000FF"/>
        </w:rPr>
      </w:pPr>
      <w:hyperlink r:id="rId61">
        <w:r>
          <w:rPr>
            <w:rFonts w:ascii="Arial" w:cs="Arial" w:eastAsia="Arial" w:hAnsi="Arial"/>
            <w:sz w:val="18"/>
            <w:szCs w:val="18"/>
            <w:u w:val="single" w:color="auto"/>
            <w:color w:val="0000FF"/>
          </w:rPr>
          <w:t>10.10</w:t>
        </w:r>
      </w:hyperlink>
      <w:r>
        <w:rPr>
          <w:rFonts w:ascii="Arial" w:cs="Arial" w:eastAsia="Arial" w:hAnsi="Arial"/>
          <w:sz w:val="18"/>
          <w:szCs w:val="18"/>
          <w:color w:val="000000"/>
        </w:rPr>
        <w:t>+</w:t>
      </w:r>
    </w:p>
    <w:p>
      <w:pPr>
        <w:spacing w:after="0" w:line="200" w:lineRule="exact"/>
        <w:rPr>
          <w:sz w:val="20"/>
          <w:szCs w:val="20"/>
          <w:color w:val="auto"/>
        </w:rPr>
      </w:pPr>
    </w:p>
    <w:p>
      <w:pPr>
        <w:spacing w:after="0" w:line="295" w:lineRule="exact"/>
        <w:rPr>
          <w:sz w:val="20"/>
          <w:szCs w:val="20"/>
          <w:color w:val="auto"/>
        </w:rPr>
      </w:pPr>
    </w:p>
    <w:p>
      <w:pPr>
        <w:ind w:left="20"/>
        <w:spacing w:after="0"/>
        <w:rPr>
          <w:rFonts w:ascii="Arial" w:cs="Arial" w:eastAsia="Arial" w:hAnsi="Arial"/>
          <w:sz w:val="18"/>
          <w:szCs w:val="18"/>
          <w:color w:val="0000FF"/>
        </w:rPr>
      </w:pPr>
      <w:hyperlink r:id="rId62">
        <w:r>
          <w:rPr>
            <w:rFonts w:ascii="Arial" w:cs="Arial" w:eastAsia="Arial" w:hAnsi="Arial"/>
            <w:sz w:val="18"/>
            <w:szCs w:val="18"/>
            <w:u w:val="single" w:color="auto"/>
            <w:color w:val="0000FF"/>
          </w:rPr>
          <w:t>10.11</w:t>
        </w:r>
      </w:hyperlink>
      <w:r>
        <w:rPr>
          <w:rFonts w:ascii="Arial" w:cs="Arial" w:eastAsia="Arial" w:hAnsi="Arial"/>
          <w:sz w:val="18"/>
          <w:szCs w:val="18"/>
          <w:color w:val="000000"/>
        </w:rPr>
        <w:t>+</w:t>
      </w:r>
    </w:p>
    <w:p>
      <w:pPr>
        <w:spacing w:after="0" w:line="200" w:lineRule="exact"/>
        <w:rPr>
          <w:sz w:val="20"/>
          <w:szCs w:val="20"/>
          <w:color w:val="auto"/>
        </w:rPr>
      </w:pPr>
    </w:p>
    <w:p>
      <w:pPr>
        <w:spacing w:after="0" w:line="295" w:lineRule="exact"/>
        <w:rPr>
          <w:sz w:val="20"/>
          <w:szCs w:val="20"/>
          <w:color w:val="auto"/>
        </w:rPr>
      </w:pPr>
    </w:p>
    <w:p>
      <w:pPr>
        <w:ind w:left="20"/>
        <w:spacing w:after="0"/>
        <w:rPr>
          <w:rFonts w:ascii="Arial" w:cs="Arial" w:eastAsia="Arial" w:hAnsi="Arial"/>
          <w:sz w:val="18"/>
          <w:szCs w:val="18"/>
          <w:color w:val="0000FF"/>
        </w:rPr>
      </w:pPr>
      <w:hyperlink r:id="rId63">
        <w:r>
          <w:rPr>
            <w:rFonts w:ascii="Arial" w:cs="Arial" w:eastAsia="Arial" w:hAnsi="Arial"/>
            <w:sz w:val="18"/>
            <w:szCs w:val="18"/>
            <w:u w:val="single" w:color="auto"/>
            <w:color w:val="0000FF"/>
          </w:rPr>
          <w:t>10.12</w:t>
        </w:r>
      </w:hyperlink>
      <w:r>
        <w:rPr>
          <w:rFonts w:ascii="Arial" w:cs="Arial" w:eastAsia="Arial" w:hAnsi="Arial"/>
          <w:sz w:val="18"/>
          <w:szCs w:val="18"/>
          <w:color w:val="000000"/>
        </w:rPr>
        <w:t>+</w:t>
      </w:r>
    </w:p>
    <w:p>
      <w:pPr>
        <w:spacing w:after="0" w:line="200" w:lineRule="exact"/>
        <w:rPr>
          <w:sz w:val="20"/>
          <w:szCs w:val="20"/>
          <w:color w:val="auto"/>
        </w:rPr>
      </w:pPr>
    </w:p>
    <w:p>
      <w:pPr>
        <w:spacing w:after="0" w:line="295" w:lineRule="exact"/>
        <w:rPr>
          <w:sz w:val="20"/>
          <w:szCs w:val="20"/>
          <w:color w:val="auto"/>
        </w:rPr>
      </w:pPr>
    </w:p>
    <w:p>
      <w:pPr>
        <w:ind w:left="20"/>
        <w:spacing w:after="0"/>
        <w:rPr>
          <w:rFonts w:ascii="Arial" w:cs="Arial" w:eastAsia="Arial" w:hAnsi="Arial"/>
          <w:sz w:val="18"/>
          <w:szCs w:val="18"/>
          <w:color w:val="0000FF"/>
        </w:rPr>
      </w:pPr>
      <w:hyperlink r:id="rId64">
        <w:r>
          <w:rPr>
            <w:rFonts w:ascii="Arial" w:cs="Arial" w:eastAsia="Arial" w:hAnsi="Arial"/>
            <w:sz w:val="18"/>
            <w:szCs w:val="18"/>
            <w:u w:val="single" w:color="auto"/>
            <w:color w:val="0000FF"/>
          </w:rPr>
          <w:t>10.13</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EXHIBIT INDEX</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5597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47"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Amended and Restated Articles of Incorporation, as currently in effect (incorporated herein by reference to Exhibit 3.1 to the Company’s Current Report on Form 8-K (File No. 001-40378), filed with the SEC on May 11, 2021).</w:t>
      </w:r>
    </w:p>
    <w:p>
      <w:pPr>
        <w:ind w:right="140"/>
        <w:spacing w:after="0" w:line="246" w:lineRule="auto"/>
        <w:rPr>
          <w:sz w:val="20"/>
          <w:szCs w:val="20"/>
          <w:color w:val="auto"/>
        </w:rPr>
      </w:pPr>
      <w:r>
        <w:rPr>
          <w:rFonts w:ascii="Arial" w:cs="Arial" w:eastAsia="Arial" w:hAnsi="Arial"/>
          <w:sz w:val="18"/>
          <w:szCs w:val="18"/>
          <w:color w:val="auto"/>
        </w:rPr>
        <w:t>Amended and Restated Bylaws, as currently in effect (incorporated herein by reference to Exhibit 3.2 to the Company’s Current Report on Form 8-K (File No. 001-40378), filed with the SEC on May 11, 2021).</w:t>
      </w:r>
    </w:p>
    <w:p>
      <w:pPr>
        <w:spacing w:after="0" w:line="8"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2021 Equity Incentive Plan and forms of agreements thereunder (incorporated herein by reference to Exhibit 10.3 to Amendment No. 1 to the Company’s Registration Statement on Form S-1 (File No. 333-255150), filed with the SEC on April 20, 2021).</w:t>
      </w:r>
    </w:p>
    <w:p>
      <w:pPr>
        <w:spacing w:after="0" w:line="13"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Employee Stock Purchase Plan and forms of agreements thereunder (incorporated herein by reference to Exhibit 10.4 to Amendment No. 1 to the Company’s Registration Statement on Form S-1 (File No. 333-255150), filed with the SEC on April 20, 2021).</w:t>
      </w:r>
    </w:p>
    <w:p>
      <w:pPr>
        <w:spacing w:after="0" w:line="13" w:lineRule="exact"/>
        <w:rPr>
          <w:sz w:val="20"/>
          <w:szCs w:val="20"/>
          <w:color w:val="auto"/>
        </w:rPr>
      </w:pPr>
    </w:p>
    <w:p>
      <w:pPr>
        <w:jc w:val="both"/>
        <w:ind w:right="100"/>
        <w:spacing w:after="0" w:line="281" w:lineRule="auto"/>
        <w:rPr>
          <w:sz w:val="20"/>
          <w:szCs w:val="20"/>
          <w:color w:val="auto"/>
        </w:rPr>
      </w:pPr>
      <w:r>
        <w:rPr>
          <w:rFonts w:ascii="Arial" w:cs="Arial" w:eastAsia="Arial" w:hAnsi="Arial"/>
          <w:sz w:val="16"/>
          <w:szCs w:val="16"/>
          <w:color w:val="auto"/>
        </w:rPr>
        <w:t>Non-Employee Director Compensation Policy (incorporated herein by reference to Exhibit 10.5 to Amendment No. 1 to the Company’s Registration Statement on Form S-1 (File No. 333-255150), filed with the SEC on April 20, 2021).</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Indemnity Agreement entered into by and between the Company and each director and executive officer (incorporated herein by reference to Exhibit 10.6 to Amendment No. 1 to the Company’s Registration Statement on Form S-1 (File No. 333-255150), filed with the SEC on April 20, 2021).</w:t>
      </w:r>
    </w:p>
    <w:p>
      <w:pPr>
        <w:spacing w:after="0" w:line="1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Amended and Restated Employment Agreement, dated April 24, 2021, by and between the Company and Nikolaos Vlahos (incorporated herein by reference to Exhibit 10.7 to Amendment No. 2 to the Company’s Registration Statement on Form S-1 (File No. 333-255150), filed with the SEC on April 26, 2021).</w:t>
      </w:r>
    </w:p>
    <w:p>
      <w:pPr>
        <w:spacing w:after="0" w:line="1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Amended and Restated Employment Agreement, dated April 26, 2021, by and between the Company and Jessica Warren (incorporated herein by reference to Exhibit 10.8 to Amendment No. 2 to the Company’s Registration Statement on Form S-1 (File No. 333-255150), filed with the SEC on April 26, 2021).</w:t>
      </w:r>
    </w:p>
    <w:p>
      <w:pPr>
        <w:spacing w:after="0" w:line="1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Amended and Restated Employment Agreement, dated April 25, 2021, by and between the Company and Donald Frey (incorporated herein by reference to Exhibit 10.9 to Amendment No. 2 to the Company’s Registration Statement on Form S-1 (File No. 333-255150), filed with the SEC on April 26, 2021).</w:t>
      </w:r>
    </w:p>
    <w:p>
      <w:pPr>
        <w:spacing w:after="0" w:line="13" w:lineRule="exact"/>
        <w:rPr>
          <w:sz w:val="20"/>
          <w:szCs w:val="20"/>
          <w:color w:val="auto"/>
        </w:rPr>
      </w:pPr>
    </w:p>
    <w:p>
      <w:pPr>
        <w:jc w:val="both"/>
        <w:ind w:right="340"/>
        <w:spacing w:after="0" w:line="235" w:lineRule="auto"/>
        <w:rPr>
          <w:sz w:val="20"/>
          <w:szCs w:val="20"/>
          <w:color w:val="auto"/>
        </w:rPr>
      </w:pPr>
      <w:r>
        <w:rPr>
          <w:rFonts w:ascii="Arial" w:cs="Arial" w:eastAsia="Arial" w:hAnsi="Arial"/>
          <w:sz w:val="18"/>
          <w:szCs w:val="18"/>
          <w:color w:val="auto"/>
        </w:rPr>
        <w:t>Amended and Restated Employment Agreement, dated April 24, 2021, by and between the Company and Janis Hoyt (incorporated herein by reference to Exhibit 10.10 to Amendment No. 2 to the Company’s Registration Statement on Form S-1 (File No. 333-255150), filed with the SEC on April 26, 2021).</w:t>
      </w:r>
    </w:p>
    <w:p>
      <w:pPr>
        <w:spacing w:after="0" w:line="1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Amended and Restated Employment Agreement, dated April 24, 2021, by and between the Company and Kelly Kennedy (incorporated herein by reference to Exhibit 10.11 to Amendment No. 2 to the Company’s Registration Statement on Form S-1 (File No. 333-255150), filed with the Commission on April 26, 2021).</w:t>
      </w:r>
    </w:p>
    <w:p>
      <w:pPr>
        <w:spacing w:after="0" w:line="2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Amended and Restated Employment Agreement, dated April 25, 2021, by and between the Company and Glenn Klages (incorporated herein by reference to Exhibit 10.12 to Amendment No. 2 to the Company’s Registration Statement on Form S-1 (File No. 333-255150), filed with the SEC on April 26, 2021).</w:t>
      </w:r>
    </w:p>
    <w:p>
      <w:pPr>
        <w:spacing w:after="0" w:line="2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Amended and Restated Employment Agreement, dated April 24, 2021, by and between the Company and Jasmin Manner (incorporated herein by reference to Exhibit 10.13 to Amendment No. 2 to the Company’s Registration Statement on Form S-1 (File No. 333-255150), filed with the SEC on April 26, 2021).</w:t>
      </w:r>
    </w:p>
    <w:p>
      <w:pPr>
        <w:spacing w:after="0" w:line="22"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Amended and Restated Employment Agreement, dated April 24, 2021, by and between the Company and Sharareh Parvaneh (incorporated herein by reference to Exhibit 10.14 to Amendment No. 2 to the Company’s Registration Statement on Form S-1 (File No. 333-255150), filed with the SEC on April 26, 2021).</w:t>
      </w:r>
    </w:p>
    <w:p>
      <w:pPr>
        <w:spacing w:after="0" w:line="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Amended and Restated Employment Agreement, dated April 24, 2021, by and between the Company and Rick Rexing (incorporated herein by reference to Exhibit 10.15 to Amendment No. 2 to the Company’s Registration Statement on Form S-1 (File No. 333-255150), filed with the SEC on April 26, 2021).</w:t>
      </w:r>
    </w:p>
    <w:p>
      <w:pPr>
        <w:spacing w:after="0" w:line="200" w:lineRule="exact"/>
        <w:rPr>
          <w:sz w:val="20"/>
          <w:szCs w:val="20"/>
          <w:color w:val="auto"/>
        </w:rPr>
      </w:pPr>
    </w:p>
    <w:p>
      <w:pPr>
        <w:sectPr>
          <w:pgSz w:w="11900" w:h="16838" w:orient="portrait"/>
          <w:cols w:equalWidth="0" w:num="2">
            <w:col w:w="1520" w:space="660"/>
            <w:col w:w="8760"/>
          </w:cols>
          <w:pgMar w:left="320" w:top="68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688" w:right="639" w:bottom="1440" w:gutter="0" w:footer="0" w:header="0"/>
          <w:type w:val="continuous"/>
        </w:sectPr>
      </w:pPr>
    </w:p>
    <w:bookmarkStart w:id="40" w:name="page41"/>
    <w:bookmarkEnd w:id="40"/>
    <w:tbl>
      <w:tblPr>
        <w:tblLayout w:type="fixed"/>
        <w:tblInd w:w="93" w:type="dxa"/>
        <w:tblCellMar>
          <w:top w:w="0" w:type="dxa"/>
          <w:left w:w="0" w:type="dxa"/>
          <w:bottom w:w="0" w:type="dxa"/>
          <w:right w:w="0" w:type="dxa"/>
        </w:tblCellMar>
      </w:tblPr>
      <w:tr>
        <w:trPr>
          <w:trHeight w:val="207"/>
        </w:trPr>
        <w:tc>
          <w:tcPr>
            <w:tcW w:w="1420" w:type="dxa"/>
            <w:vAlign w:val="bottom"/>
            <w:gridSpan w:val="3"/>
          </w:tcPr>
          <w:p>
            <w:pPr>
              <w:spacing w:after="0"/>
              <w:rPr>
                <w:rFonts w:ascii="Arial" w:cs="Arial" w:eastAsia="Arial" w:hAnsi="Arial"/>
                <w:sz w:val="18"/>
                <w:szCs w:val="18"/>
                <w:color w:val="0000FF"/>
              </w:rPr>
            </w:pPr>
            <w:hyperlink r:id="rId67">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r>
              <w:rPr>
                <w:rFonts w:ascii="Arial" w:cs="Arial" w:eastAsia="Arial" w:hAnsi="Arial"/>
                <w:sz w:val="18"/>
                <w:szCs w:val="18"/>
                <w:color w:val="000000"/>
              </w:rPr>
              <w:t>+</w:t>
            </w:r>
          </w:p>
        </w:tc>
        <w:tc>
          <w:tcPr>
            <w:tcW w:w="9480" w:type="dxa"/>
            <w:vAlign w:val="bottom"/>
          </w:tcPr>
          <w:p>
            <w:pPr>
              <w:ind w:left="740"/>
              <w:spacing w:after="0"/>
              <w:rPr>
                <w:sz w:val="20"/>
                <w:szCs w:val="20"/>
                <w:color w:val="auto"/>
              </w:rPr>
            </w:pPr>
            <w:r>
              <w:rPr>
                <w:rFonts w:ascii="Arial" w:cs="Arial" w:eastAsia="Arial" w:hAnsi="Arial"/>
                <w:sz w:val="18"/>
                <w:szCs w:val="18"/>
                <w:color w:val="auto"/>
                <w:w w:val="94"/>
              </w:rPr>
              <w:t>Amended and Restated Employment Agreement, dated April 24, 2021, by and between the Registrant and Brendan</w:t>
            </w:r>
          </w:p>
        </w:tc>
      </w:tr>
      <w:tr>
        <w:trPr>
          <w:trHeight w:val="222"/>
        </w:trPr>
        <w:tc>
          <w:tcPr>
            <w:tcW w:w="3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0" w:type="dxa"/>
            <w:vAlign w:val="bottom"/>
          </w:tcPr>
          <w:p>
            <w:pPr>
              <w:spacing w:after="0"/>
              <w:rPr>
                <w:sz w:val="19"/>
                <w:szCs w:val="19"/>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w w:val="98"/>
              </w:rPr>
              <w:t>Sheehey (incorporated herein by reference to Exhibit 10.16 to Amendment No 2. to the Company’s Registration</w:t>
            </w: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Statement on Form S-1 (File No. 333-255150), filed with the SEC on April 26, 2021).</w:t>
            </w:r>
          </w:p>
        </w:tc>
      </w:tr>
      <w:tr>
        <w:trPr>
          <w:trHeight w:val="229"/>
        </w:trPr>
        <w:tc>
          <w:tcPr>
            <w:tcW w:w="1420" w:type="dxa"/>
            <w:vAlign w:val="bottom"/>
            <w:gridSpan w:val="3"/>
          </w:tcPr>
          <w:p>
            <w:pPr>
              <w:spacing w:after="0"/>
              <w:rPr>
                <w:rFonts w:ascii="Arial" w:cs="Arial" w:eastAsia="Arial" w:hAnsi="Arial"/>
                <w:sz w:val="18"/>
                <w:szCs w:val="18"/>
                <w:color w:val="0000FF"/>
              </w:rPr>
            </w:pPr>
            <w:hyperlink r:id="rId68">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9480" w:type="dxa"/>
            <w:vAlign w:val="bottom"/>
          </w:tcPr>
          <w:p>
            <w:pPr>
              <w:ind w:left="740"/>
              <w:spacing w:after="0"/>
              <w:rPr>
                <w:sz w:val="20"/>
                <w:szCs w:val="20"/>
                <w:color w:val="auto"/>
              </w:rPr>
            </w:pPr>
            <w:r>
              <w:rPr>
                <w:rFonts w:ascii="Arial" w:cs="Arial" w:eastAsia="Arial" w:hAnsi="Arial"/>
                <w:sz w:val="18"/>
                <w:szCs w:val="18"/>
                <w:color w:val="auto"/>
                <w:w w:val="91"/>
              </w:rPr>
              <w:t>Credit Agreement dated as of April 30, 2021, among the Company, as a Borrower, JPMorgan Chase Bank, N.A., as the</w:t>
            </w:r>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9480" w:type="dxa"/>
            <w:vAlign w:val="bottom"/>
          </w:tcPr>
          <w:p>
            <w:pPr>
              <w:ind w:left="740"/>
              <w:spacing w:after="0" w:line="154" w:lineRule="exact"/>
              <w:rPr>
                <w:sz w:val="20"/>
                <w:szCs w:val="20"/>
                <w:color w:val="auto"/>
              </w:rPr>
            </w:pPr>
            <w:r>
              <w:rPr>
                <w:rFonts w:ascii="Arial" w:cs="Arial" w:eastAsia="Arial" w:hAnsi="Arial"/>
                <w:sz w:val="17"/>
                <w:szCs w:val="17"/>
                <w:color w:val="auto"/>
                <w:w w:val="97"/>
              </w:rPr>
              <w:t>Administrative Agent, and the other parties thereto (incorporated herein by reference to Exhibit 10.15 to the Company’s</w:t>
            </w: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Quarterly Report on Form 10-Q (file No. 001-40378), filed with the SEC on June 17, 2021).</w:t>
            </w:r>
          </w:p>
        </w:tc>
      </w:tr>
      <w:tr>
        <w:trPr>
          <w:trHeight w:val="216"/>
        </w:trPr>
        <w:tc>
          <w:tcPr>
            <w:tcW w:w="1420" w:type="dxa"/>
            <w:vAlign w:val="bottom"/>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r>
              <w:rPr>
                <w:rFonts w:ascii="Arial" w:cs="Arial" w:eastAsia="Arial" w:hAnsi="Arial"/>
                <w:sz w:val="18"/>
                <w:szCs w:val="18"/>
                <w:color w:val="000000"/>
              </w:rPr>
              <w:t>†</w:t>
            </w:r>
          </w:p>
        </w:tc>
        <w:tc>
          <w:tcPr>
            <w:tcW w:w="9480" w:type="dxa"/>
            <w:vAlign w:val="bottom"/>
          </w:tcPr>
          <w:p>
            <w:pPr>
              <w:ind w:left="740"/>
              <w:spacing w:after="0"/>
              <w:rPr>
                <w:sz w:val="20"/>
                <w:szCs w:val="20"/>
                <w:color w:val="auto"/>
              </w:rPr>
            </w:pPr>
            <w:r>
              <w:rPr>
                <w:rFonts w:ascii="Arial" w:cs="Arial" w:eastAsia="Arial" w:hAnsi="Arial"/>
                <w:sz w:val="18"/>
                <w:szCs w:val="18"/>
                <w:color w:val="auto"/>
                <w:w w:val="91"/>
              </w:rPr>
              <w:t>Amendment Sixteen to the Logistics Services Agreement, dated as of July 12, 2021, by and between the Registrant and</w:t>
            </w:r>
          </w:p>
        </w:tc>
      </w:tr>
      <w:tr>
        <w:trPr>
          <w:trHeight w:val="237"/>
        </w:trPr>
        <w:tc>
          <w:tcPr>
            <w:tcW w:w="3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Geodis Logistics, LLC.</w:t>
            </w:r>
          </w:p>
        </w:tc>
      </w:tr>
      <w:tr>
        <w:trPr>
          <w:trHeight w:val="229"/>
        </w:trPr>
        <w:tc>
          <w:tcPr>
            <w:tcW w:w="420" w:type="dxa"/>
            <w:vAlign w:val="bottom"/>
            <w:gridSpan w:val="2"/>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1000" w:type="dxa"/>
            <w:vAlign w:val="bottom"/>
          </w:tcPr>
          <w:p>
            <w:pPr>
              <w:spacing w:after="0"/>
              <w:rPr>
                <w:sz w:val="19"/>
                <w:szCs w:val="19"/>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w w:val="96"/>
              </w:rPr>
              <w:t>Certification of Principal Executive Officer pursuant to Rule 13a-14(a) and Rule 15d-14(a), as adopted pursuant to</w:t>
            </w:r>
          </w:p>
        </w:tc>
      </w:tr>
      <w:tr>
        <w:trPr>
          <w:trHeight w:val="237"/>
        </w:trPr>
        <w:tc>
          <w:tcPr>
            <w:tcW w:w="3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Section 302 of the Sarbanes-Oxley Act of 2002</w:t>
            </w:r>
          </w:p>
        </w:tc>
      </w:tr>
      <w:tr>
        <w:trPr>
          <w:trHeight w:val="229"/>
        </w:trPr>
        <w:tc>
          <w:tcPr>
            <w:tcW w:w="420" w:type="dxa"/>
            <w:vAlign w:val="bottom"/>
            <w:gridSpan w:val="2"/>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1000" w:type="dxa"/>
            <w:vAlign w:val="bottom"/>
          </w:tcPr>
          <w:p>
            <w:pPr>
              <w:spacing w:after="0"/>
              <w:rPr>
                <w:sz w:val="19"/>
                <w:szCs w:val="19"/>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w w:val="97"/>
              </w:rPr>
              <w:t>Certification of Principal Financial Officer pursuant to Rule 13a-14(a) and Rule 15d-14(a), as adopted pursuant to</w:t>
            </w:r>
          </w:p>
        </w:tc>
      </w:tr>
      <w:tr>
        <w:trPr>
          <w:trHeight w:val="237"/>
        </w:trPr>
        <w:tc>
          <w:tcPr>
            <w:tcW w:w="3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Section 302 of the Sarbanes-Oxley Act of 2002</w:t>
            </w:r>
          </w:p>
        </w:tc>
      </w:tr>
      <w:tr>
        <w:trPr>
          <w:trHeight w:val="229"/>
        </w:trPr>
        <w:tc>
          <w:tcPr>
            <w:tcW w:w="420" w:type="dxa"/>
            <w:vAlign w:val="bottom"/>
            <w:gridSpan w:val="2"/>
          </w:tcPr>
          <w:p>
            <w:pPr>
              <w:spacing w:after="0"/>
              <w:rPr>
                <w:rFonts w:ascii="Arial" w:cs="Arial" w:eastAsia="Arial" w:hAnsi="Arial"/>
                <w:sz w:val="18"/>
                <w:szCs w:val="18"/>
                <w:color w:val="0000FF"/>
                <w:w w:val="95"/>
              </w:rPr>
            </w:pPr>
            <w:hyperlink w:anchor="page48">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1</w:t>
              </w:r>
            </w:hyperlink>
            <w:r>
              <w:rPr>
                <w:rFonts w:ascii="Arial" w:cs="Arial" w:eastAsia="Arial" w:hAnsi="Arial"/>
                <w:sz w:val="18"/>
                <w:szCs w:val="18"/>
                <w:color w:val="000000"/>
                <w:w w:val="95"/>
              </w:rPr>
              <w:t>*</w:t>
            </w:r>
          </w:p>
        </w:tc>
        <w:tc>
          <w:tcPr>
            <w:tcW w:w="1000" w:type="dxa"/>
            <w:vAlign w:val="bottom"/>
          </w:tcPr>
          <w:p>
            <w:pPr>
              <w:spacing w:after="0"/>
              <w:rPr>
                <w:sz w:val="19"/>
                <w:szCs w:val="19"/>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w w:val="93"/>
              </w:rPr>
              <w:t>Certification of Principal Executive Officer pursuant to 18 U.S.C. Section 1350, as adopted pursuant to Section 906 of</w:t>
            </w:r>
          </w:p>
        </w:tc>
      </w:tr>
      <w:tr>
        <w:trPr>
          <w:trHeight w:val="237"/>
        </w:trPr>
        <w:tc>
          <w:tcPr>
            <w:tcW w:w="3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the Sarbanes-Oxley Act of 2002</w:t>
            </w:r>
          </w:p>
        </w:tc>
      </w:tr>
      <w:tr>
        <w:trPr>
          <w:trHeight w:val="500"/>
        </w:trPr>
        <w:tc>
          <w:tcPr>
            <w:tcW w:w="420" w:type="dxa"/>
            <w:vAlign w:val="bottom"/>
            <w:gridSpan w:val="2"/>
          </w:tcPr>
          <w:p>
            <w:pPr>
              <w:spacing w:after="0"/>
              <w:rPr>
                <w:rFonts w:ascii="Arial" w:cs="Arial" w:eastAsia="Arial" w:hAnsi="Arial"/>
                <w:sz w:val="18"/>
                <w:szCs w:val="18"/>
                <w:color w:val="0000FF"/>
                <w:w w:val="95"/>
              </w:rPr>
            </w:pPr>
            <w:hyperlink w:anchor="page49">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2</w:t>
              </w:r>
            </w:hyperlink>
            <w:r>
              <w:rPr>
                <w:rFonts w:ascii="Arial" w:cs="Arial" w:eastAsia="Arial" w:hAnsi="Arial"/>
                <w:sz w:val="18"/>
                <w:szCs w:val="18"/>
                <w:color w:val="000000"/>
                <w:w w:val="95"/>
              </w:rPr>
              <w:t>*</w:t>
            </w:r>
          </w:p>
        </w:tc>
        <w:tc>
          <w:tcPr>
            <w:tcW w:w="1000" w:type="dxa"/>
            <w:vAlign w:val="bottom"/>
          </w:tcPr>
          <w:p>
            <w:pPr>
              <w:spacing w:after="0"/>
              <w:rPr>
                <w:sz w:val="24"/>
                <w:szCs w:val="24"/>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w w:val="91"/>
              </w:rPr>
              <w:t>Certification of Principal Financial Officer pursuant to 18 U.S.C. Section 1350, as adopted pursuant to Section 906 of the</w:t>
            </w:r>
          </w:p>
        </w:tc>
      </w:tr>
      <w:tr>
        <w:trPr>
          <w:trHeight w:val="237"/>
        </w:trPr>
        <w:tc>
          <w:tcPr>
            <w:tcW w:w="3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Sarbanes-Oxley Act of 2002</w:t>
            </w:r>
          </w:p>
        </w:tc>
      </w:tr>
      <w:tr>
        <w:trPr>
          <w:trHeight w:val="256"/>
        </w:trPr>
        <w:tc>
          <w:tcPr>
            <w:tcW w:w="14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480" w:type="dxa"/>
            <w:vAlign w:val="bottom"/>
          </w:tcPr>
          <w:p>
            <w:pPr>
              <w:ind w:left="740"/>
              <w:spacing w:after="0"/>
              <w:rPr>
                <w:sz w:val="20"/>
                <w:szCs w:val="20"/>
                <w:color w:val="auto"/>
              </w:rPr>
            </w:pPr>
            <w:r>
              <w:rPr>
                <w:rFonts w:ascii="Arial" w:cs="Arial" w:eastAsia="Arial" w:hAnsi="Arial"/>
                <w:sz w:val="18"/>
                <w:szCs w:val="18"/>
                <w:color w:val="auto"/>
              </w:rPr>
              <w:t>XBRL Instance Document</w:t>
            </w:r>
          </w:p>
        </w:tc>
      </w:tr>
      <w:tr>
        <w:trPr>
          <w:trHeight w:val="216"/>
        </w:trPr>
        <w:tc>
          <w:tcPr>
            <w:tcW w:w="14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480" w:type="dxa"/>
            <w:vAlign w:val="bottom"/>
          </w:tcPr>
          <w:p>
            <w:pPr>
              <w:ind w:left="7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4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480" w:type="dxa"/>
            <w:vAlign w:val="bottom"/>
          </w:tcPr>
          <w:p>
            <w:pPr>
              <w:ind w:left="7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56"/>
        </w:trPr>
        <w:tc>
          <w:tcPr>
            <w:tcW w:w="14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480" w:type="dxa"/>
            <w:vAlign w:val="bottom"/>
          </w:tcPr>
          <w:p>
            <w:pPr>
              <w:ind w:left="74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4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480" w:type="dxa"/>
            <w:vAlign w:val="bottom"/>
          </w:tcPr>
          <w:p>
            <w:pPr>
              <w:ind w:left="7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4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480" w:type="dxa"/>
            <w:vAlign w:val="bottom"/>
          </w:tcPr>
          <w:p>
            <w:pPr>
              <w:ind w:left="7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317500</wp:posOffset>
            </wp:positionV>
            <wp:extent cx="1748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53"/>
        <w:spacing w:after="0"/>
        <w:rPr>
          <w:sz w:val="20"/>
          <w:szCs w:val="20"/>
          <w:color w:val="auto"/>
        </w:rPr>
      </w:pPr>
      <w:r>
        <w:rPr>
          <w:rFonts w:ascii="Arial" w:cs="Arial" w:eastAsia="Arial" w:hAnsi="Arial"/>
          <w:sz w:val="18"/>
          <w:szCs w:val="18"/>
          <w:color w:val="auto"/>
        </w:rPr>
        <w:t>+Indicates a management contract or compensatory plan</w:t>
      </w:r>
    </w:p>
    <w:p>
      <w:pPr>
        <w:spacing w:after="0" w:line="23" w:lineRule="exact"/>
        <w:rPr>
          <w:sz w:val="20"/>
          <w:szCs w:val="20"/>
          <w:color w:val="auto"/>
        </w:rPr>
      </w:pPr>
    </w:p>
    <w:p>
      <w:pPr>
        <w:ind w:left="153" w:right="20" w:hanging="153"/>
        <w:spacing w:after="0" w:line="281" w:lineRule="auto"/>
        <w:tabs>
          <w:tab w:leader="none" w:pos="126" w:val="left"/>
        </w:tabs>
        <w:numPr>
          <w:ilvl w:val="0"/>
          <w:numId w:val="23"/>
        </w:numPr>
        <w:rPr>
          <w:rFonts w:ascii="Arial" w:cs="Arial" w:eastAsia="Arial" w:hAnsi="Arial"/>
          <w:sz w:val="16"/>
          <w:szCs w:val="16"/>
          <w:color w:val="auto"/>
        </w:rPr>
      </w:pPr>
      <w:r>
        <w:rPr>
          <w:rFonts w:ascii="Arial" w:cs="Arial" w:eastAsia="Arial" w:hAnsi="Arial"/>
          <w:sz w:val="16"/>
          <w:szCs w:val="16"/>
          <w:color w:val="auto"/>
        </w:rPr>
        <w:t>Furnished herewith and not deemed to be “filed” for purposes of Section 18 of the Exchange Act, and shall not be deemed to be incorporated by reference into any filing under the Securities Act of 1933, as amended, or the Exchange Act (whether made before or after the date of the Form 10-Q), irrespective</w:t>
      </w:r>
    </w:p>
    <w:p>
      <w:pPr>
        <w:spacing w:after="0" w:line="1" w:lineRule="exact"/>
        <w:rPr>
          <w:sz w:val="20"/>
          <w:szCs w:val="20"/>
          <w:color w:val="auto"/>
        </w:rPr>
      </w:pPr>
    </w:p>
    <w:p>
      <w:pPr>
        <w:ind w:left="153"/>
        <w:spacing w:after="0"/>
        <w:rPr>
          <w:sz w:val="20"/>
          <w:szCs w:val="20"/>
          <w:color w:val="auto"/>
        </w:rPr>
      </w:pPr>
      <w:r>
        <w:rPr>
          <w:rFonts w:ascii="Arial" w:cs="Arial" w:eastAsia="Arial" w:hAnsi="Arial"/>
          <w:sz w:val="18"/>
          <w:szCs w:val="18"/>
          <w:color w:val="auto"/>
        </w:rPr>
        <w:t>of any general incorporation language contained in such filing.</w:t>
      </w:r>
    </w:p>
    <w:p>
      <w:pPr>
        <w:spacing w:after="0" w:line="9" w:lineRule="exact"/>
        <w:rPr>
          <w:sz w:val="20"/>
          <w:szCs w:val="20"/>
          <w:color w:val="auto"/>
        </w:rPr>
      </w:pPr>
    </w:p>
    <w:p>
      <w:pPr>
        <w:ind w:left="153" w:hanging="153"/>
        <w:spacing w:after="0" w:line="260" w:lineRule="auto"/>
        <w:tabs>
          <w:tab w:leader="none" w:pos="126"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because the registrant has determined that the information is both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52"/>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66040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3"/>
          </w:cols>
          <w:pgMar w:left="247" w:top="486" w:right="399" w:bottom="1440" w:gutter="0" w:footer="0" w:header="0"/>
        </w:sectPr>
      </w:pPr>
    </w:p>
    <w:bookmarkStart w:id="41" w:name="page42"/>
    <w:bookmarkEnd w:id="41"/>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Honest Company, Inc.</w:t>
      </w:r>
    </w:p>
    <w:p>
      <w:pPr>
        <w:spacing w:after="0" w:line="61"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9"/>
          <w:szCs w:val="19"/>
          <w:color w:val="auto"/>
        </w:rPr>
        <w:t xml:space="preserve">By: </w:t>
      </w:r>
      <w:r>
        <w:rPr>
          <w:rFonts w:ascii="Arial" w:cs="Arial" w:eastAsia="Arial" w:hAnsi="Arial"/>
          <w:sz w:val="16"/>
          <w:szCs w:val="16"/>
          <w:color w:val="auto"/>
        </w:rPr>
        <w:t>/s/ Nikolaos Vlahos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34925</wp:posOffset>
            </wp:positionV>
            <wp:extent cx="32918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Nikolaos Vlahos</w:t>
      </w:r>
    </w:p>
    <w:p>
      <w:pPr>
        <w:jc w:val="center"/>
        <w:ind w:left="60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0"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Executive Officer)</w:t>
      </w:r>
    </w:p>
    <w:p>
      <w:pPr>
        <w:spacing w:after="0" w:line="61"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9"/>
          <w:szCs w:val="19"/>
          <w:color w:val="auto"/>
        </w:rPr>
        <w:t xml:space="preserve">By: </w:t>
      </w:r>
      <w:r>
        <w:rPr>
          <w:rFonts w:ascii="Arial" w:cs="Arial" w:eastAsia="Arial" w:hAnsi="Arial"/>
          <w:sz w:val="16"/>
          <w:szCs w:val="16"/>
          <w:color w:val="auto"/>
        </w:rPr>
        <w:t>/s/ Kelly J.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34925</wp:posOffset>
            </wp:positionV>
            <wp:extent cx="32918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7"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Kelly J. Kennedy</w:t>
      </w:r>
    </w:p>
    <w:p>
      <w:pPr>
        <w:spacing w:after="0" w:line="27"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color w:val="auto"/>
        </w:rPr>
        <w:t>Executive Vice President, Chief Financial Officer</w:t>
      </w:r>
    </w:p>
    <w:p>
      <w:pPr>
        <w:spacing w:after="0" w:line="72"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6020"/>
        <w:spacing w:after="0"/>
        <w:rPr>
          <w:sz w:val="20"/>
          <w:szCs w:val="20"/>
          <w:color w:val="auto"/>
        </w:rPr>
      </w:pPr>
      <w:r>
        <w:rPr>
          <w:rFonts w:ascii="Arial" w:cs="Arial" w:eastAsia="Arial" w:hAnsi="Arial"/>
          <w:sz w:val="18"/>
          <w:szCs w:val="18"/>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0520"/>
          </w:cols>
          <w:pgMar w:left="320" w:top="769" w:right="10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 SIXTEEN TO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LOGISTICS SERVICES AGREEMENT</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This Amendment Sixteen (“</w:t>
      </w:r>
      <w:r>
        <w:rPr>
          <w:rFonts w:ascii="Arial" w:cs="Arial" w:eastAsia="Arial" w:hAnsi="Arial"/>
          <w:sz w:val="20"/>
          <w:szCs w:val="20"/>
          <w:b w:val="1"/>
          <w:bCs w:val="1"/>
          <w:color w:val="auto"/>
        </w:rPr>
        <w:t>Overflow Amendment</w:t>
      </w:r>
      <w:r>
        <w:rPr>
          <w:rFonts w:ascii="Arial" w:cs="Arial" w:eastAsia="Arial" w:hAnsi="Arial"/>
          <w:sz w:val="20"/>
          <w:szCs w:val="20"/>
          <w:color w:val="auto"/>
        </w:rPr>
        <w:t>”) is entered into as of July 12, 2021 (the “</w:t>
      </w:r>
      <w:r>
        <w:rPr>
          <w:rFonts w:ascii="Arial" w:cs="Arial" w:eastAsia="Arial" w:hAnsi="Arial"/>
          <w:sz w:val="20"/>
          <w:szCs w:val="20"/>
          <w:b w:val="1"/>
          <w:bCs w:val="1"/>
          <w:color w:val="auto"/>
        </w:rPr>
        <w:t>Effective Date</w:t>
      </w:r>
      <w:r>
        <w:rPr>
          <w:rFonts w:ascii="Arial" w:cs="Arial" w:eastAsia="Arial" w:hAnsi="Arial"/>
          <w:sz w:val="20"/>
          <w:szCs w:val="20"/>
          <w:color w:val="auto"/>
        </w:rPr>
        <w:t>”) and amends the Logistics Services Agreement (defined below) by and between Geodis Logistics LLC (“</w:t>
      </w:r>
      <w:r>
        <w:rPr>
          <w:rFonts w:ascii="Arial" w:cs="Arial" w:eastAsia="Arial" w:hAnsi="Arial"/>
          <w:sz w:val="20"/>
          <w:szCs w:val="20"/>
          <w:b w:val="1"/>
          <w:bCs w:val="1"/>
          <w:color w:val="auto"/>
        </w:rPr>
        <w:t>GEODIS</w:t>
      </w:r>
      <w:r>
        <w:rPr>
          <w:rFonts w:ascii="Arial" w:cs="Arial" w:eastAsia="Arial" w:hAnsi="Arial"/>
          <w:sz w:val="20"/>
          <w:szCs w:val="20"/>
          <w:color w:val="auto"/>
        </w:rPr>
        <w:t>”) and The Honest Company (“</w:t>
      </w:r>
      <w:r>
        <w:rPr>
          <w:rFonts w:ascii="Arial" w:cs="Arial" w:eastAsia="Arial" w:hAnsi="Arial"/>
          <w:sz w:val="20"/>
          <w:szCs w:val="20"/>
          <w:b w:val="1"/>
          <w:bCs w:val="1"/>
          <w:color w:val="auto"/>
        </w:rPr>
        <w:t>Client</w:t>
      </w:r>
      <w:r>
        <w:rPr>
          <w:rFonts w:ascii="Arial" w:cs="Arial" w:eastAsia="Arial" w:hAnsi="Arial"/>
          <w:sz w:val="20"/>
          <w:szCs w:val="20"/>
          <w:color w:val="auto"/>
        </w:rPr>
        <w:t>”, and together with GEODIS,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WHEREAS, GEODIS and Client entered into that certain Logistics Services Agreement dated January 27, 2014 (“</w:t>
      </w:r>
      <w:r>
        <w:rPr>
          <w:rFonts w:ascii="Arial" w:cs="Arial" w:eastAsia="Arial" w:hAnsi="Arial"/>
          <w:sz w:val="19"/>
          <w:szCs w:val="19"/>
          <w:b w:val="1"/>
          <w:bCs w:val="1"/>
          <w:color w:val="auto"/>
        </w:rPr>
        <w:t>Agreement</w:t>
      </w:r>
      <w:r>
        <w:rPr>
          <w:rFonts w:ascii="Arial" w:cs="Arial" w:eastAsia="Arial" w:hAnsi="Arial"/>
          <w:sz w:val="19"/>
          <w:szCs w:val="19"/>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WHEREAS, pursuant to the Agreement, GEODIS provides logistics and warehousing services for Client in a warehouse space located at 651</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Boulder Drive, Breinigsville, PA 18031</w:t>
      </w:r>
    </w:p>
    <w:p>
      <w:pPr>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Main Facility</w:t>
      </w:r>
      <w:r>
        <w:rPr>
          <w:rFonts w:ascii="Arial" w:cs="Arial" w:eastAsia="Arial" w:hAnsi="Arial"/>
          <w:sz w:val="20"/>
          <w:szCs w:val="20"/>
          <w:color w:val="auto"/>
        </w:rPr>
        <w:t>”); and</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WHEREAS, Client requires additional overflow warehouse space and GEODIS has agreed to provide additional warehouse space and services within the facility located at </w:t>
      </w:r>
      <w:r>
        <w:rPr>
          <w:rFonts w:ascii="Arial" w:cs="Arial" w:eastAsia="Arial" w:hAnsi="Arial"/>
          <w:sz w:val="17"/>
          <w:szCs w:val="17"/>
          <w:color w:val="auto"/>
        </w:rPr>
        <w:t>is</w:t>
      </w:r>
      <w:r>
        <w:rPr>
          <w:rFonts w:ascii="Arial" w:cs="Arial" w:eastAsia="Arial" w:hAnsi="Arial"/>
          <w:sz w:val="20"/>
          <w:szCs w:val="20"/>
          <w:color w:val="auto"/>
        </w:rPr>
        <w:t xml:space="preserve"> 951 Willowbrook Road, Northampton, PA 18067 (the “</w:t>
      </w:r>
      <w:r>
        <w:rPr>
          <w:rFonts w:ascii="Arial" w:cs="Arial" w:eastAsia="Arial" w:hAnsi="Arial"/>
          <w:sz w:val="20"/>
          <w:szCs w:val="20"/>
          <w:b w:val="1"/>
          <w:bCs w:val="1"/>
          <w:color w:val="auto"/>
        </w:rPr>
        <w:t>Overflow Warehouse</w:t>
      </w:r>
      <w:r>
        <w:rPr>
          <w:rFonts w:ascii="Arial" w:cs="Arial" w:eastAsia="Arial" w:hAnsi="Arial"/>
          <w:sz w:val="20"/>
          <w:szCs w:val="20"/>
          <w:color w:val="auto"/>
        </w:rPr>
        <w:t>”), as further described herein.</w:t>
      </w:r>
    </w:p>
    <w:p>
      <w:pPr>
        <w:spacing w:after="0" w:line="213"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NOW, THEREFORE, in consideration of the mutual covenants and agreements set forth in the Agreement and this Overflow Amendment, and subject to the terms and conditions of the Agreement, with the exceptions defined below,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0575" cy="197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140575" cy="197485"/>
                    </a:xfrm>
                    <a:prstGeom prst="rect">
                      <a:avLst/>
                    </a:prstGeom>
                    <a:noFill/>
                  </pic:spPr>
                </pic:pic>
              </a:graphicData>
            </a:graphic>
          </wp:anchor>
        </w:drawing>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 Description of Services</w:t>
      </w:r>
    </w:p>
    <w:p>
      <w:pPr>
        <w:spacing w:after="0" w:line="200" w:lineRule="exact"/>
        <w:rPr>
          <w:sz w:val="20"/>
          <w:szCs w:val="20"/>
          <w:color w:val="auto"/>
        </w:rPr>
      </w:pPr>
    </w:p>
    <w:p>
      <w:pPr>
        <w:spacing w:after="0" w:line="292"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GEODIS will provide Client warehouse handling and storage services, specifically including the unloading of inbound containers, inbound put-away, storage</w:t>
      </w:r>
      <w:r>
        <w:rPr>
          <w:rFonts w:ascii="Arial" w:cs="Arial" w:eastAsia="Arial" w:hAnsi="Arial"/>
          <w:sz w:val="19"/>
          <w:szCs w:val="19"/>
          <w:color w:val="auto"/>
          <w:strike w:val="1"/>
        </w:rPr>
        <w:t>,</w:t>
      </w:r>
      <w:r>
        <w:rPr>
          <w:rFonts w:ascii="Arial" w:cs="Arial" w:eastAsia="Arial" w:hAnsi="Arial"/>
          <w:sz w:val="19"/>
          <w:szCs w:val="19"/>
          <w:color w:val="auto"/>
        </w:rPr>
        <w:t xml:space="preserve"> and outbound loading of trailers (the “</w:t>
      </w:r>
      <w:r>
        <w:rPr>
          <w:rFonts w:ascii="Arial" w:cs="Arial" w:eastAsia="Arial" w:hAnsi="Arial"/>
          <w:sz w:val="19"/>
          <w:szCs w:val="19"/>
          <w:b w:val="1"/>
          <w:bCs w:val="1"/>
          <w:color w:val="auto"/>
        </w:rPr>
        <w:t>Overflow Services</w:t>
      </w:r>
      <w:r>
        <w:rPr>
          <w:rFonts w:ascii="Arial" w:cs="Arial" w:eastAsia="Arial" w:hAnsi="Arial"/>
          <w:sz w:val="19"/>
          <w:szCs w:val="19"/>
          <w:color w:val="auto"/>
        </w:rPr>
        <w:t>”) at the Overflow Warehouse.</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The terms and conditions set forth in the Agreement shall apply only to the Overflow Services contemplated hereunder; provided that,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(TERM),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(TERMINATION), and the Agreement exhibits (and language referencing such exhibits) shall not apply to the Overflow Services set forth herein and such terms shall be governed by this Overflow Amendment exclusively. The term “Warehouse” in the Agreement shall be understood to mean the Overflow Warehouse specified herein as it relates to this Overflow Amendment. Should the Agreement be terminated or expire during the Term of this Overflow Agreement, the terms and conditions therein shall continue to govern these Overflow Services until the Parties execute a new master agreement that expressly governs these Overflow Services.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Should there be any other conflicts or inconsistencies between this Overflow Amendment and the Agreement, the provisions of this Overflow Amendment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40575" cy="197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40575" cy="197485"/>
                    </a:xfrm>
                    <a:prstGeom prst="rect">
                      <a:avLst/>
                    </a:prstGeom>
                    <a:noFill/>
                  </pic:spPr>
                </pic:pic>
              </a:graphicData>
            </a:graphic>
          </wp:anchor>
        </w:drawing>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 Term of Agreement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term for the Overflow Services is to begin July 12, 2021 and expire on October 4, 2021. After such time, upon written agreement by both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Parties, the Overflow Services may renew each month in successive one (1) month periods upon the mutual written agreement of the parties.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Following October 4, 2021, either Party may terminate the Overflow Services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Arial" w:cs="Arial" w:eastAsia="Arial" w:hAnsi="Arial"/>
          <w:sz w:val="20"/>
          <w:szCs w:val="20"/>
          <w:color w:val="auto"/>
        </w:rPr>
        <w:t>Overflow Amendment for any reason whatsoever, in whole or in part, upon sixty (60) days’ written notice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0575" cy="197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40575" cy="197485"/>
                    </a:xfrm>
                    <a:prstGeom prst="rect">
                      <a:avLst/>
                    </a:prstGeom>
                    <a:noFill/>
                  </pic:spPr>
                </pic:pic>
              </a:graphicData>
            </a:graphic>
          </wp:anchor>
        </w:drawing>
      </w:r>
    </w:p>
    <w:p>
      <w:pPr>
        <w:spacing w:after="0" w:line="284" w:lineRule="exact"/>
        <w:rPr>
          <w:sz w:val="20"/>
          <w:szCs w:val="20"/>
          <w:color w:val="auto"/>
        </w:rPr>
      </w:pPr>
    </w:p>
    <w:p>
      <w:pPr>
        <w:ind w:left="3760" w:hanging="204"/>
        <w:spacing w:after="0"/>
        <w:tabs>
          <w:tab w:leader="none" w:pos="3760" w:val="left"/>
        </w:tabs>
        <w:numPr>
          <w:ilvl w:val="1"/>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Assumptions, Facts and Operating Parameters</w:t>
      </w:r>
    </w:p>
    <w:p>
      <w:pPr>
        <w:spacing w:after="0" w:line="200" w:lineRule="exact"/>
        <w:rPr>
          <w:rFonts w:ascii="Arial" w:cs="Arial" w:eastAsia="Arial" w:hAnsi="Arial"/>
          <w:sz w:val="20"/>
          <w:szCs w:val="20"/>
          <w:b w:val="1"/>
          <w:bCs w:val="1"/>
          <w:color w:val="auto"/>
        </w:rPr>
      </w:pPr>
    </w:p>
    <w:p>
      <w:pPr>
        <w:spacing w:after="0" w:line="291" w:lineRule="exact"/>
        <w:rPr>
          <w:rFonts w:ascii="Arial" w:cs="Arial" w:eastAsia="Arial" w:hAnsi="Arial"/>
          <w:sz w:val="20"/>
          <w:szCs w:val="20"/>
          <w:b w:val="1"/>
          <w:bCs w:val="1"/>
          <w:color w:val="auto"/>
        </w:rPr>
      </w:pPr>
    </w:p>
    <w:p>
      <w:pPr>
        <w:ind w:left="960" w:hanging="304"/>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20"/>
          <w:szCs w:val="20"/>
          <w:color w:val="auto"/>
        </w:rPr>
        <w:t>GEODIS to receive containers for Client at the Overflow Warehouse</w:t>
      </w:r>
    </w:p>
    <w:p>
      <w:pPr>
        <w:spacing w:after="0" w:line="15" w:lineRule="exact"/>
        <w:rPr>
          <w:rFonts w:ascii="Arial" w:cs="Arial" w:eastAsia="Arial" w:hAnsi="Arial"/>
          <w:sz w:val="16"/>
          <w:szCs w:val="16"/>
          <w:color w:val="auto"/>
        </w:rPr>
      </w:pPr>
    </w:p>
    <w:p>
      <w:pPr>
        <w:ind w:left="960" w:hanging="304"/>
        <w:spacing w:after="0"/>
        <w:tabs>
          <w:tab w:leader="none" w:pos="9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GEODIS’ standard operating hours are 7:00 AM - 3:30 PM EST Monday - Friday</w:t>
      </w:r>
    </w:p>
    <w:p>
      <w:pPr>
        <w:ind w:left="980" w:right="740" w:hanging="324"/>
        <w:spacing w:after="0" w:line="242" w:lineRule="auto"/>
        <w:tabs>
          <w:tab w:leader="none" w:pos="968" w:val="left"/>
        </w:tabs>
        <w:numPr>
          <w:ilvl w:val="0"/>
          <w:numId w:val="25"/>
        </w:numPr>
        <w:rPr>
          <w:rFonts w:ascii="Arial" w:cs="Arial" w:eastAsia="Arial" w:hAnsi="Arial"/>
          <w:sz w:val="20"/>
          <w:szCs w:val="20"/>
          <w:color w:val="auto"/>
        </w:rPr>
      </w:pPr>
      <w:r>
        <w:rPr>
          <w:rFonts w:ascii="Arial" w:cs="Arial" w:eastAsia="Arial" w:hAnsi="Arial"/>
          <w:sz w:val="20"/>
          <w:szCs w:val="20"/>
          <w:color w:val="auto"/>
        </w:rPr>
        <w:t>GEODIS will provide unloading of containers, inbound putaway, storage, outbound pallet pick, and outbound loading to Breinigsville Bldg.</w:t>
      </w:r>
    </w:p>
    <w:p>
      <w:pPr>
        <w:ind w:left="960" w:hanging="304"/>
        <w:spacing w:after="0"/>
        <w:tabs>
          <w:tab w:leader="none" w:pos="9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Product: </w:t>
      </w:r>
      <w:r>
        <w:rPr>
          <w:rFonts w:ascii="Arial" w:cs="Arial" w:eastAsia="Arial" w:hAnsi="Arial"/>
          <w:sz w:val="21"/>
          <w:szCs w:val="21"/>
          <w:color w:val="auto"/>
        </w:rPr>
        <w:t>Personal care wipes + Diapers</w:t>
      </w:r>
    </w:p>
    <w:p>
      <w:pPr>
        <w:spacing w:after="0" w:line="21" w:lineRule="exact"/>
        <w:rPr>
          <w:rFonts w:ascii="Arial" w:cs="Arial" w:eastAsia="Arial" w:hAnsi="Arial"/>
          <w:sz w:val="20"/>
          <w:szCs w:val="20"/>
          <w:color w:val="auto"/>
        </w:rPr>
      </w:pPr>
    </w:p>
    <w:p>
      <w:pPr>
        <w:ind w:left="960" w:hanging="304"/>
        <w:spacing w:after="0" w:line="233" w:lineRule="auto"/>
        <w:tabs>
          <w:tab w:leader="none" w:pos="960" w:val="left"/>
        </w:tabs>
        <w:numPr>
          <w:ilvl w:val="0"/>
          <w:numId w:val="25"/>
        </w:numPr>
        <w:rPr>
          <w:rFonts w:ascii="Arial" w:cs="Arial" w:eastAsia="Arial" w:hAnsi="Arial"/>
          <w:sz w:val="20"/>
          <w:szCs w:val="20"/>
          <w:color w:val="auto"/>
        </w:rPr>
      </w:pPr>
      <w:r>
        <w:rPr>
          <w:rFonts w:ascii="Arial" w:cs="Arial" w:eastAsia="Arial" w:hAnsi="Arial"/>
          <w:sz w:val="22"/>
          <w:szCs w:val="22"/>
          <w:color w:val="auto"/>
        </w:rPr>
        <w:t>Product that can be safely double stacked will be double stacked</w:t>
      </w:r>
    </w:p>
    <w:p>
      <w:pPr>
        <w:ind w:left="960" w:hanging="304"/>
        <w:spacing w:after="0"/>
        <w:tabs>
          <w:tab w:leader="none" w:pos="9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Bulk storage: Floor storage</w:t>
      </w:r>
    </w:p>
    <w:p>
      <w:pPr>
        <w:ind w:left="960" w:hanging="304"/>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Minimum square footage allocation: 20,000 square feet (19,000 square feet operational space; 1,000 square feet common space)</w:t>
      </w:r>
    </w:p>
    <w:p>
      <w:pPr>
        <w:spacing w:after="0" w:line="45" w:lineRule="exact"/>
        <w:rPr>
          <w:rFonts w:ascii="Arial" w:cs="Arial" w:eastAsia="Arial" w:hAnsi="Arial"/>
          <w:sz w:val="16"/>
          <w:szCs w:val="16"/>
          <w:color w:val="auto"/>
        </w:rPr>
      </w:pPr>
    </w:p>
    <w:p>
      <w:pPr>
        <w:ind w:left="960" w:hanging="304"/>
        <w:spacing w:after="0"/>
        <w:tabs>
          <w:tab w:leader="none" w:pos="9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Maximum square footage allocation: 40,000 square feet</w:t>
      </w:r>
    </w:p>
    <w:p>
      <w:pPr>
        <w:ind w:left="960" w:hanging="304"/>
        <w:spacing w:after="0"/>
        <w:tabs>
          <w:tab w:leader="none" w:pos="9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Temperature controlled space: Ambient</w:t>
      </w:r>
    </w:p>
    <w:p>
      <w:pPr>
        <w:ind w:left="960" w:hanging="304"/>
        <w:spacing w:after="0"/>
        <w:tabs>
          <w:tab w:leader="none" w:pos="9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Hazmat or OTC SKUs in scope: Alcohol Wipes (limited quantity)</w:t>
      </w:r>
    </w:p>
    <w:p>
      <w:pPr>
        <w:spacing w:after="0" w:line="288" w:lineRule="exact"/>
        <w:rPr>
          <w:rFonts w:ascii="Arial" w:cs="Arial" w:eastAsia="Arial" w:hAnsi="Arial"/>
          <w:sz w:val="20"/>
          <w:szCs w:val="20"/>
          <w:color w:val="auto"/>
        </w:rPr>
      </w:pPr>
    </w:p>
    <w:p>
      <w:pPr>
        <w:ind w:left="4880" w:hanging="189"/>
        <w:spacing w:after="0"/>
        <w:tabs>
          <w:tab w:leader="none" w:pos="4880" w:val="left"/>
        </w:tabs>
        <w:numPr>
          <w:ilvl w:val="2"/>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Rates and Invoicing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0575" cy="197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140575" cy="1974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In consideration for the Overflow Services, Client shall pay GEODIS the fees and charges (“</w:t>
      </w:r>
      <w:r>
        <w:rPr>
          <w:rFonts w:ascii="Arial" w:cs="Arial" w:eastAsia="Arial" w:hAnsi="Arial"/>
          <w:sz w:val="20"/>
          <w:szCs w:val="20"/>
          <w:b w:val="1"/>
          <w:bCs w:val="1"/>
          <w:color w:val="auto"/>
        </w:rPr>
        <w:t>Rates</w:t>
      </w:r>
      <w:r>
        <w:rPr>
          <w:rFonts w:ascii="Arial" w:cs="Arial" w:eastAsia="Arial" w:hAnsi="Arial"/>
          <w:sz w:val="20"/>
          <w:szCs w:val="20"/>
          <w:color w:val="auto"/>
        </w:rPr>
        <w:t>”) set forth below.</w:t>
      </w:r>
    </w:p>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The Rates were determined in reliance on the operational parameters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above, as well as other data, projections or information provided to GEODIS by or on behalf of Client. Any variances or changes to (i) the operational parameters or forecasts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w:t>
      </w:r>
      <w:r>
        <w:rPr>
          <w:rFonts w:ascii="Arial" w:cs="Arial" w:eastAsia="Arial" w:hAnsi="Arial"/>
          <w:sz w:val="19"/>
          <w:szCs w:val="19"/>
          <w:color w:val="auto"/>
        </w:rPr>
        <w:t>, (ii) any other data, projections or information provided to GEODIS by or on behalf of Client, or (iii) the scope of Overflow Services from the Year One baseline values may result in additional costs or impact timelines and project plans.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u w:val="single" w:color="auto"/>
          <w:color w:val="auto"/>
        </w:rPr>
        <w:t>Open Book Pricing</w:t>
      </w:r>
      <w:r>
        <w:rPr>
          <w:rFonts w:ascii="Arial" w:cs="Arial" w:eastAsia="Arial" w:hAnsi="Arial"/>
          <w:sz w:val="18"/>
          <w:szCs w:val="18"/>
          <w:color w:val="auto"/>
        </w:rPr>
        <w:t>. Client and GEODIS agree to an open book pricing structure, wherein Client agrees to pay the expenses (both fixed and</w:t>
      </w:r>
      <w:r>
        <w:rPr>
          <w:rFonts w:ascii="Arial" w:cs="Arial" w:eastAsia="Arial" w:hAnsi="Arial"/>
          <w:sz w:val="18"/>
          <w:szCs w:val="18"/>
          <w:b w:val="1"/>
          <w:bCs w:val="1"/>
          <w:color w:val="auto"/>
        </w:rPr>
        <w:t xml:space="preserve"> </w:t>
      </w:r>
      <w:r>
        <w:rPr>
          <w:rFonts w:ascii="Arial" w:cs="Arial" w:eastAsia="Arial" w:hAnsi="Arial"/>
          <w:sz w:val="18"/>
          <w:szCs w:val="18"/>
          <w:color w:val="auto"/>
        </w:rPr>
        <w:t>variable) for the Overflow Services, plus an applicable mark-up, discussed herein. The fixed costs include rent, CAM, and insurance related to the Overflow Warehouse. The variable costs include, but are not limited to, direct hourly labor, indirect hourly labor, supplies, miscellaneous costs, salary labor, utilities, building repairs, maintenance, equipment, and systems cost. Fixed costs will be based on a square foot allocation percent calculated as follows: space used by Honest divided by total space in the building. For facility improvements, such as roof replacement and parking lot resurfacing, Honest will only be charged for the depreciation expense incurred during the time they occupy the space based on the square foot allocation. Hourly labor costs will be billed based on actual labor hours used supporting the Honest account. Salaried labor costs will be billed based on percent of time spent supporting the Honest account. The names and percent of salaried staff will be agreed upon between Geodis and Honest in advance and changes to the personnel or percent must be discussed before making the changes. Supply costs will be billed as used by Honest. Any supplies or expenses for external services that are based on square foot allocation must be itemized and agreed upon in advance. Additions or changes must be discussed in advance. Pursuant to the open book structure, a fee that consists of a “Management Margin” of [***] and “G&amp;A Margin” of</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ectPr>
          <w:pgSz w:w="11900" w:h="16838" w:orient="portrait"/>
          <w:cols w:equalWidth="0" w:num="1">
            <w:col w:w="11240"/>
          </w:cols>
          <w:pgMar w:left="320" w:top="1419"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color w:val="auto"/>
        </w:rPr>
        <w:t>[***], shall be applied to each of the actual fixed and variable charges throughout the Term (the “</w:t>
      </w:r>
      <w:r>
        <w:rPr>
          <w:rFonts w:ascii="Arial" w:cs="Arial" w:eastAsia="Arial" w:hAnsi="Arial"/>
          <w:sz w:val="20"/>
          <w:szCs w:val="20"/>
          <w:b w:val="1"/>
          <w:bCs w:val="1"/>
          <w:color w:val="auto"/>
        </w:rPr>
        <w:t>Margin</w:t>
      </w:r>
      <w:r>
        <w:rPr>
          <w:rFonts w:ascii="Arial" w:cs="Arial" w:eastAsia="Arial" w:hAnsi="Arial"/>
          <w:sz w:val="20"/>
          <w:szCs w:val="20"/>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labor benefits expense (the “</w:t>
      </w:r>
      <w:r>
        <w:rPr>
          <w:rFonts w:ascii="Arial" w:cs="Arial" w:eastAsia="Arial" w:hAnsi="Arial"/>
          <w:sz w:val="20"/>
          <w:szCs w:val="20"/>
          <w:b w:val="1"/>
          <w:bCs w:val="1"/>
          <w:color w:val="auto"/>
        </w:rPr>
        <w:t>Benefit Rate</w:t>
      </w:r>
      <w:r>
        <w:rPr>
          <w:rFonts w:ascii="Arial" w:cs="Arial" w:eastAsia="Arial" w:hAnsi="Arial"/>
          <w:sz w:val="20"/>
          <w:szCs w:val="20"/>
          <w:color w:val="auto"/>
        </w:rPr>
        <w:t>”) is: [Wages + PTO+ Holiday] x[***]%.</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60" w:type="dxa"/>
            <w:vAlign w:val="bottom"/>
            <w:tcBorders>
              <w:right w:val="single" w:sz="8" w:color="auto"/>
            </w:tcBorders>
          </w:tcPr>
          <w:p>
            <w:pPr>
              <w:spacing w:after="0"/>
              <w:rPr>
                <w:sz w:val="23"/>
                <w:szCs w:val="23"/>
                <w:color w:val="auto"/>
              </w:rPr>
            </w:pPr>
          </w:p>
        </w:tc>
        <w:tc>
          <w:tcPr>
            <w:tcW w:w="21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Space</w:t>
            </w:r>
          </w:p>
        </w:tc>
        <w:tc>
          <w:tcPr>
            <w:tcW w:w="856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 xml:space="preserve">Space rate </w:t>
            </w:r>
            <w:r>
              <w:rPr>
                <w:rFonts w:ascii="Arial" w:cs="Arial" w:eastAsia="Arial" w:hAnsi="Arial"/>
                <w:sz w:val="17"/>
                <w:szCs w:val="17"/>
                <w:color w:val="auto"/>
              </w:rPr>
              <w:t>[***]</w:t>
            </w:r>
            <w:r>
              <w:rPr>
                <w:rFonts w:ascii="Arial" w:cs="Arial" w:eastAsia="Arial" w:hAnsi="Arial"/>
                <w:sz w:val="20"/>
                <w:szCs w:val="20"/>
                <w:color w:val="auto"/>
              </w:rPr>
              <w:t xml:space="preserve"> per square foot, minimum </w:t>
            </w:r>
            <w:r>
              <w:rPr>
                <w:rFonts w:ascii="Arial" w:cs="Arial" w:eastAsia="Arial" w:hAnsi="Arial"/>
                <w:sz w:val="17"/>
                <w:szCs w:val="17"/>
                <w:color w:val="auto"/>
              </w:rPr>
              <w:t>[***]</w:t>
            </w:r>
            <w:r>
              <w:rPr>
                <w:rFonts w:ascii="Arial" w:cs="Arial" w:eastAsia="Arial" w:hAnsi="Arial"/>
                <w:sz w:val="20"/>
                <w:szCs w:val="20"/>
                <w:color w:val="auto"/>
              </w:rPr>
              <w:t xml:space="preserve"> SF per month.</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3"/>
        </w:trPr>
        <w:tc>
          <w:tcPr>
            <w:tcW w:w="160" w:type="dxa"/>
            <w:vAlign w:val="bottom"/>
            <w:tcBorders>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54"/>
        </w:trPr>
        <w:tc>
          <w:tcPr>
            <w:tcW w:w="1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Labor</w:t>
            </w:r>
          </w:p>
        </w:tc>
        <w:tc>
          <w:tcPr>
            <w:tcW w:w="866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rPr>
              <w:t>Hourly variable rate + Benefit Rate + Margin</w:t>
            </w:r>
          </w:p>
        </w:tc>
        <w:tc>
          <w:tcPr>
            <w:tcW w:w="300" w:type="dxa"/>
            <w:vAlign w:val="bottom"/>
          </w:tcPr>
          <w:p>
            <w:pPr>
              <w:spacing w:after="0"/>
              <w:rPr>
                <w:sz w:val="22"/>
                <w:szCs w:val="22"/>
                <w:color w:val="auto"/>
              </w:rPr>
            </w:pPr>
          </w:p>
        </w:tc>
      </w:tr>
      <w:tr>
        <w:trPr>
          <w:trHeight w:val="23"/>
        </w:trPr>
        <w:tc>
          <w:tcPr>
            <w:tcW w:w="160" w:type="dxa"/>
            <w:vAlign w:val="bottom"/>
            <w:tcBorders>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85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54"/>
        </w:trPr>
        <w:tc>
          <w:tcPr>
            <w:tcW w:w="1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Equipment</w:t>
            </w:r>
          </w:p>
        </w:tc>
        <w:tc>
          <w:tcPr>
            <w:tcW w:w="866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rPr>
              <w:t>Forklift, variable rate + Margin</w:t>
            </w:r>
          </w:p>
        </w:tc>
        <w:tc>
          <w:tcPr>
            <w:tcW w:w="300" w:type="dxa"/>
            <w:vAlign w:val="bottom"/>
          </w:tcPr>
          <w:p>
            <w:pPr>
              <w:spacing w:after="0"/>
              <w:rPr>
                <w:sz w:val="22"/>
                <w:szCs w:val="22"/>
                <w:color w:val="auto"/>
              </w:rPr>
            </w:pPr>
          </w:p>
        </w:tc>
      </w:tr>
      <w:tr>
        <w:trPr>
          <w:trHeight w:val="23"/>
        </w:trPr>
        <w:tc>
          <w:tcPr>
            <w:tcW w:w="160" w:type="dxa"/>
            <w:vAlign w:val="bottom"/>
            <w:tcBorders>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85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54"/>
        </w:trPr>
        <w:tc>
          <w:tcPr>
            <w:tcW w:w="1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Supplies</w:t>
            </w:r>
          </w:p>
        </w:tc>
        <w:tc>
          <w:tcPr>
            <w:tcW w:w="866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 xml:space="preserve">As needed at GEODIS’ actual cost with a </w:t>
            </w:r>
            <w:r>
              <w:rPr>
                <w:rFonts w:ascii="Arial" w:cs="Arial" w:eastAsia="Arial" w:hAnsi="Arial"/>
                <w:sz w:val="17"/>
                <w:szCs w:val="17"/>
                <w:color w:val="auto"/>
              </w:rPr>
              <w:t>[***]</w:t>
            </w:r>
            <w:r>
              <w:rPr>
                <w:rFonts w:ascii="Arial" w:cs="Arial" w:eastAsia="Arial" w:hAnsi="Arial"/>
                <w:sz w:val="20"/>
                <w:szCs w:val="20"/>
                <w:color w:val="auto"/>
              </w:rPr>
              <w:t xml:space="preserve"> markup</w:t>
            </w:r>
          </w:p>
        </w:tc>
        <w:tc>
          <w:tcPr>
            <w:tcW w:w="300" w:type="dxa"/>
            <w:vAlign w:val="bottom"/>
          </w:tcPr>
          <w:p>
            <w:pPr>
              <w:spacing w:after="0"/>
              <w:rPr>
                <w:sz w:val="22"/>
                <w:szCs w:val="22"/>
                <w:color w:val="auto"/>
              </w:rPr>
            </w:pPr>
          </w:p>
        </w:tc>
      </w:tr>
      <w:tr>
        <w:trPr>
          <w:trHeight w:val="23"/>
        </w:trPr>
        <w:tc>
          <w:tcPr>
            <w:tcW w:w="160" w:type="dxa"/>
            <w:vAlign w:val="bottom"/>
            <w:tcBorders>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85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916"/>
        </w:trPr>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560" w:type="dxa"/>
            <w:vAlign w:val="bottom"/>
          </w:tcPr>
          <w:p>
            <w:pPr>
              <w:ind w:left="31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66"/>
        </w:trPr>
        <w:tc>
          <w:tcPr>
            <w:tcW w:w="16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tcPr>
          <w:p>
            <w:pPr>
              <w:spacing w:after="0"/>
              <w:rPr>
                <w:sz w:val="23"/>
                <w:szCs w:val="23"/>
                <w:color w:val="auto"/>
              </w:rPr>
            </w:pPr>
          </w:p>
        </w:tc>
        <w:tc>
          <w:tcPr>
            <w:tcW w:w="8660" w:type="dxa"/>
            <w:vAlign w:val="bottom"/>
            <w:tcBorders>
              <w:bottom w:val="single" w:sz="8" w:color="auto"/>
            </w:tcBorders>
            <w:gridSpan w:val="2"/>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r>
      <w:tr>
        <w:trPr>
          <w:trHeight w:val="254"/>
        </w:trPr>
        <w:tc>
          <w:tcPr>
            <w:tcW w:w="160" w:type="dxa"/>
            <w:vAlign w:val="bottom"/>
            <w:tcBorders>
              <w:left w:val="single" w:sz="8" w:color="auto"/>
            </w:tcBorders>
          </w:tcPr>
          <w:p>
            <w:pPr>
              <w:spacing w:after="0"/>
              <w:rPr>
                <w:sz w:val="22"/>
                <w:szCs w:val="22"/>
                <w:color w:val="auto"/>
              </w:rPr>
            </w:pPr>
          </w:p>
        </w:tc>
        <w:tc>
          <w:tcPr>
            <w:tcW w:w="2140" w:type="dxa"/>
            <w:vAlign w:val="bottom"/>
          </w:tcPr>
          <w:p>
            <w:pPr>
              <w:spacing w:after="0"/>
              <w:rPr>
                <w:sz w:val="22"/>
                <w:szCs w:val="22"/>
                <w:color w:val="auto"/>
              </w:rPr>
            </w:pPr>
          </w:p>
        </w:tc>
        <w:tc>
          <w:tcPr>
            <w:tcW w:w="8660" w:type="dxa"/>
            <w:vAlign w:val="bottom"/>
            <w:gridSpan w:val="2"/>
          </w:tcPr>
          <w:p>
            <w:pPr>
              <w:ind w:left="2360"/>
              <w:spacing w:after="0"/>
              <w:rPr>
                <w:sz w:val="20"/>
                <w:szCs w:val="20"/>
                <w:color w:val="auto"/>
              </w:rPr>
            </w:pPr>
            <w:r>
              <w:rPr>
                <w:rFonts w:ascii="Arial" w:cs="Arial" w:eastAsia="Arial" w:hAnsi="Arial"/>
                <w:sz w:val="20"/>
                <w:szCs w:val="20"/>
                <w:b w:val="1"/>
                <w:bCs w:val="1"/>
                <w:color w:val="auto"/>
              </w:rPr>
              <w:t>5. Separate Agreement</w:t>
            </w:r>
          </w:p>
        </w:tc>
        <w:tc>
          <w:tcPr>
            <w:tcW w:w="300" w:type="dxa"/>
            <w:vAlign w:val="bottom"/>
            <w:tcBorders>
              <w:right w:val="single" w:sz="8" w:color="auto"/>
            </w:tcBorders>
          </w:tcPr>
          <w:p>
            <w:pPr>
              <w:spacing w:after="0"/>
              <w:rPr>
                <w:sz w:val="22"/>
                <w:szCs w:val="22"/>
                <w:color w:val="auto"/>
              </w:rPr>
            </w:pPr>
          </w:p>
        </w:tc>
      </w:tr>
      <w:tr>
        <w:trPr>
          <w:trHeight w:val="23"/>
        </w:trPr>
        <w:tc>
          <w:tcPr>
            <w:tcW w:w="160" w:type="dxa"/>
            <w:vAlign w:val="bottom"/>
            <w:tcBorders>
              <w:left w:val="single" w:sz="8" w:color="auto"/>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Any termination, expiration, or breach of this Overflow Amendment shall have no bearing or effect on any other contractual relationships between the Parties.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Overflow Amendment to be executed by their duly authorized representatives.</w:t>
      </w:r>
    </w:p>
    <w:p>
      <w:pPr>
        <w:spacing w:after="0" w:line="260" w:lineRule="exact"/>
        <w:rPr>
          <w:sz w:val="20"/>
          <w:szCs w:val="20"/>
          <w:color w:val="auto"/>
        </w:rPr>
      </w:pPr>
    </w:p>
    <w:p>
      <w:pPr>
        <w:spacing w:after="0"/>
        <w:tabs>
          <w:tab w:leader="none" w:pos="2540" w:val="left"/>
        </w:tabs>
        <w:rPr>
          <w:sz w:val="20"/>
          <w:szCs w:val="20"/>
          <w:color w:val="auto"/>
        </w:rPr>
      </w:pPr>
      <w:r>
        <w:rPr>
          <w:rFonts w:ascii="Arial" w:cs="Arial" w:eastAsia="Arial" w:hAnsi="Arial"/>
          <w:sz w:val="20"/>
          <w:szCs w:val="20"/>
          <w:b w:val="1"/>
          <w:bCs w:val="1"/>
          <w:color w:val="auto"/>
        </w:rPr>
        <w:t>THE HONEST COMPANY</w:t>
        <w:tab/>
        <w:t>GEODIS LOGISTICS LLC</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Pr>
          <w:p>
            <w:pPr>
              <w:ind w:left="20"/>
              <w:spacing w:after="0"/>
              <w:rPr>
                <w:sz w:val="20"/>
                <w:szCs w:val="20"/>
                <w:color w:val="auto"/>
              </w:rPr>
            </w:pPr>
            <w:r>
              <w:rPr>
                <w:rFonts w:ascii="Arial" w:cs="Arial" w:eastAsia="Arial" w:hAnsi="Arial"/>
                <w:sz w:val="18"/>
                <w:szCs w:val="18"/>
                <w:color w:val="auto"/>
              </w:rPr>
              <w:t>/s/ Glenn Klages</w:t>
            </w:r>
          </w:p>
        </w:tc>
        <w:tc>
          <w:tcPr>
            <w:tcW w:w="1640" w:type="dxa"/>
            <w:vAlign w:val="bottom"/>
          </w:tcPr>
          <w:p>
            <w:pPr>
              <w:ind w:left="20"/>
              <w:spacing w:after="0"/>
              <w:rPr>
                <w:sz w:val="20"/>
                <w:szCs w:val="20"/>
                <w:color w:val="auto"/>
              </w:rPr>
            </w:pPr>
            <w:r>
              <w:rPr>
                <w:rFonts w:ascii="Arial" w:cs="Arial" w:eastAsia="Arial" w:hAnsi="Arial"/>
                <w:sz w:val="18"/>
                <w:szCs w:val="18"/>
                <w:color w:val="auto"/>
              </w:rPr>
              <w:t>By:</w:t>
            </w:r>
          </w:p>
        </w:tc>
        <w:tc>
          <w:tcPr>
            <w:tcW w:w="3360" w:type="dxa"/>
            <w:vAlign w:val="bottom"/>
          </w:tcPr>
          <w:p>
            <w:pPr>
              <w:ind w:left="20"/>
              <w:spacing w:after="0"/>
              <w:rPr>
                <w:sz w:val="20"/>
                <w:szCs w:val="20"/>
                <w:color w:val="auto"/>
              </w:rPr>
            </w:pPr>
            <w:r>
              <w:rPr>
                <w:rFonts w:ascii="Arial" w:cs="Arial" w:eastAsia="Arial" w:hAnsi="Arial"/>
                <w:sz w:val="18"/>
                <w:szCs w:val="18"/>
                <w:color w:val="auto"/>
              </w:rPr>
              <w:t>/s/ Anthony Jordan</w:t>
            </w:r>
          </w:p>
        </w:tc>
      </w:tr>
      <w:tr>
        <w:trPr>
          <w:trHeight w:val="27"/>
        </w:trPr>
        <w:tc>
          <w:tcPr>
            <w:tcW w:w="164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4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254"/>
        </w:trPr>
        <w:tc>
          <w:tcPr>
            <w:tcW w:w="1640" w:type="dxa"/>
            <w:vAlign w:val="bottom"/>
          </w:tcPr>
          <w:p>
            <w:pPr>
              <w:spacing w:after="0"/>
              <w:rPr>
                <w:sz w:val="20"/>
                <w:szCs w:val="20"/>
                <w:color w:val="auto"/>
              </w:rPr>
            </w:pPr>
            <w:r>
              <w:rPr>
                <w:rFonts w:ascii="Arial" w:cs="Arial" w:eastAsia="Arial" w:hAnsi="Arial"/>
                <w:sz w:val="18"/>
                <w:szCs w:val="18"/>
                <w:color w:val="auto"/>
              </w:rPr>
              <w:t>Printed Name:</w:t>
            </w:r>
          </w:p>
        </w:tc>
        <w:tc>
          <w:tcPr>
            <w:tcW w:w="3360" w:type="dxa"/>
            <w:vAlign w:val="bottom"/>
          </w:tcPr>
          <w:p>
            <w:pPr>
              <w:ind w:left="20"/>
              <w:spacing w:after="0"/>
              <w:rPr>
                <w:sz w:val="20"/>
                <w:szCs w:val="20"/>
                <w:color w:val="auto"/>
              </w:rPr>
            </w:pPr>
            <w:r>
              <w:rPr>
                <w:rFonts w:ascii="Arial" w:cs="Arial" w:eastAsia="Arial" w:hAnsi="Arial"/>
                <w:sz w:val="20"/>
                <w:szCs w:val="20"/>
                <w:color w:val="auto"/>
              </w:rPr>
              <w:t>Glenn Klages</w:t>
            </w:r>
          </w:p>
        </w:tc>
        <w:tc>
          <w:tcPr>
            <w:tcW w:w="1640" w:type="dxa"/>
            <w:vAlign w:val="bottom"/>
          </w:tcPr>
          <w:p>
            <w:pPr>
              <w:ind w:left="20"/>
              <w:spacing w:after="0"/>
              <w:rPr>
                <w:sz w:val="20"/>
                <w:szCs w:val="20"/>
                <w:color w:val="auto"/>
              </w:rPr>
            </w:pPr>
            <w:r>
              <w:rPr>
                <w:rFonts w:ascii="Arial" w:cs="Arial" w:eastAsia="Arial" w:hAnsi="Arial"/>
                <w:sz w:val="18"/>
                <w:szCs w:val="18"/>
                <w:color w:val="auto"/>
              </w:rPr>
              <w:t>Printed Name:</w:t>
            </w:r>
          </w:p>
        </w:tc>
        <w:tc>
          <w:tcPr>
            <w:tcW w:w="3360" w:type="dxa"/>
            <w:vAlign w:val="bottom"/>
          </w:tcPr>
          <w:p>
            <w:pPr>
              <w:ind w:left="20"/>
              <w:spacing w:after="0"/>
              <w:rPr>
                <w:sz w:val="20"/>
                <w:szCs w:val="20"/>
                <w:color w:val="auto"/>
              </w:rPr>
            </w:pPr>
            <w:r>
              <w:rPr>
                <w:rFonts w:ascii="Arial" w:cs="Arial" w:eastAsia="Arial" w:hAnsi="Arial"/>
                <w:sz w:val="20"/>
                <w:szCs w:val="20"/>
                <w:color w:val="auto"/>
              </w:rPr>
              <w:t>Anthony Jordan</w:t>
            </w:r>
          </w:p>
        </w:tc>
      </w:tr>
      <w:tr>
        <w:trPr>
          <w:trHeight w:val="284"/>
        </w:trPr>
        <w:tc>
          <w:tcPr>
            <w:tcW w:w="164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ind w:left="20"/>
              <w:spacing w:after="0"/>
              <w:rPr>
                <w:sz w:val="20"/>
                <w:szCs w:val="20"/>
                <w:color w:val="auto"/>
              </w:rPr>
            </w:pPr>
            <w:r>
              <w:rPr>
                <w:rFonts w:ascii="Arial" w:cs="Arial" w:eastAsia="Arial" w:hAnsi="Arial"/>
                <w:sz w:val="20"/>
                <w:szCs w:val="20"/>
                <w:color w:val="auto"/>
              </w:rPr>
              <w:t>EVP Supply Chain</w:t>
            </w:r>
          </w:p>
        </w:tc>
        <w:tc>
          <w:tcPr>
            <w:tcW w:w="1640" w:type="dxa"/>
            <w:vAlign w:val="bottom"/>
          </w:tcPr>
          <w:p>
            <w:pPr>
              <w:ind w:left="20"/>
              <w:spacing w:after="0"/>
              <w:rPr>
                <w:sz w:val="20"/>
                <w:szCs w:val="20"/>
                <w:color w:val="auto"/>
              </w:rPr>
            </w:pPr>
            <w:r>
              <w:rPr>
                <w:rFonts w:ascii="Arial" w:cs="Arial" w:eastAsia="Arial" w:hAnsi="Arial"/>
                <w:sz w:val="18"/>
                <w:szCs w:val="18"/>
                <w:color w:val="auto"/>
              </w:rPr>
              <w:t>Title:</w:t>
            </w:r>
          </w:p>
        </w:tc>
        <w:tc>
          <w:tcPr>
            <w:tcW w:w="3360" w:type="dxa"/>
            <w:vAlign w:val="bottom"/>
          </w:tcPr>
          <w:p>
            <w:pPr>
              <w:ind w:left="20"/>
              <w:spacing w:after="0"/>
              <w:rPr>
                <w:sz w:val="20"/>
                <w:szCs w:val="20"/>
                <w:color w:val="auto"/>
              </w:rPr>
            </w:pPr>
            <w:r>
              <w:rPr>
                <w:rFonts w:ascii="Arial" w:cs="Arial" w:eastAsia="Arial" w:hAnsi="Arial"/>
                <w:sz w:val="20"/>
                <w:szCs w:val="20"/>
                <w:color w:val="auto"/>
              </w:rPr>
              <w:t>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ectPr>
          <w:pgSz w:w="11900" w:h="16838" w:orient="portrait"/>
          <w:cols w:equalWidth="0" w:num="1">
            <w:col w:w="11260"/>
          </w:cols>
          <w:pgMar w:left="320" w:top="1413" w:right="319" w:bottom="1440" w:gutter="0" w:footer="0" w:header="0"/>
        </w:sectPr>
      </w:pPr>
    </w:p>
    <w:bookmarkStart w:id="45" w:name="page46"/>
    <w:bookmarkEnd w:id="45"/>
    <w:p>
      <w:pPr>
        <w:ind w:left="9460"/>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Nikolaos Vlahos, certify that:</w:t>
      </w:r>
    </w:p>
    <w:p>
      <w:pPr>
        <w:spacing w:after="0" w:line="252" w:lineRule="exact"/>
        <w:rPr>
          <w:sz w:val="20"/>
          <w:szCs w:val="20"/>
          <w:color w:val="auto"/>
        </w:rPr>
      </w:pPr>
    </w:p>
    <w:p>
      <w:pPr>
        <w:ind w:left="560" w:hanging="545"/>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Honest Company, Inc.;</w:t>
      </w:r>
    </w:p>
    <w:p>
      <w:pPr>
        <w:spacing w:after="0" w:line="252" w:lineRule="exact"/>
        <w:rPr>
          <w:rFonts w:ascii="Arial" w:cs="Arial" w:eastAsia="Arial" w:hAnsi="Arial"/>
          <w:sz w:val="18"/>
          <w:szCs w:val="18"/>
          <w:color w:val="auto"/>
        </w:rPr>
      </w:pPr>
    </w:p>
    <w:p>
      <w:pPr>
        <w:jc w:val="both"/>
        <w:ind w:left="560" w:hanging="545"/>
        <w:spacing w:after="0" w:line="263" w:lineRule="auto"/>
        <w:tabs>
          <w:tab w:leader="none" w:pos="5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ind w:left="560" w:right="20" w:hanging="545"/>
        <w:spacing w:after="0" w:line="357" w:lineRule="auto"/>
        <w:tabs>
          <w:tab w:leader="none" w:pos="549"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ind w:left="560" w:right="180" w:hanging="545"/>
        <w:spacing w:after="0" w:line="293" w:lineRule="auto"/>
        <w:tabs>
          <w:tab w:leader="none" w:pos="5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3" w:lineRule="exact"/>
        <w:rPr>
          <w:rFonts w:ascii="Arial" w:cs="Arial" w:eastAsia="Arial" w:hAnsi="Arial"/>
          <w:sz w:val="18"/>
          <w:szCs w:val="18"/>
          <w:color w:val="auto"/>
        </w:rPr>
      </w:pPr>
    </w:p>
    <w:p>
      <w:pPr>
        <w:ind w:left="1100" w:right="160" w:hanging="539"/>
        <w:spacing w:after="0" w:line="263" w:lineRule="auto"/>
        <w:tabs>
          <w:tab w:leader="none" w:pos="109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00" w:hanging="539"/>
        <w:spacing w:after="0"/>
        <w:tabs>
          <w:tab w:leader="none" w:pos="1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[Omitted];</w:t>
      </w:r>
    </w:p>
    <w:p>
      <w:pPr>
        <w:spacing w:after="0" w:line="292" w:lineRule="exact"/>
        <w:rPr>
          <w:rFonts w:ascii="Arial" w:cs="Arial" w:eastAsia="Arial" w:hAnsi="Arial"/>
          <w:sz w:val="18"/>
          <w:szCs w:val="18"/>
          <w:color w:val="auto"/>
        </w:rPr>
      </w:pPr>
    </w:p>
    <w:p>
      <w:pPr>
        <w:ind w:left="1100" w:right="120" w:hanging="539"/>
        <w:spacing w:after="0" w:line="447" w:lineRule="auto"/>
        <w:tabs>
          <w:tab w:leader="none" w:pos="1093"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6"/>
          <w:szCs w:val="16"/>
          <w:color w:val="auto"/>
        </w:rPr>
      </w:pPr>
    </w:p>
    <w:p>
      <w:pPr>
        <w:ind w:left="1100" w:right="260" w:hanging="539"/>
        <w:spacing w:after="0" w:line="263" w:lineRule="auto"/>
        <w:tabs>
          <w:tab w:leader="none" w:pos="108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1" w:lineRule="exact"/>
        <w:rPr>
          <w:rFonts w:ascii="Arial" w:cs="Arial" w:eastAsia="Arial" w:hAnsi="Arial"/>
          <w:sz w:val="18"/>
          <w:szCs w:val="18"/>
          <w:color w:val="auto"/>
        </w:rPr>
      </w:pPr>
    </w:p>
    <w:p>
      <w:pPr>
        <w:ind w:left="560" w:right="200" w:hanging="545"/>
        <w:spacing w:after="0" w:line="447" w:lineRule="auto"/>
        <w:tabs>
          <w:tab w:leader="none" w:pos="5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6"/>
          <w:szCs w:val="16"/>
          <w:color w:val="auto"/>
        </w:rPr>
      </w:pPr>
    </w:p>
    <w:p>
      <w:pPr>
        <w:ind w:left="1100" w:right="500" w:hanging="539"/>
        <w:spacing w:after="0" w:line="447" w:lineRule="auto"/>
        <w:tabs>
          <w:tab w:leader="none" w:pos="1093"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100" w:right="200" w:hanging="539"/>
        <w:spacing w:after="0" w:line="293" w:lineRule="auto"/>
        <w:tabs>
          <w:tab w:leader="none" w:pos="108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480" w:val="left"/>
          <w:tab w:leader="none" w:pos="618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Nikolaos Vlahos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6"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Nikolaos Vlahos</w:t>
      </w:r>
    </w:p>
    <w:p>
      <w:pPr>
        <w:spacing w:after="0" w:line="23"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jc w:val="center"/>
        <w:ind w:left="57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080"/>
          </w:cols>
          <w:pgMar w:left="320" w:top="1417" w:right="49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Kelly J. Kennedy, certify that:</w:t>
      </w:r>
    </w:p>
    <w:p>
      <w:pPr>
        <w:spacing w:after="0" w:line="224" w:lineRule="exact"/>
        <w:rPr>
          <w:sz w:val="20"/>
          <w:szCs w:val="20"/>
          <w:color w:val="auto"/>
        </w:rPr>
      </w:pPr>
    </w:p>
    <w:p>
      <w:pPr>
        <w:ind w:left="1300" w:hanging="656"/>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Honest Company, Inc.;</w:t>
      </w:r>
    </w:p>
    <w:p>
      <w:pPr>
        <w:spacing w:after="0" w:line="252" w:lineRule="exact"/>
        <w:rPr>
          <w:rFonts w:ascii="Arial" w:cs="Arial" w:eastAsia="Arial" w:hAnsi="Arial"/>
          <w:sz w:val="18"/>
          <w:szCs w:val="18"/>
          <w:color w:val="auto"/>
        </w:rPr>
      </w:pPr>
    </w:p>
    <w:p>
      <w:pPr>
        <w:jc w:val="both"/>
        <w:ind w:firstLine="644"/>
        <w:spacing w:after="0" w:line="263" w:lineRule="auto"/>
        <w:tabs>
          <w:tab w:leader="none" w:pos="12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jc w:val="both"/>
        <w:ind w:right="220" w:firstLine="644"/>
        <w:spacing w:after="0" w:line="310" w:lineRule="auto"/>
        <w:tabs>
          <w:tab w:leader="none" w:pos="12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560" w:firstLine="644"/>
        <w:spacing w:after="0" w:line="293" w:lineRule="auto"/>
        <w:tabs>
          <w:tab w:leader="none" w:pos="12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3" w:lineRule="exact"/>
        <w:rPr>
          <w:sz w:val="20"/>
          <w:szCs w:val="20"/>
          <w:color w:val="auto"/>
        </w:rPr>
      </w:pPr>
    </w:p>
    <w:p>
      <w:pPr>
        <w:jc w:val="both"/>
        <w:ind w:right="160" w:firstLine="644"/>
        <w:spacing w:after="0" w:line="286" w:lineRule="auto"/>
        <w:tabs>
          <w:tab w:leader="none" w:pos="1293"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280" w:hanging="636"/>
        <w:spacing w:after="0"/>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[Omitted];</w:t>
      </w:r>
    </w:p>
    <w:p>
      <w:pPr>
        <w:spacing w:after="0" w:line="292" w:lineRule="exact"/>
        <w:rPr>
          <w:rFonts w:ascii="Arial" w:cs="Arial" w:eastAsia="Arial" w:hAnsi="Arial"/>
          <w:sz w:val="18"/>
          <w:szCs w:val="18"/>
          <w:color w:val="auto"/>
        </w:rPr>
      </w:pPr>
    </w:p>
    <w:p>
      <w:pPr>
        <w:jc w:val="both"/>
        <w:ind w:firstLine="644"/>
        <w:spacing w:after="0" w:line="357" w:lineRule="auto"/>
        <w:tabs>
          <w:tab w:leader="none" w:pos="12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8"/>
          <w:szCs w:val="18"/>
          <w:color w:val="auto"/>
        </w:rPr>
      </w:pPr>
    </w:p>
    <w:p>
      <w:pPr>
        <w:ind w:right="280" w:firstLine="644"/>
        <w:spacing w:after="0" w:line="263" w:lineRule="auto"/>
        <w:tabs>
          <w:tab w:leader="none" w:pos="129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1" w:lineRule="exact"/>
        <w:rPr>
          <w:sz w:val="20"/>
          <w:szCs w:val="20"/>
          <w:color w:val="auto"/>
        </w:rPr>
      </w:pPr>
    </w:p>
    <w:p>
      <w:pPr>
        <w:ind w:right="80" w:firstLine="644"/>
        <w:spacing w:after="0" w:line="357" w:lineRule="auto"/>
        <w:tabs>
          <w:tab w:leader="none" w:pos="12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sz w:val="20"/>
          <w:szCs w:val="20"/>
          <w:color w:val="auto"/>
        </w:rPr>
      </w:pPr>
    </w:p>
    <w:p>
      <w:pPr>
        <w:ind w:right="240" w:firstLine="644"/>
        <w:spacing w:after="0" w:line="447" w:lineRule="auto"/>
        <w:tabs>
          <w:tab w:leader="none" w:pos="1293"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right="620" w:firstLine="644"/>
        <w:spacing w:after="0" w:line="293" w:lineRule="auto"/>
        <w:tabs>
          <w:tab w:leader="none" w:pos="129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4080" w:val="left"/>
          <w:tab w:leader="none" w:pos="512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J.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14605</wp:posOffset>
            </wp:positionV>
            <wp:extent cx="39344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3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Kelly J. Kennedy</w:t>
      </w:r>
    </w:p>
    <w:p>
      <w:pPr>
        <w:spacing w:after="0" w:line="1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Chief Financial Officer</w:t>
      </w:r>
    </w:p>
    <w:p>
      <w:pPr>
        <w:spacing w:after="0" w:line="20"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Financial Officer and Accounting Officer)</w:t>
      </w:r>
    </w:p>
    <w:p>
      <w:pPr>
        <w:sectPr>
          <w:pgSz w:w="11900" w:h="16838" w:orient="portrait"/>
          <w:cols w:equalWidth="0" w:num="1">
            <w:col w:w="10260"/>
          </w:cols>
          <w:pgMar w:left="980" w:top="1417" w:right="659" w:bottom="1440" w:gutter="0" w:footer="0" w:header="0"/>
        </w:sectPr>
      </w:pPr>
    </w:p>
    <w:bookmarkStart w:id="47" w:name="page48"/>
    <w:bookmarkEnd w:id="47"/>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connection with the Quarterly Report on Form 10-Q of The Honest Company, Inc. (the “Company”) for the period ended June 30, 2021 as filed with the Securities and Exchange Commission on the date hereof (the “Report”), I, Nikolaos Vlahos, Chief Executive Officer of the Company, certify, pursuant to 18 U.S.C. § 1350, as adopted pursuant to § 906 of the Sarbanes-Oxley Act of 2002, that, to the best of my knowledge:</w:t>
      </w:r>
    </w:p>
    <w:p>
      <w:pPr>
        <w:spacing w:after="0" w:line="192" w:lineRule="exact"/>
        <w:rPr>
          <w:sz w:val="20"/>
          <w:szCs w:val="20"/>
          <w:color w:val="auto"/>
        </w:rPr>
      </w:pPr>
    </w:p>
    <w:p>
      <w:pPr>
        <w:ind w:left="560" w:right="400" w:hanging="504"/>
        <w:spacing w:after="0" w:line="277" w:lineRule="auto"/>
        <w:tabs>
          <w:tab w:leader="none" w:pos="5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197" w:lineRule="exact"/>
        <w:rPr>
          <w:rFonts w:ascii="Arial" w:cs="Arial" w:eastAsia="Arial" w:hAnsi="Arial"/>
          <w:sz w:val="18"/>
          <w:szCs w:val="18"/>
          <w:color w:val="auto"/>
        </w:rPr>
      </w:pPr>
    </w:p>
    <w:p>
      <w:pPr>
        <w:ind w:left="560" w:hanging="504"/>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4800" w:val="left"/>
          <w:tab w:leader="none" w:pos="550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Nikolaos Vlahos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14605</wp:posOffset>
            </wp:positionV>
            <wp:extent cx="39001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6" w:lineRule="exact"/>
        <w:rPr>
          <w:sz w:val="20"/>
          <w:szCs w:val="20"/>
          <w:color w:val="auto"/>
        </w:rPr>
      </w:pPr>
    </w:p>
    <w:p>
      <w:pPr>
        <w:jc w:val="center"/>
        <w:ind w:left="5080"/>
        <w:spacing w:after="0"/>
        <w:rPr>
          <w:sz w:val="20"/>
          <w:szCs w:val="20"/>
          <w:color w:val="auto"/>
        </w:rPr>
      </w:pPr>
      <w:r>
        <w:rPr>
          <w:rFonts w:ascii="Arial" w:cs="Arial" w:eastAsia="Arial" w:hAnsi="Arial"/>
          <w:sz w:val="18"/>
          <w:szCs w:val="18"/>
          <w:color w:val="auto"/>
        </w:rPr>
        <w:t>Nikolaos Vlahos</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p>
    <w:p>
      <w:pPr>
        <w:spacing w:after="0" w:line="264"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Quarterly Report on Form 10-Q of The Honest Company, Inc. (the “Company”) for the period ended June 30, 2021 as filed with the Securities and Exchange Commission on the date hereof (the “Report”), I, Kelly J. Kennedy, Chief Financial Officer of the Company, certify, pursuant to 18 U.S.C. § 1350, as adopted pursuant to § 906 of the Sarbanes-Oxley Act of 2002, that, to the best of my knowledge:</w:t>
      </w:r>
    </w:p>
    <w:p>
      <w:pPr>
        <w:spacing w:after="0" w:line="192" w:lineRule="exact"/>
        <w:rPr>
          <w:sz w:val="20"/>
          <w:szCs w:val="20"/>
          <w:color w:val="auto"/>
        </w:rPr>
      </w:pPr>
    </w:p>
    <w:p>
      <w:pPr>
        <w:ind w:left="560" w:right="280" w:hanging="504"/>
        <w:spacing w:after="0" w:line="277" w:lineRule="auto"/>
        <w:tabs>
          <w:tab w:leader="none" w:pos="5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197" w:lineRule="exact"/>
        <w:rPr>
          <w:rFonts w:ascii="Arial" w:cs="Arial" w:eastAsia="Arial" w:hAnsi="Arial"/>
          <w:sz w:val="18"/>
          <w:szCs w:val="18"/>
          <w:color w:val="auto"/>
        </w:rPr>
      </w:pPr>
    </w:p>
    <w:p>
      <w:pPr>
        <w:ind w:left="560" w:hanging="504"/>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6160" w:val="left"/>
          <w:tab w:leader="none" w:pos="686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J.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14605</wp:posOffset>
            </wp:positionV>
            <wp:extent cx="30175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0"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Kelly J. Kennedy</w:t>
      </w:r>
    </w:p>
    <w:p>
      <w:pPr>
        <w:spacing w:after="0" w:line="23"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Executive Vice President, Chief Financial Officer</w:t>
      </w:r>
    </w:p>
    <w:p>
      <w:pPr>
        <w:spacing w:after="0" w:line="35" w:lineRule="exact"/>
        <w:rPr>
          <w:sz w:val="20"/>
          <w:szCs w:val="20"/>
          <w:color w:val="auto"/>
        </w:rPr>
      </w:pPr>
    </w:p>
    <w:p>
      <w:pPr>
        <w:ind w:left="6920"/>
        <w:spacing w:after="0"/>
        <w:rPr>
          <w:sz w:val="20"/>
          <w:szCs w:val="20"/>
          <w:color w:val="auto"/>
        </w:rPr>
      </w:pPr>
      <w:r>
        <w:rPr>
          <w:rFonts w:ascii="Arial" w:cs="Arial" w:eastAsia="Arial" w:hAnsi="Arial"/>
          <w:sz w:val="18"/>
          <w:szCs w:val="18"/>
          <w:i w:val="1"/>
          <w:iCs w:val="1"/>
          <w:color w:val="auto"/>
        </w:rPr>
        <w:t>(Principal Financial Officer and Accounting Officer)</w:t>
      </w:r>
    </w:p>
    <w:p>
      <w:pPr>
        <w:spacing w:after="0" w:line="200" w:lineRule="exact"/>
        <w:rPr>
          <w:sz w:val="20"/>
          <w:szCs w:val="20"/>
          <w:color w:val="auto"/>
        </w:rPr>
      </w:pPr>
    </w:p>
    <w:p>
      <w:pPr>
        <w:spacing w:after="0" w:line="28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6"/>
    </w:lvl>
  </w:abstractNum>
  <w:abstractNum w:abstractNumId="9">
    <w:nsid w:val="628C895D"/>
    <w:multiLevelType w:val="hybridMultilevel"/>
    <w:lvl w:ilvl="0">
      <w:lvlJc w:val="left"/>
      <w:lvlText w:val="%1."/>
      <w:numFmt w:val="decimal"/>
      <w:start w:val="8"/>
    </w:lvl>
  </w:abstractNum>
  <w:abstractNum w:abstractNumId="10">
    <w:nsid w:val="333AB105"/>
    <w:multiLevelType w:val="hybridMultilevel"/>
    <w:lvl w:ilvl="0">
      <w:lvlJc w:val="left"/>
      <w:lvlText w:val="%1."/>
      <w:numFmt w:val="decimal"/>
      <w:start w:val="9"/>
    </w:lvl>
  </w:abstractNum>
  <w:abstractNum w:abstractNumId="11">
    <w:nsid w:val="721DA317"/>
    <w:multiLevelType w:val="hybridMultilevel"/>
    <w:lvl w:ilvl="0">
      <w:lvlJc w:val="left"/>
      <w:lvlText w:val="%1."/>
      <w:numFmt w:val="decimal"/>
      <w:start w:val="10"/>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1"/>
    </w:lvl>
  </w:abstractNum>
  <w:abstractNum w:abstractNumId="15">
    <w:nsid w:val="75A2A8D4"/>
    <w:multiLevelType w:val="hybridMultilevel"/>
    <w:lvl w:ilvl="0">
      <w:lvlJc w:val="left"/>
      <w:lvlText w:val="%1."/>
      <w:numFmt w:val="decimal"/>
      <w:start w:val="12"/>
    </w:lvl>
  </w:abstractNum>
  <w:abstractNum w:abstractNumId="16">
    <w:nsid w:val="8EDBDAB"/>
    <w:multiLevelType w:val="hybridMultilevel"/>
    <w:lvl w:ilvl="0">
      <w:lvlJc w:val="left"/>
      <w:lvlText w:val="%1."/>
      <w:numFmt w:val="decimal"/>
      <w:start w:val="13"/>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3"/>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lvl w:ilvl="1">
      <w:lvlJc w:val="left"/>
      <w:lvlText w:val="%2."/>
      <w:numFmt w:val="decimal"/>
      <w:start w:val="3"/>
    </w:lvl>
    <w:lvl w:ilvl="2">
      <w:lvlJc w:val="left"/>
      <w:lvlText w:val="%3."/>
      <w:numFmt w:val="decimal"/>
      <w:start w:val="4"/>
    </w:lvl>
  </w:abstractNum>
  <w:abstractNum w:abstractNumId="25">
    <w:nsid w:val="2901D82"/>
    <w:multiLevelType w:val="hybridMultilevel"/>
    <w:lvl w:ilvl="0">
      <w:lvlJc w:val="left"/>
      <w:lvlText w:val="%1."/>
      <w:numFmt w:val="decimal"/>
      <w:start w:val="1"/>
    </w:lvl>
    <w:lvl w:ilvl="1">
      <w:lvlJc w:val="left"/>
      <w:lvlText w:val="(%2)"/>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50" Type="http://schemas.openxmlformats.org/officeDocument/2006/relationships/hyperlink" Target="https://www.sec.gov/Archives/edgar/data/0001530979/000119312521157761/d488865dex31.htm" TargetMode="External"/><Relationship Id="rId51" Type="http://schemas.openxmlformats.org/officeDocument/2006/relationships/hyperlink" Target="https://www.sec.gov/Archives/edgar/data/0001530979/000119312521157761/d488865dex32.htm" TargetMode="External"/><Relationship Id="rId52" Type="http://schemas.openxmlformats.org/officeDocument/2006/relationships/hyperlink" Target="https://www.sec.gov/Archives/edgar/data/0001530979/000119312521121653/d27841dex103.htm" TargetMode="External"/><Relationship Id="rId53" Type="http://schemas.openxmlformats.org/officeDocument/2006/relationships/hyperlink" Target="https://www.sec.gov/Archives/edgar/data/0001530979/000119312521121653/d27841dex104.htm" TargetMode="External"/><Relationship Id="rId54" Type="http://schemas.openxmlformats.org/officeDocument/2006/relationships/hyperlink" Target="https://www.sec.gov/Archives/edgar/data/0001530979/000119312521121653/d27841dex105.htm" TargetMode="External"/><Relationship Id="rId55" Type="http://schemas.openxmlformats.org/officeDocument/2006/relationships/hyperlink" Target="https://www.sec.gov/Archives/edgar/data/0001530979/000119312521121653/d27841dex106.htm" TargetMode="External"/><Relationship Id="rId56" Type="http://schemas.openxmlformats.org/officeDocument/2006/relationships/hyperlink" Target="https://www.sec.gov/Archives/edgar/data/0001530979/000119312521130292/d27841dex107.htm" TargetMode="External"/><Relationship Id="rId57" Type="http://schemas.openxmlformats.org/officeDocument/2006/relationships/hyperlink" Target="https://www.sec.gov/Archives/edgar/data/0001530979/000119312521130292/d27841dex108.htm" TargetMode="External"/><Relationship Id="rId58" Type="http://schemas.openxmlformats.org/officeDocument/2006/relationships/hyperlink" Target="https://www.sec.gov/Archives/edgar/data/0001530979/000119312521130292/d27841dex109.htm" TargetMode="External"/><Relationship Id="rId59" Type="http://schemas.openxmlformats.org/officeDocument/2006/relationships/hyperlink" Target="https://www.sec.gov/Archives/edgar/data/0001530979/000119312521130292/d27841dex1010.htm" TargetMode="External"/><Relationship Id="rId60" Type="http://schemas.openxmlformats.org/officeDocument/2006/relationships/hyperlink" Target="https://www.sec.gov/Archives/edgar/data/0001530979/000119312521130292/d27841dex1011.htm" TargetMode="External"/><Relationship Id="rId61" Type="http://schemas.openxmlformats.org/officeDocument/2006/relationships/hyperlink" Target="https://www.sec.gov/Archives/edgar/data/0001530979/000119312521130292/d27841dex1012.htm" TargetMode="External"/><Relationship Id="rId62" Type="http://schemas.openxmlformats.org/officeDocument/2006/relationships/hyperlink" Target="https://www.sec.gov/Archives/edgar/data/0001530979/000119312521130292/d27841dex1013.htm" TargetMode="External"/><Relationship Id="rId63" Type="http://schemas.openxmlformats.org/officeDocument/2006/relationships/hyperlink" Target="https://www.sec.gov/Archives/edgar/data/0001530979/000119312521130292/d27841dex1014.htm" TargetMode="External"/><Relationship Id="rId64" Type="http://schemas.openxmlformats.org/officeDocument/2006/relationships/hyperlink" Target="https://www.sec.gov/Archives/edgar/data/0001530979/000119312521130292/d27841dex1015.htm" TargetMode="External"/><Relationship Id="rId67" Type="http://schemas.openxmlformats.org/officeDocument/2006/relationships/hyperlink" Target="https://www.sec.gov/Archives/edgar/data/0001530979/000119312521130292/d27841dex1016.htm" TargetMode="External"/><Relationship Id="rId68" Type="http://schemas.openxmlformats.org/officeDocument/2006/relationships/hyperlink" Target="https://www.sec.gov/Archives/edgar/data/1530979/000153097921000010/honestcoq1-21exhibit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2021-08-13T07:49:24Z</dcterms:created>
  <dcterms:modified xsi:type="dcterms:W3CDTF">2021-08-13T07:49:24Z</dcterms:modified>
</cp:coreProperties>
</file>