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before="0" w:after="0"/>
        <w:jc w:val="left"/>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before="0" w:after="0"/>
        <w:jc w:val="left"/>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before="0" w:after="0"/>
        <w:jc w:val="center"/>
        <w:rPr/>
      </w:pPr>
      <w:r>
        <w:rPr/>
      </w:r>
    </w:p>
    <w:p>
      <w:pPr>
        <w:pStyle w:val="TextBody"/>
        <w:bidi w:val="0"/>
        <w:spacing w:lineRule="auto" w:line="192"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QUARTERLY REPORT PURSUANT TO SECTION 13 OR 15(d) OF THE SECURITIES EXCHANGE ACT OF 1934 </w:t>
            </w:r>
          </w:p>
        </w:tc>
      </w:tr>
    </w:tbl>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192" w:before="0" w:after="0"/>
        <w:jc w:val="center"/>
        <w:rPr/>
      </w:pPr>
      <w:r>
        <w:rPr>
          <w:rFonts w:ascii="Times New Roman;sans-serif" w:hAnsi="Times New Roman;sans-serif"/>
          <w:b/>
          <w:color w:val="000000"/>
          <w:sz w:val="20"/>
        </w:rPr>
        <w:t>For the transition period from</w:t>
      </w:r>
      <w:r>
        <w:rPr>
          <w:color w:val="000000"/>
        </w:rPr>
        <w:t>    </w:t>
      </w:r>
      <w:r>
        <w:rPr>
          <w:rFonts w:ascii="Times New Roman;sans-serif" w:hAnsi="Times New Roman;sans-serif"/>
          <w:b/>
          <w:color w:val="000000"/>
          <w:sz w:val="20"/>
        </w:rPr>
        <w:t>to</w:t>
      </w:r>
    </w:p>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001-40378</w:t>
      </w:r>
    </w:p>
    <w:p>
      <w:pPr>
        <w:pStyle w:val="TextBody"/>
        <w:bidi w:val="0"/>
        <w:spacing w:before="0" w:after="0"/>
        <w:jc w:val="center"/>
        <w:rPr/>
      </w:pPr>
      <w:r>
        <w:rPr/>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00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71475"/>
                    </a:xfrm>
                    <a:prstGeom prst="rect">
                      <a:avLst/>
                    </a:prstGeom>
                  </pic:spPr>
                </pic:pic>
              </a:graphicData>
            </a:graphic>
          </wp:inline>
        </w:drawing>
      </w:r>
    </w:p>
    <w:p>
      <w:pPr>
        <w:pStyle w:val="TextBody"/>
        <w:bidi w:val="0"/>
        <w:spacing w:lineRule="auto" w:line="192" w:before="0" w:after="0"/>
        <w:jc w:val="center"/>
        <w:rPr>
          <w:rFonts w:ascii="Times New Roman;sans-serif" w:hAnsi="Times New Roman;sans-serif"/>
          <w:b/>
          <w:color w:val="000000"/>
          <w:sz w:val="28"/>
        </w:rPr>
      </w:pPr>
      <w:r>
        <w:rPr>
          <w:rFonts w:ascii="Times New Roman;sans-serif" w:hAnsi="Times New Roman;sans-serif"/>
          <w:b/>
          <w:color w:val="000000"/>
          <w:sz w:val="28"/>
        </w:rPr>
        <w:t>The Honest Company, Inc.</w:t>
      </w:r>
    </w:p>
    <w:p>
      <w:pPr>
        <w:pStyle w:val="TextBody"/>
        <w:bidi w:val="0"/>
        <w:spacing w:before="0" w:after="0"/>
        <w:ind w:left="0" w:right="0" w:firstLine="720"/>
        <w:jc w:val="left"/>
        <w:rPr/>
      </w:pPr>
      <w:r>
        <w:rPr/>
      </w:r>
    </w:p>
    <w:p>
      <w:pPr>
        <w:pStyle w:val="TextBody"/>
        <w:bidi w:val="0"/>
        <w:spacing w:lineRule="auto" w:line="192"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50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90-0750205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12130 Millennium Drive,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Los Angeles,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90094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(888) 862-8818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bl>
    <w:tbl>
      <w:tblPr>
        <w:tblW w:w="9128"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Trading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192"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jc w:val="both"/>
        <w:rPr/>
      </w:pPr>
      <w:r>
        <w:rPr/>
      </w:r>
    </w:p>
    <w:p>
      <w:pPr>
        <w:pStyle w:val="TextBody"/>
        <w:bidi w:val="0"/>
        <w:spacing w:lineRule="auto" w:line="19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bidi w:val="0"/>
        <w:spacing w:before="0" w:after="0"/>
        <w:jc w:val="left"/>
        <w:rPr/>
      </w:pPr>
      <w:r>
        <w:rPr/>
      </w:r>
    </w:p>
    <w:p>
      <w:pPr>
        <w:pStyle w:val="TextBody"/>
        <w:bidi w:val="0"/>
        <w:spacing w:lineRule="auto" w:line="192"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192"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192"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192" w:before="0" w:after="0"/>
        <w:ind w:left="0" w:right="0" w:firstLine="599"/>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3, 2023, the registrant had 95,469,322 shares of common stock, $0.0001 par value per share outstanding.</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1"/>
        <w:gridCol w:w="273"/>
        <w:gridCol w:w="275"/>
        <w:gridCol w:w="2909"/>
        <w:gridCol w:w="2909"/>
        <w:gridCol w:w="2914"/>
        <w:gridCol w:w="178"/>
        <w:gridCol w:w="178"/>
        <w:gridCol w:w="25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Page </w:t>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3">
              <w:r>
                <w:rPr>
                  <w:rStyle w:val="InternetLink"/>
                  <w:rFonts w:ascii="Times New Roman;sans-serif" w:hAnsi="Times New Roman;sans-serif"/>
                  <w:b w:val="false"/>
                  <w:strike w:val="false"/>
                  <w:dstrike w:val="false"/>
                  <w:color w:val="000000"/>
                  <w:sz w:val="20"/>
                  <w:u w:val="none"/>
                  <w:effect w:val="none"/>
                </w:rPr>
                <w:t>FINANCIAL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3">
              <w:r>
                <w:rPr>
                  <w:rStyle w:val="InternetLink"/>
                  <w:rFonts w:ascii="Times New Roman;sans-serif" w:hAnsi="Times New Roman;sans-serif"/>
                  <w:b w:val="false"/>
                  <w:color w:val="0000FF"/>
                  <w:sz w:val="20"/>
                  <w:u w:val="single"/>
                </w:rPr>
                <w:t>3</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6">
              <w:r>
                <w:rPr>
                  <w:rStyle w:val="InternetLink"/>
                  <w:rFonts w:ascii="Times New Roman;sans-serif" w:hAnsi="Times New Roman;sans-serif"/>
                  <w:b w:val="false"/>
                  <w:strike w:val="false"/>
                  <w:dstrike w:val="false"/>
                  <w:color w:val="000000"/>
                  <w:sz w:val="20"/>
                  <w:u w:val="none"/>
                  <w:effect w:val="none"/>
                </w:rPr>
                <w:t>Condensed Consolidated Financial Statements (Unaudited)</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6">
              <w:r>
                <w:rPr>
                  <w:rStyle w:val="InternetLink"/>
                  <w:rFonts w:ascii="Times New Roman;sans-serif" w:hAnsi="Times New Roman;sans-serif"/>
                  <w:b w:val="false"/>
                  <w:color w:val="0000FF"/>
                  <w:sz w:val="20"/>
                  <w:u w:val="single"/>
                </w:rPr>
                <w:t>3</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9">
              <w:r>
                <w:rPr>
                  <w:rStyle w:val="InternetLink"/>
                  <w:rFonts w:ascii="Times New Roman;sans-serif" w:hAnsi="Times New Roman;sans-serif"/>
                  <w:b w:val="false"/>
                  <w:strike w:val="false"/>
                  <w:dstrike w:val="false"/>
                  <w:color w:val="000000"/>
                  <w:sz w:val="20"/>
                  <w:u w:val="none"/>
                  <w:effect w:val="none"/>
                </w:rPr>
                <w:t xml:space="preserve">Condensed Consolidated Balance Sheets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9">
              <w:r>
                <w:rPr>
                  <w:rStyle w:val="InternetLink"/>
                  <w:rFonts w:ascii="Times New Roman;sans-serif" w:hAnsi="Times New Roman;sans-serif"/>
                  <w:b w:val="false"/>
                  <w:color w:val="0000FF"/>
                  <w:sz w:val="20"/>
                  <w:u w:val="single"/>
                </w:rPr>
                <w:t>3</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22">
              <w:r>
                <w:rPr>
                  <w:rStyle w:val="InternetLink"/>
                  <w:rFonts w:ascii="Times New Roman;sans-serif" w:hAnsi="Times New Roman;sans-serif"/>
                  <w:b w:val="false"/>
                  <w:strike w:val="false"/>
                  <w:dstrike w:val="false"/>
                  <w:color w:val="000000"/>
                  <w:sz w:val="20"/>
                  <w:u w:val="none"/>
                  <w:effect w:val="none"/>
                </w:rPr>
                <w:t xml:space="preserve">Condensed Consolidated Statements of Comprehensive Loss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22">
              <w:r>
                <w:rPr>
                  <w:rStyle w:val="InternetLink"/>
                  <w:rFonts w:ascii="Times New Roman;sans-serif" w:hAnsi="Times New Roman;sans-serif"/>
                  <w:b w:val="false"/>
                  <w:color w:val="0000FF"/>
                  <w:sz w:val="20"/>
                  <w:u w:val="single"/>
                </w:rPr>
                <w:t>4</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25">
              <w:r>
                <w:rPr>
                  <w:rStyle w:val="InternetLink"/>
                  <w:rFonts w:ascii="Times New Roman;sans-serif" w:hAnsi="Times New Roman;sans-serif"/>
                  <w:b w:val="false"/>
                  <w:strike w:val="false"/>
                  <w:dstrike w:val="false"/>
                  <w:color w:val="000080"/>
                  <w:sz w:val="20"/>
                  <w:u w:val="single"/>
                  <w:effect w:val="none"/>
                </w:rPr>
                <w:t xml:space="preserve">Condensed Consolidated Statements of Redeemable Convertible Preferred Stock and Stockholders’ </w:t>
              </w:r>
            </w:hyperlink>
            <w:hyperlink w:anchor="ie0ddb6c391c64a13a05953f76f6cfed7_25">
              <w:r>
                <w:rPr>
                  <w:rStyle w:val="InternetLink"/>
                  <w:rFonts w:ascii="Times New Roman;sans-serif" w:hAnsi="Times New Roman;sans-serif"/>
                  <w:b w:val="false"/>
                  <w:strike w:val="false"/>
                  <w:dstrike w:val="false"/>
                  <w:color w:val="000080"/>
                  <w:sz w:val="20"/>
                  <w:u w:val="single"/>
                  <w:effect w:val="none"/>
                </w:rPr>
                <w:t>Equity (</w:t>
              </w:r>
            </w:hyperlink>
            <w:hyperlink w:anchor="ie0ddb6c391c64a13a05953f76f6cfed7_25">
              <w:r>
                <w:rPr>
                  <w:rStyle w:val="InternetLink"/>
                  <w:rFonts w:ascii="Times New Roman;sans-serif" w:hAnsi="Times New Roman;sans-serif"/>
                  <w:b w:val="false"/>
                  <w:strike w:val="false"/>
                  <w:dstrike w:val="false"/>
                  <w:color w:val="000080"/>
                  <w:sz w:val="20"/>
                  <w:u w:val="single"/>
                  <w:effect w:val="none"/>
                </w:rPr>
                <w:t>Deficit</w:t>
              </w:r>
            </w:hyperlink>
            <w:hyperlink w:anchor="ie0ddb6c391c64a13a05953f76f6cfed7_25">
              <w:r>
                <w:rPr>
                  <w:rStyle w:val="InternetLink"/>
                  <w:rFonts w:ascii="Times New Roman;sans-serif" w:hAnsi="Times New Roman;sans-serif"/>
                  <w:b w:val="false"/>
                  <w:strike w:val="false"/>
                  <w:dstrike w:val="false"/>
                  <w:color w:val="000080"/>
                  <w:sz w:val="20"/>
                  <w:u w:val="single"/>
                  <w:effect w:val="none"/>
                </w:rPr>
                <w:t>)</w:t>
              </w:r>
            </w:hyperlink>
            <w:hyperlink w:anchor="ie0ddb6c391c64a13a05953f76f6cfed7_25">
              <w:r>
                <w:rPr>
                  <w:rStyle w:val="InternetLink"/>
                  <w:rFonts w:ascii="Times New Roman;sans-serif" w:hAnsi="Times New Roman;sans-serif"/>
                  <w:b w:val="false"/>
                  <w:strike w:val="false"/>
                  <w:dstrike w:val="false"/>
                  <w:color w:val="000080"/>
                  <w:sz w:val="20"/>
                  <w:u w:val="single"/>
                  <w:effect w:val="none"/>
                </w:rPr>
                <w:t xml:space="preserve">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25">
              <w:r>
                <w:rPr>
                  <w:rStyle w:val="InternetLink"/>
                  <w:rFonts w:ascii="Times New Roman;sans-serif" w:hAnsi="Times New Roman;sans-serif"/>
                  <w:b w:val="false"/>
                  <w:color w:val="0000FF"/>
                  <w:sz w:val="20"/>
                  <w:u w:val="single"/>
                </w:rPr>
                <w:t>5</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31">
              <w:r>
                <w:rPr>
                  <w:rStyle w:val="InternetLink"/>
                  <w:rFonts w:ascii="Times New Roman;sans-serif" w:hAnsi="Times New Roman;sans-serif"/>
                  <w:b w:val="false"/>
                  <w:strike w:val="false"/>
                  <w:dstrike w:val="false"/>
                  <w:color w:val="000080"/>
                  <w:sz w:val="20"/>
                  <w:u w:val="single"/>
                  <w:effect w:val="none"/>
                </w:rPr>
                <w:t>Condensed</w:t>
              </w:r>
            </w:hyperlink>
            <w:hyperlink w:anchor="ie0ddb6c391c64a13a05953f76f6cfed7_31">
              <w:r>
                <w:rPr>
                  <w:rStyle w:val="InternetLink"/>
                  <w:rFonts w:ascii="Times New Roman;sans-serif" w:hAnsi="Times New Roman;sans-serif"/>
                  <w:b w:val="false"/>
                  <w:strike w:val="false"/>
                  <w:dstrike w:val="false"/>
                  <w:color w:val="000080"/>
                  <w:sz w:val="20"/>
                  <w:u w:val="single"/>
                  <w:effect w:val="none"/>
                </w:rPr>
                <w:t xml:space="preserve"> Consolidated Statements of Cash Flows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31">
              <w:r>
                <w:rPr>
                  <w:rStyle w:val="InternetLink"/>
                  <w:rFonts w:ascii="Times New Roman;sans-serif" w:hAnsi="Times New Roman;sans-serif"/>
                  <w:b w:val="false"/>
                  <w:color w:val="0000FF"/>
                  <w:sz w:val="20"/>
                  <w:u w:val="single"/>
                </w:rPr>
                <w:t>7</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34">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34">
              <w:r>
                <w:rPr>
                  <w:rStyle w:val="InternetLink"/>
                  <w:rFonts w:ascii="Times New Roman;sans-serif" w:hAnsi="Times New Roman;sans-serif"/>
                  <w:b w:val="false"/>
                  <w:color w:val="0000FF"/>
                  <w:sz w:val="20"/>
                  <w:u w:val="single"/>
                </w:rPr>
                <w:t>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97">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97">
              <w:r>
                <w:rPr>
                  <w:rStyle w:val="InternetLink"/>
                  <w:rFonts w:ascii="Times New Roman;sans-serif" w:hAnsi="Times New Roman;sans-serif"/>
                  <w:b w:val="false"/>
                  <w:color w:val="0000FF"/>
                  <w:sz w:val="20"/>
                  <w:u w:val="single"/>
                </w:rPr>
                <w:t>19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03">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03">
              <w:r>
                <w:rPr>
                  <w:rStyle w:val="InternetLink"/>
                  <w:rFonts w:ascii="Times New Roman;sans-serif" w:hAnsi="Times New Roman;sans-serif"/>
                  <w:b w:val="false"/>
                  <w:color w:val="0000FF"/>
                  <w:sz w:val="20"/>
                  <w:u w:val="single"/>
                </w:rPr>
                <w:t>35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09">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09">
              <w:r>
                <w:rPr>
                  <w:rStyle w:val="InternetLink"/>
                  <w:rFonts w:ascii="Times New Roman;sans-serif" w:hAnsi="Times New Roman;sans-serif"/>
                  <w:b w:val="false"/>
                  <w:color w:val="0000FF"/>
                  <w:sz w:val="20"/>
                  <w:u w:val="single"/>
                </w:rPr>
                <w:t>35</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12">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15">
              <w:r>
                <w:rPr>
                  <w:rStyle w:val="InternetLink"/>
                  <w:rFonts w:ascii="Times New Roman;sans-serif" w:hAnsi="Times New Roman;sans-serif"/>
                  <w:b w:val="false"/>
                  <w:color w:val="0000FF"/>
                  <w:sz w:val="20"/>
                  <w:u w:val="single"/>
                </w:rPr>
                <w:t>36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15">
              <w:r>
                <w:rPr>
                  <w:rStyle w:val="InternetLink"/>
                  <w:rFonts w:ascii="Times New Roman;sans-serif" w:hAnsi="Times New Roman;sans-serif"/>
                  <w:b w:val="false"/>
                  <w:strike w:val="false"/>
                  <w:dstrike w:val="false"/>
                  <w:color w:val="000000"/>
                  <w:sz w:val="20"/>
                  <w:u w:val="none"/>
                  <w:effect w:val="none"/>
                </w:rPr>
                <w:t>Legal Proceedings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15">
              <w:r>
                <w:rPr>
                  <w:rStyle w:val="InternetLink"/>
                  <w:rFonts w:ascii="Times New Roman;sans-serif" w:hAnsi="Times New Roman;sans-serif"/>
                  <w:b w:val="false"/>
                  <w:color w:val="0000FF"/>
                  <w:sz w:val="20"/>
                  <w:u w:val="single"/>
                </w:rPr>
                <w:t>36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18">
              <w:r>
                <w:rPr>
                  <w:rStyle w:val="InternetLink"/>
                  <w:rFonts w:ascii="Times New Roman;sans-serif" w:hAnsi="Times New Roman;sans-serif"/>
                  <w:b w:val="false"/>
                  <w:strike w:val="false"/>
                  <w:dstrike w:val="false"/>
                  <w:color w:val="000000"/>
                  <w:sz w:val="20"/>
                  <w:u w:val="none"/>
                  <w:effect w:val="none"/>
                </w:rPr>
                <w:t>Risk Factors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18">
              <w:r>
                <w:rPr>
                  <w:rStyle w:val="InternetLink"/>
                  <w:rFonts w:ascii="Times New Roman;sans-serif" w:hAnsi="Times New Roman;sans-serif"/>
                  <w:b w:val="false"/>
                  <w:color w:val="0000FF"/>
                  <w:sz w:val="20"/>
                  <w:u w:val="single"/>
                </w:rPr>
                <w:t>36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21">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21">
              <w:r>
                <w:rPr>
                  <w:rStyle w:val="InternetLink"/>
                  <w:rFonts w:ascii="Times New Roman;sans-serif" w:hAnsi="Times New Roman;sans-serif"/>
                  <w:b w:val="false"/>
                  <w:color w:val="0000FF"/>
                  <w:sz w:val="20"/>
                  <w:u w:val="single"/>
                </w:rPr>
                <w:t>39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24">
              <w:r>
                <w:rPr>
                  <w:rStyle w:val="InternetLink"/>
                  <w:rFonts w:ascii="Times New Roman;sans-serif" w:hAnsi="Times New Roman;sans-serif"/>
                  <w:b w:val="false"/>
                  <w:strike w:val="false"/>
                  <w:dstrike w:val="false"/>
                  <w:color w:val="000000"/>
                  <w:sz w:val="20"/>
                  <w:u w:val="none"/>
                  <w:effect w:val="none"/>
                </w:rPr>
                <w:t>Defaults Under Senior Securities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24">
              <w:r>
                <w:rPr>
                  <w:rStyle w:val="InternetLink"/>
                  <w:rFonts w:ascii="Times New Roman;sans-serif" w:hAnsi="Times New Roman;sans-serif"/>
                  <w:b w:val="false"/>
                  <w:color w:val="0000FF"/>
                  <w:sz w:val="20"/>
                  <w:u w:val="single"/>
                </w:rPr>
                <w:t>39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27">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27">
              <w:r>
                <w:rPr>
                  <w:rStyle w:val="InternetLink"/>
                  <w:rFonts w:ascii="Times New Roman;sans-serif" w:hAnsi="Times New Roman;sans-serif"/>
                  <w:b w:val="false"/>
                  <w:color w:val="0000FF"/>
                  <w:sz w:val="20"/>
                  <w:u w:val="single"/>
                </w:rPr>
                <w:t>40</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30">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30">
              <w:r>
                <w:rPr>
                  <w:rStyle w:val="InternetLink"/>
                  <w:rFonts w:ascii="Times New Roman;sans-serif" w:hAnsi="Times New Roman;sans-serif"/>
                  <w:b w:val="false"/>
                  <w:color w:val="0000FF"/>
                  <w:sz w:val="20"/>
                  <w:u w:val="single"/>
                </w:rPr>
                <w:t>40</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33">
              <w:r>
                <w:rPr>
                  <w:rStyle w:val="InternetLink"/>
                  <w:rFonts w:ascii="Times New Roman;sans-serif" w:hAnsi="Times New Roman;sans-serif"/>
                  <w:b w:val="false"/>
                  <w:strike w:val="false"/>
                  <w:dstrike w:val="false"/>
                  <w:color w:val="000000"/>
                  <w:sz w:val="20"/>
                  <w:u w:val="none"/>
                  <w:effect w:val="none"/>
                </w:rPr>
                <w:t>Exhibits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33">
              <w:r>
                <w:rPr>
                  <w:rStyle w:val="InternetLink"/>
                  <w:rFonts w:ascii="Times New Roman;sans-serif" w:hAnsi="Times New Roman;sans-serif"/>
                  <w:b w:val="false"/>
                  <w:color w:val="0000FF"/>
                  <w:sz w:val="20"/>
                  <w:u w:val="single"/>
                </w:rPr>
                <w:t>41</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0ddb6c391c64a13a05953f76f6cfed7_136">
              <w:r>
                <w:rPr>
                  <w:rStyle w:val="InternetLink"/>
                  <w:rFonts w:ascii="Times New Roman;sans-serif" w:hAnsi="Times New Roman;sans-serif"/>
                  <w:b w:val="false"/>
                  <w:strike w:val="false"/>
                  <w:dstrike w:val="false"/>
                  <w:color w:val="000000"/>
                  <w:sz w:val="20"/>
                  <w:u w:val="none"/>
                  <w:effect w:val="none"/>
                </w:rPr>
                <w:t>Signatures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0ddb6c391c64a13a05953f76f6cfed7_136">
              <w:r>
                <w:rPr>
                  <w:rStyle w:val="InternetLink"/>
                  <w:rFonts w:ascii="Times New Roman;sans-serif" w:hAnsi="Times New Roman;sans-serif"/>
                  <w:b w:val="false"/>
                  <w:color w:val="0000FF"/>
                  <w:sz w:val="20"/>
                  <w:u w:val="single"/>
                </w:rPr>
                <w:t>42</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7665"/>
                <wp:effectExtent l="0" t="0" r="0" b="0"/>
                <wp:wrapNone/>
                <wp:docPr id="3" name="Frame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ans-serif" w:hAnsi="Times New Roman;sans-serif"/>
          <w:b w:val="false"/>
          <w:color w:val="000000"/>
          <w:sz w:val="20"/>
          <w:shd w:fill="FFFFFF" w:val="clear"/>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ans-serif" w:hAnsi="Times New Roman;sans-serif"/>
          <w:b w:val="false"/>
          <w:color w:val="000000"/>
          <w:sz w:val="20"/>
        </w:rPr>
        <w:t xml:space="preserve">, those set forth in Part II, Item 1A, “Risk Factors,” if any, and other factors set forth in other parts of this Quarterly Report on Form 10-Q as well as in Part I, Item 1A, “Risk Factors” in our Annual Report on Form 10-K for the fiscal year ended December 31, 2022 (the “Annual Report”), filed with the Securities and Exchange Commission (“SEC”) on March 16, 2023.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expectations regarding our revenue, cost of revenue, operating expenses, gross margin, adjusted EBITDA and other operating results, including as a result of the Transformation Initiative;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expectations regarding the costs, impacts and benefits of the Transformation Initiative;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execute a broad-based Transformation Initiative to strengthen the Company’s cost structure and to enable profitable growth;</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execute the restructuring initiatives to improve margin structure, support a focus on the core of the business, and guide the Company’s allocation of resources to its most critical priorities, including in connection with the Transformation Initiative;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our strategic initiatives and priorities, including the timing, focus and cadence of our marketing, innovation, and distribution and costovation strategies;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offset the high inflationary environment, including commodity prices, labor costs, input cost and transportation cost inflation with price increases, productivity and a growing revenue base;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implement our strategy to deliver sustained long-term growth and profitability, including as part of the Transformation Initiative;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the effect of macroeconomic factors, such as supply chain disruptions and inflation on our business and the global economy, including our costs and expenses and shifting consumer demand between our Digital and Retail channels;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economic conditions, including a potential recession and inflationary pressures and their impact on consumer spending and our operating results;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continued revenue growth and gross margin improvement;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costs and success of our marketing efforts, and our ability to grow brand awareness and maintain, protect and enhance our brand;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drive household penetration and increase market share in our product categories;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investments in innovation and digital capabilities to fuel growth;</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market shift towards clean and natural products and the whitespace opportunity it provides for further market penetration and category growth in the clean and natural segments;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strategies to address the reduction in demand of certain products in our Household and Wellness product category and the related impact on our business, including as a result of the Transformation Initiative;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acquire new consumers and successfully retain existing consumers, including their level of spend with us;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expansion with retail and digital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retain new distribution partners;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bring new products to market and to identify and successfully launch new category adjacencies;</w:t>
      </w:r>
    </w:p>
    <w:p>
      <w:pPr>
        <w:pStyle w:val="TextBody"/>
        <w:bidi w:val="0"/>
        <w:spacing w:lineRule="auto" w:line="268" w:before="0" w:after="0"/>
        <w:ind w:left="0" w:right="0" w:firstLine="360"/>
        <w:jc w:val="left"/>
        <w:rPr/>
      </w:pPr>
      <w:r>
        <w:rPr>
          <w:color w:val="000000"/>
        </w:rPr>
        <w:t>•</w:t>
      </w:r>
      <w:r>
        <w:rPr>
          <w:rFonts w:ascii="Times New Roman;sans-serif" w:hAnsi="Times New Roman;sans-serif"/>
          <w:b w:val="false"/>
          <w:color w:val="000000"/>
          <w:sz w:val="20"/>
        </w:rPr>
        <w:t xml:space="preserve">anticipated trends, growth rates, and challenges in our business and in the markets in which we operate; </w:t>
      </w:r>
    </w:p>
    <w:p>
      <w:pPr>
        <w:pStyle w:val="TextBody"/>
        <w:bidi w:val="0"/>
        <w:spacing w:lineRule="auto" w:line="268" w:before="0" w:after="0"/>
        <w:ind w:left="0" w:right="0" w:firstLine="360"/>
        <w:jc w:val="left"/>
        <w:rPr/>
      </w:pPr>
      <w:r>
        <w:rPr>
          <w:color w:val="000000"/>
        </w:rPr>
        <w:t>•</w:t>
      </w:r>
      <w:r>
        <w:rPr>
          <w:rFonts w:ascii="Times New Roman;sans-serif" w:hAnsi="Times New Roman;sans-serif"/>
          <w:b w:val="false"/>
          <w:color w:val="000000"/>
          <w:sz w:val="20"/>
        </w:rPr>
        <w:t>expectations regarding consumer demand and the timing and amount of orders from key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achieve or sustain our profitability;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practices, commitments and performance related to environmental, social and governance matters;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future investments in our business, our anticipated capital expenditures and our estimates regarding our capital requirements;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offset rising consumer uncertainty and tighter inventory management by retailers;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effectively manage our inventory and maintain sufficient inventory to satisfy customer demands and meet revenue targets;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liquidate excess inventory related to drops in consumer demand for our products, product discontinuations or product restages;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gauge consumer trends and changing consumer preferences;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reliance on key personnel and our ability to identify, recruit and retain skilled personnel;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obtain, maintain, protect and enforce our intellectual property rights and any costs associated therewith;</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our ability to compete effectively with existing competitors and new market entrants;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67665"/>
                <wp:effectExtent l="0" t="0" r="0" b="0"/>
                <wp:wrapNone/>
                <wp:docPr id="4" name="Frame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successfully enter new markets;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identify and complete acquisitions that complement and expand our reach and platform;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seasonality;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financial condition of, and our relationships with, our suppliers, manufacturers, distributors and retailers;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ability of our suppliers and manufacturers to comply with safety, environmental or other laws or regulations;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ability to comply or remain in compliance with laws and regulations that currently apply or become applicable to our business in the United States, such as the U.S. Food and Drug Administration governmental regulation and state regulation, and in other jurisdictions where we elect to do business;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outcome of legal or administrative proceedings; and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growth rates of the markets in which we compete.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68"/>
        <w:gridCol w:w="2254"/>
        <w:gridCol w:w="2176"/>
        <w:gridCol w:w="243"/>
        <w:gridCol w:w="953"/>
        <w:gridCol w:w="125"/>
        <w:gridCol w:w="109"/>
        <w:gridCol w:w="109"/>
        <w:gridCol w:w="109"/>
        <w:gridCol w:w="240"/>
        <w:gridCol w:w="940"/>
        <w:gridCol w:w="179"/>
      </w:tblGrid>
      <w:tr>
        <w:trPr/>
        <w:tc>
          <w:tcPr>
            <w:tcW w:w="2768"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115,664 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149,583 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189,147 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195,538 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240,599 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63,580 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94,239 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 shares authorized at September 30, 2023 and December 31, 2022, none issued or outstanding as of September 30, 2023 and December 31, 2022</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and 150,000,000 shares authorized at September 30, 2023 and December 31, 2022, respectively; 95,562,477 and 92,907,351 shares issued and outstanding as of September 30, 2023 and December 31, 2022, respectively</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586,213 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(480,211)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(439,830)</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146,360 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195,538 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240,599 </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7"/>
        <w:gridCol w:w="1145"/>
        <w:gridCol w:w="1060"/>
        <w:gridCol w:w="309"/>
        <w:gridCol w:w="867"/>
        <w:gridCol w:w="125"/>
        <w:gridCol w:w="125"/>
        <w:gridCol w:w="125"/>
        <w:gridCol w:w="125"/>
        <w:gridCol w:w="309"/>
        <w:gridCol w:w="903"/>
        <w:gridCol w:w="125"/>
        <w:gridCol w:w="109"/>
        <w:gridCol w:w="109"/>
        <w:gridCol w:w="109"/>
        <w:gridCol w:w="265"/>
        <w:gridCol w:w="924"/>
        <w:gridCol w:w="121"/>
        <w:gridCol w:w="121"/>
        <w:gridCol w:w="121"/>
        <w:gridCol w:w="121"/>
        <w:gridCol w:w="265"/>
        <w:gridCol w:w="924"/>
        <w:gridCol w:w="181"/>
      </w:tblGrid>
      <w:tr>
        <w:trPr/>
        <w:tc>
          <w:tcPr>
            <w:tcW w:w="161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254,101 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231,792 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183,796 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69,808 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35,197 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110,342 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106,832 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(37,024)</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(40,306)</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(36,367)</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loss per share attributable to common stockholders: </w:t>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95,179,604 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92,460,987 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94,137,244 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92,020,423 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 net of taxes</w:t>
            </w:r>
          </w:p>
        </w:tc>
        <w:tc>
          <w:tcPr>
            <w:tcW w:w="11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(11,751)</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(40,348)</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(36,469)</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Stock and Stockholders’ Equity (Deficit)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88" w:before="0" w:after="0"/>
        <w:ind w:left="0" w:right="0" w:firstLine="720"/>
        <w:jc w:val="center"/>
        <w:rPr/>
      </w:pPr>
      <w:r>
        <w:rPr>
          <w:rFonts w:ascii="Times New Roman;sans-serif" w:hAnsi="Times New Roman;sans-serif"/>
          <w:b w:val="false"/>
          <w:i/>
          <w:color w:val="000000"/>
          <w:sz w:val="18"/>
        </w:rPr>
        <w:t>(in thousands, except share amounts)</w:t>
      </w:r>
      <w:r>
        <w:rPr>
          <w:color w:val="000000"/>
        </w:rPr>
        <w:t xml:space="preserve"> </w:t>
      </w:r>
    </w:p>
    <w:p>
      <w:pPr>
        <w:pStyle w:val="TextBody"/>
        <w:bidi w:val="0"/>
        <w:spacing w:before="0" w:after="0"/>
        <w:jc w:val="center"/>
        <w:rPr/>
      </w:pPr>
      <w:r>
        <w:rPr/>
      </w:r>
    </w:p>
    <w:tbl>
      <w:tblPr>
        <w:tblW w:w="12726" w:type="dxa"/>
        <w:jc w:val="center"/>
        <w:tblInd w:w="0" w:type="dxa"/>
        <w:tblLayout w:type="fixed"/>
        <w:tblCellMar>
          <w:top w:w="28" w:type="dxa"/>
          <w:left w:w="28" w:type="dxa"/>
          <w:bottom w:w="28" w:type="dxa"/>
          <w:right w:w="28" w:type="dxa"/>
        </w:tblCellMar>
      </w:tblPr>
      <w:tblGrid>
        <w:gridCol w:w="537"/>
        <w:gridCol w:w="406"/>
        <w:gridCol w:w="408"/>
        <w:gridCol w:w="282"/>
        <w:gridCol w:w="282"/>
        <w:gridCol w:w="112"/>
        <w:gridCol w:w="109"/>
        <w:gridCol w:w="109"/>
        <w:gridCol w:w="109"/>
        <w:gridCol w:w="326"/>
        <w:gridCol w:w="406"/>
        <w:gridCol w:w="109"/>
        <w:gridCol w:w="109"/>
        <w:gridCol w:w="109"/>
        <w:gridCol w:w="109"/>
        <w:gridCol w:w="109"/>
        <w:gridCol w:w="109"/>
        <w:gridCol w:w="109"/>
        <w:gridCol w:w="540"/>
        <w:gridCol w:w="541"/>
        <w:gridCol w:w="226"/>
        <w:gridCol w:w="109"/>
        <w:gridCol w:w="109"/>
        <w:gridCol w:w="109"/>
        <w:gridCol w:w="308"/>
        <w:gridCol w:w="373"/>
        <w:gridCol w:w="160"/>
        <w:gridCol w:w="109"/>
        <w:gridCol w:w="109"/>
        <w:gridCol w:w="109"/>
        <w:gridCol w:w="211"/>
        <w:gridCol w:w="826"/>
        <w:gridCol w:w="109"/>
        <w:gridCol w:w="109"/>
        <w:gridCol w:w="109"/>
        <w:gridCol w:w="109"/>
        <w:gridCol w:w="211"/>
        <w:gridCol w:w="896"/>
        <w:gridCol w:w="109"/>
        <w:gridCol w:w="109"/>
        <w:gridCol w:w="109"/>
        <w:gridCol w:w="109"/>
        <w:gridCol w:w="375"/>
        <w:gridCol w:w="856"/>
        <w:gridCol w:w="195"/>
        <w:gridCol w:w="109"/>
        <w:gridCol w:w="109"/>
        <w:gridCol w:w="109"/>
        <w:gridCol w:w="231"/>
        <w:gridCol w:w="905"/>
        <w:gridCol w:w="170"/>
      </w:tblGrid>
      <w:tr>
        <w:trPr/>
        <w:tc>
          <w:tcPr>
            <w:tcW w:w="5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 (Deficit)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5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91,512,140 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179,106 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withheld for tax obligation and net settlement</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842 transition effect</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5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91,572,210 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168,889 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761,394 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withheld for tax obligation and net settlement</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2022</w:t>
            </w:r>
          </w:p>
        </w:tc>
        <w:tc>
          <w:tcPr>
            <w:tcW w:w="5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92,409,276 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(415,449)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162,936 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180,951 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56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92,590,227 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(427,237)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155,085 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Stock and Stockholders’ Equity (Deficit)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88" w:before="0" w:after="0"/>
        <w:ind w:left="0" w:right="0" w:firstLine="720"/>
        <w:jc w:val="center"/>
        <w:rPr/>
      </w:pPr>
      <w:r>
        <w:rPr>
          <w:rFonts w:ascii="Times New Roman;sans-serif" w:hAnsi="Times New Roman;sans-serif"/>
          <w:b w:val="false"/>
          <w:i/>
          <w:color w:val="000000"/>
          <w:sz w:val="18"/>
        </w:rPr>
        <w:t>(in thousands, except share amounts)</w:t>
      </w:r>
      <w:r>
        <w:rPr>
          <w:color w:val="000000"/>
        </w:rPr>
        <w:t xml:space="preserve"> </w:t>
      </w:r>
    </w:p>
    <w:tbl>
      <w:tblPr>
        <w:tblW w:w="12726" w:type="dxa"/>
        <w:jc w:val="center"/>
        <w:tblInd w:w="0" w:type="dxa"/>
        <w:tblLayout w:type="fixed"/>
        <w:tblCellMar>
          <w:top w:w="28" w:type="dxa"/>
          <w:left w:w="28" w:type="dxa"/>
          <w:bottom w:w="28" w:type="dxa"/>
          <w:right w:w="28" w:type="dxa"/>
        </w:tblCellMar>
      </w:tblPr>
      <w:tblGrid>
        <w:gridCol w:w="537"/>
        <w:gridCol w:w="406"/>
        <w:gridCol w:w="408"/>
        <w:gridCol w:w="282"/>
        <w:gridCol w:w="282"/>
        <w:gridCol w:w="112"/>
        <w:gridCol w:w="109"/>
        <w:gridCol w:w="109"/>
        <w:gridCol w:w="109"/>
        <w:gridCol w:w="326"/>
        <w:gridCol w:w="406"/>
        <w:gridCol w:w="109"/>
        <w:gridCol w:w="109"/>
        <w:gridCol w:w="109"/>
        <w:gridCol w:w="109"/>
        <w:gridCol w:w="109"/>
        <w:gridCol w:w="109"/>
        <w:gridCol w:w="109"/>
        <w:gridCol w:w="540"/>
        <w:gridCol w:w="541"/>
        <w:gridCol w:w="226"/>
        <w:gridCol w:w="109"/>
        <w:gridCol w:w="109"/>
        <w:gridCol w:w="109"/>
        <w:gridCol w:w="308"/>
        <w:gridCol w:w="373"/>
        <w:gridCol w:w="160"/>
        <w:gridCol w:w="109"/>
        <w:gridCol w:w="109"/>
        <w:gridCol w:w="109"/>
        <w:gridCol w:w="211"/>
        <w:gridCol w:w="826"/>
        <w:gridCol w:w="109"/>
        <w:gridCol w:w="109"/>
        <w:gridCol w:w="109"/>
        <w:gridCol w:w="109"/>
        <w:gridCol w:w="211"/>
        <w:gridCol w:w="896"/>
        <w:gridCol w:w="109"/>
        <w:gridCol w:w="109"/>
        <w:gridCol w:w="109"/>
        <w:gridCol w:w="109"/>
        <w:gridCol w:w="414"/>
        <w:gridCol w:w="797"/>
        <w:gridCol w:w="215"/>
        <w:gridCol w:w="109"/>
        <w:gridCol w:w="109"/>
        <w:gridCol w:w="109"/>
        <w:gridCol w:w="231"/>
        <w:gridCol w:w="905"/>
        <w:gridCol w:w="170"/>
      </w:tblGrid>
      <w:tr>
        <w:trPr/>
        <w:tc>
          <w:tcPr>
            <w:tcW w:w="5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 (Deficit)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5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92,907,351 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146,360 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549,484 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5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93,456,835 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131,284 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1,532,507 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5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5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95,060,526 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124,400 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w:t>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67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95,562,477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120,009</w:t>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34"/>
        <w:gridCol w:w="2118"/>
        <w:gridCol w:w="2133"/>
        <w:gridCol w:w="286"/>
        <w:gridCol w:w="1073"/>
        <w:gridCol w:w="147"/>
        <w:gridCol w:w="147"/>
        <w:gridCol w:w="147"/>
        <w:gridCol w:w="147"/>
        <w:gridCol w:w="286"/>
        <w:gridCol w:w="1073"/>
        <w:gridCol w:w="214"/>
      </w:tblGrid>
      <w:tr>
        <w:trPr/>
        <w:tc>
          <w:tcPr>
            <w:tcW w:w="2434"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long-term liabilities</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(50,669)</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short-term investments</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38,219 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24,004 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Taxes paid related to net share settlement of equity awards </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2021 ESPP</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 liabilities</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(26,704)</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w:t>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50,791 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23,103 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24,087 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activities</w:t>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included in accounts payable and accrued expenses</w:t>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 percentages and as otherwise indicated)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(the “Company”) was incorporated in the State of California on July 19, 2011 and on May 23, 2012 was re-incorporated in the State of Delaware under the same name. The Company is a digitally-native consumer products company dedicated to creating clean- and sustainably-designed products spanning baby care, beauty, personal care, wellness and household care. The Company sells its products through digital and retail sales channels in the following product categories: Diapers and Wipes, Skin and Personal Care, and Household and Wellness.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2022.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2022 has been derived from the audited financial statements at that date but does not include all of the disclosures required by GAAP.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 owned subsidiaries after elimination of intercompany transactions and balances.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Restructuring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incurs restructuring costs in connection with the exiting of certain products and geographical locations, workforce reductions, and other actions. Such costs include employee termination benefits (one-time arrangements), termination of contractual obligations, non-cash asset charges, including asset impairments, and other direct incremental costs. The Company records employee termination liabilities once they are both probable and estimable for severance provided under the Company’s existing severance policy. Other costs associated with a restructuring initiative, such as consulting and professional fees, product or geographical exit costs, accelerated amortization associated with a restructuring initiative, are recognized in the period in which the liability is incurred. Accrued restructuring costs are recorded within Accrued Expenses in the condensed consolidated balance sheets. Refer to Note 14, "Restructuring" included in these condensed consolidated financial statements for more information on the Company's restructuring initiatives.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Segment Reporting and Geographic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incremental borrowing rates associated with leases, valuation allowances with respect to deferred tax assets, accruals and contingencies, recoverability of non-cash marketing credits, recoverability of goodwill and long-lived assets,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certain accounting matters and estimates that generally require consideration of forecasted information in context with the information reasonably available to the Company as of September 30, 2023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trends within our Household and Wellness product category, consumer demand for sanitizing and disinfecting products decreased over the past few years. As a result, the Company made a decision to exit certain elements of these products during the quarter ended March 31, 2023. Refer to Note 14, "Restructuring" included in these condensed consolidated financial statements for more information on the Company's restructuring initiatives.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is presented as net of allowance for credit losses. The Company does not accrue interest on its trade receivables. On a periodic basis, the Company evaluates accounts receivable estimated to be uncollectible, and provides an allowance for credit losses, as necessary. The Company considers factors in its allowance for accounts receivable such as historical analysis, credit quality of customers, the age of the accounts receivable balances and current macroeconomic conditions that may impact on our customer's ability to pay. The allowance for credit losses was $0.9 million and $0.5 million as of September 30, 2023 and December 31, 2022, respectively.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bidi w:val="0"/>
        <w:spacing w:before="0" w:after="0"/>
        <w:jc w:val="left"/>
        <w:rPr/>
      </w:pPr>
      <w:r>
        <w:rPr/>
      </w:r>
    </w:p>
    <w:p>
      <w:pPr>
        <w:pStyle w:val="TextBody"/>
        <w:bidi w:val="0"/>
        <w:spacing w:lineRule="auto" w:line="268" w:before="0" w:after="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Quoted prices in active markets for identical assets or liabilities. </w:t>
      </w:r>
    </w:p>
    <w:p>
      <w:pPr>
        <w:pStyle w:val="TextBody"/>
        <w:bidi w:val="0"/>
        <w:spacing w:lineRule="auto" w:line="268"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bidi w:val="0"/>
        <w:spacing w:lineRule="auto" w:line="268" w:before="0" w:after="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pStyle w:val="TextBody"/>
        <w:bidi w:val="0"/>
        <w:spacing w:lineRule="auto" w:line="268" w:before="0" w:after="240"/>
        <w:jc w:val="both"/>
        <w:rPr/>
      </w:pPr>
      <w:r>
        <w:rPr>
          <w:rFonts w:ascii="Times New Roman;sans-serif" w:hAnsi="Times New Roman;sans-serif"/>
          <w:b/>
          <w:color w:val="000000"/>
          <w:sz w:val="20"/>
        </w:rPr>
        <w:t>Recent Accounting Pronouncements</w:t>
      </w:r>
      <w:r>
        <w:rPr>
          <w:color w:val="000000"/>
        </w:rPr>
        <w:t xml:space="preserve">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Adopted Accounting Pronouncements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In June 2016, the Financial Accounting Standards Board ("FASB") issued Accounting Standard Update ("ASU") No. 2016-13, </w:t>
      </w:r>
      <w:r>
        <w:rPr>
          <w:rFonts w:ascii="Times New Roman;sans-serif" w:hAnsi="Times New Roman;sans-serif"/>
          <w:b w:val="false"/>
          <w:i/>
          <w:color w:val="000000"/>
          <w:sz w:val="20"/>
        </w:rPr>
        <w:t>Financial Instruments Credit Losses (Accounting Standard Codification 326): Measurement of Credit Losses on Financial Instruments</w:t>
      </w:r>
      <w:r>
        <w:rPr>
          <w:rFonts w:ascii="Times New Roman;sans-serif" w:hAnsi="Times New Roman;sans-serif"/>
          <w:b w:val="false"/>
          <w:color w:val="000000"/>
          <w:sz w:val="20"/>
        </w:rPr>
        <w:t xml:space="preserve">, to amend the accounting for credit losses for certain financial instruments. This guidance replaces the incurred loss impairment methodology with a methodology that reflects expected credit losses. In November 2019, FASB issued ASU No. 2019-10 which delayed the effective dates of the guidance. This guidance is effective for public business entities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meet the definition of an SEC filer, excluding entities eligible to be smaller reporting companies (“SRC”) for fiscal years 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Effective January 1, 2023, the Company adopted this standard, which did not have a material impact on the Company’s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333333"/>
          <w:sz w:val="20"/>
        </w:rPr>
      </w:pPr>
      <w:r>
        <w:rPr>
          <w:rFonts w:ascii="Times New Roman;sans-serif" w:hAnsi="Times New Roman;sans-serif"/>
          <w:b/>
          <w:color w:val="333333"/>
          <w:sz w:val="20"/>
        </w:rPr>
        <w:t xml:space="preserve">3.Revenue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before="0" w:after="0"/>
        <w:jc w:val="left"/>
        <w:rPr/>
      </w:pPr>
      <w:r>
        <w:rPr/>
      </w:r>
    </w:p>
    <w:tbl>
      <w:tblPr>
        <w:tblW w:w="9902" w:type="dxa"/>
        <w:jc w:val="left"/>
        <w:tblInd w:w="0" w:type="dxa"/>
        <w:tblLayout w:type="fixed"/>
        <w:tblCellMar>
          <w:top w:w="28" w:type="dxa"/>
          <w:left w:w="28" w:type="dxa"/>
          <w:bottom w:w="28" w:type="dxa"/>
          <w:right w:w="28" w:type="dxa"/>
        </w:tblCellMar>
      </w:tblPr>
      <w:tblGrid>
        <w:gridCol w:w="840"/>
        <w:gridCol w:w="741"/>
        <w:gridCol w:w="743"/>
        <w:gridCol w:w="319"/>
        <w:gridCol w:w="1091"/>
        <w:gridCol w:w="164"/>
        <w:gridCol w:w="164"/>
        <w:gridCol w:w="164"/>
        <w:gridCol w:w="164"/>
        <w:gridCol w:w="319"/>
        <w:gridCol w:w="1091"/>
        <w:gridCol w:w="164"/>
        <w:gridCol w:w="109"/>
        <w:gridCol w:w="109"/>
        <w:gridCol w:w="109"/>
        <w:gridCol w:w="286"/>
        <w:gridCol w:w="1121"/>
        <w:gridCol w:w="147"/>
        <w:gridCol w:w="147"/>
        <w:gridCol w:w="147"/>
        <w:gridCol w:w="147"/>
        <w:gridCol w:w="286"/>
        <w:gridCol w:w="1121"/>
        <w:gridCol w:w="209"/>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sales channel: </w:t>
            </w:r>
          </w:p>
        </w:tc>
        <w:tc>
          <w:tcPr>
            <w:tcW w:w="3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w:t>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14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125,879 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86,169 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84,580 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254,101 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231,792 </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2" w:type="dxa"/>
        <w:jc w:val="left"/>
        <w:tblInd w:w="0" w:type="dxa"/>
        <w:tblLayout w:type="fixed"/>
        <w:tblCellMar>
          <w:top w:w="28" w:type="dxa"/>
          <w:left w:w="28" w:type="dxa"/>
          <w:bottom w:w="28" w:type="dxa"/>
          <w:right w:w="28" w:type="dxa"/>
        </w:tblCellMar>
      </w:tblPr>
      <w:tblGrid>
        <w:gridCol w:w="949"/>
        <w:gridCol w:w="836"/>
        <w:gridCol w:w="839"/>
        <w:gridCol w:w="319"/>
        <w:gridCol w:w="1091"/>
        <w:gridCol w:w="164"/>
        <w:gridCol w:w="164"/>
        <w:gridCol w:w="164"/>
        <w:gridCol w:w="164"/>
        <w:gridCol w:w="319"/>
        <w:gridCol w:w="1091"/>
        <w:gridCol w:w="164"/>
        <w:gridCol w:w="109"/>
        <w:gridCol w:w="109"/>
        <w:gridCol w:w="109"/>
        <w:gridCol w:w="286"/>
        <w:gridCol w:w="1121"/>
        <w:gridCol w:w="147"/>
        <w:gridCol w:w="147"/>
        <w:gridCol w:w="147"/>
        <w:gridCol w:w="147"/>
        <w:gridCol w:w="286"/>
        <w:gridCol w:w="1121"/>
        <w:gridCol w:w="209"/>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product category: </w:t>
            </w:r>
          </w:p>
        </w:tc>
        <w:tc>
          <w:tcPr>
            <w:tcW w:w="364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Diapers and Wipes</w:t>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Skin and Personal Care</w:t>
            </w:r>
          </w:p>
        </w:tc>
        <w:tc>
          <w:tcPr>
            <w:tcW w:w="14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66,534 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Household and Wellness</w:t>
            </w:r>
          </w:p>
        </w:tc>
        <w:tc>
          <w:tcPr>
            <w:tcW w:w="14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86,169 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84,580 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254,101 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231,792 </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Non-Monetary Transactions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Company has in the past and may in the future enter into trade agreements with a vendor to exchange excess inventory for future marketing and transportation credits.</w:t>
      </w:r>
      <w:r>
        <w:rPr>
          <w:color w:val="000000"/>
        </w:rPr>
        <w:t xml:space="preserve"> </w:t>
      </w:r>
      <w:r>
        <w:rPr>
          <w:rFonts w:ascii="Times New Roman;sans-serif" w:hAnsi="Times New Roman;sans-serif"/>
          <w:b w:val="false"/>
          <w:color w:val="000000"/>
          <w:sz w:val="20"/>
        </w:rPr>
        <w:t xml:space="preserve">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During the nine months ended September 30, 2023, the Company did not enter into any new trade agreements.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For the three and nine months ended September 30, 2023, the Company did not recognize any revenue or associated cost of revenue related to these marketing and transportation credits. For the three and nine months ended September 30, 2022, the Company recognized $1.6 million and $2.9 million, respectively, of revenue and $0.8 million and $1.6 million, respectively, of associated cost of revenue based on the timing of delivery of goods,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During the nine months ended September 30, 2023, the Company recorded no impairment losses related to these credits and used an aggregate of $0.2 million</w:t>
      </w:r>
      <w:r>
        <w:rPr>
          <w:color w:val="000000"/>
        </w:rPr>
        <w:t xml:space="preserve"> </w:t>
      </w:r>
      <w:r>
        <w:rPr>
          <w:rFonts w:ascii="Times New Roman;sans-serif" w:hAnsi="Times New Roman;sans-serif"/>
          <w:b w:val="false"/>
          <w:color w:val="000000"/>
          <w:sz w:val="20"/>
        </w:rPr>
        <w:t xml:space="preserve">of credits.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4.     Investments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Company did not hold any investments in debt securities. As of December 31, 2022, all investments in debt securities were classified as available-for-sale investments. All investments were reported within current assets because the securities represent investments of cash available for current operations. As of December 31, 2022, the Company held $5.7 million of investments with contractual maturities of less than one year. As of December 31, 2022, the Company did not have any investments with contractual maturities between one and two years. Available-for-sale investments are recorded at fair value, and unrealized holding gains and losses are recorded as a component of other comprehensive income (loss).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available-for-sale investments:</w:t>
      </w:r>
    </w:p>
    <w:p>
      <w:pPr>
        <w:pStyle w:val="TextBody"/>
        <w:bidi w:val="0"/>
        <w:spacing w:before="0" w:after="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637"/>
        <w:gridCol w:w="524"/>
        <w:gridCol w:w="525"/>
        <w:gridCol w:w="401"/>
        <w:gridCol w:w="1176"/>
        <w:gridCol w:w="209"/>
        <w:gridCol w:w="109"/>
        <w:gridCol w:w="109"/>
        <w:gridCol w:w="109"/>
        <w:gridCol w:w="527"/>
        <w:gridCol w:w="1016"/>
        <w:gridCol w:w="273"/>
        <w:gridCol w:w="109"/>
        <w:gridCol w:w="109"/>
        <w:gridCol w:w="109"/>
        <w:gridCol w:w="564"/>
        <w:gridCol w:w="1004"/>
        <w:gridCol w:w="292"/>
        <w:gridCol w:w="109"/>
        <w:gridCol w:w="109"/>
        <w:gridCol w:w="109"/>
        <w:gridCol w:w="444"/>
        <w:gridCol w:w="1299"/>
        <w:gridCol w:w="333"/>
      </w:tblGrid>
      <w:tr>
        <w:trPr/>
        <w:tc>
          <w:tcPr>
            <w:tcW w:w="6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Estimated Fair Value</w:t>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0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5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5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investments in debt securities for the three and nine months ended September 30, 2023 and 2022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and recorded at fair value on a recurring basis consist of the following as of:</w:t>
      </w:r>
    </w:p>
    <w:tbl>
      <w:tblPr>
        <w:tblW w:w="6316" w:type="dxa"/>
        <w:jc w:val="left"/>
        <w:tblInd w:w="0" w:type="dxa"/>
        <w:tblLayout w:type="fixed"/>
        <w:tblCellMar>
          <w:top w:w="28" w:type="dxa"/>
          <w:left w:w="28" w:type="dxa"/>
          <w:bottom w:w="28" w:type="dxa"/>
          <w:right w:w="28" w:type="dxa"/>
        </w:tblCellMar>
      </w:tblPr>
      <w:tblGrid>
        <w:gridCol w:w="706"/>
        <w:gridCol w:w="621"/>
        <w:gridCol w:w="623"/>
        <w:gridCol w:w="211"/>
        <w:gridCol w:w="616"/>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117" w:type="dxa"/>
        <w:jc w:val="left"/>
        <w:tblInd w:w="0" w:type="dxa"/>
        <w:tblLayout w:type="fixed"/>
        <w:tblCellMar>
          <w:top w:w="28" w:type="dxa"/>
          <w:left w:w="28" w:type="dxa"/>
          <w:bottom w:w="28" w:type="dxa"/>
          <w:right w:w="28" w:type="dxa"/>
        </w:tblCellMar>
      </w:tblPr>
      <w:tblGrid>
        <w:gridCol w:w="885"/>
        <w:gridCol w:w="778"/>
        <w:gridCol w:w="781"/>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72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for the Company’s cash equivalents, accounts receivable, accounts payable, and accrued expenses approximate fair value due to their short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Credit Facilities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an availability block and certain reserves, if any.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condensed consolidated statements of comprehensive loss. For the three and nine months ended September 30, 2023, the commitment fee incurred was immaterial. As of September 30, 2023, there were $3.9 million outstanding letters of credit and $19.2 million available to be drawn upon.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September 30, 2023, the Company is in compliance with all covenants under the 2023 Credit Facility.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7.     Accrued Expenses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7090" w:type="dxa"/>
        <w:jc w:val="left"/>
        <w:tblInd w:w="0" w:type="dxa"/>
        <w:tblLayout w:type="fixed"/>
        <w:tblCellMar>
          <w:top w:w="28" w:type="dxa"/>
          <w:left w:w="28" w:type="dxa"/>
          <w:bottom w:w="28" w:type="dxa"/>
          <w:right w:w="28" w:type="dxa"/>
        </w:tblCellMar>
      </w:tblPr>
      <w:tblGrid>
        <w:gridCol w:w="1167"/>
        <w:gridCol w:w="1027"/>
        <w:gridCol w:w="1030"/>
        <w:gridCol w:w="358"/>
        <w:gridCol w:w="1226"/>
        <w:gridCol w:w="185"/>
        <w:gridCol w:w="109"/>
        <w:gridCol w:w="109"/>
        <w:gridCol w:w="109"/>
        <w:gridCol w:w="344"/>
        <w:gridCol w:w="1175"/>
        <w:gridCol w:w="251"/>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Payroll and payroll related expenses</w:t>
            </w:r>
            <w:r>
              <w:rPr>
                <w:rFonts w:ascii="Times New Roman;sans-serif" w:hAnsi="Times New Roman;sans-serif"/>
                <w:b w:val="false"/>
                <w:color w:val="000000"/>
                <w:sz w:val="13"/>
              </w:rPr>
              <w:t>(1)</w:t>
            </w:r>
          </w:p>
        </w:tc>
        <w:tc>
          <w:tcPr>
            <w:tcW w:w="3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inventory purchases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returns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Accrued rent</w:t>
            </w:r>
            <w:r>
              <w:rPr>
                <w:rFonts w:ascii="Times New Roman;sans-serif" w:hAnsi="Times New Roman;sans-serif"/>
                <w:b w:val="false"/>
                <w:color w:val="000000"/>
                <w:sz w:val="13"/>
              </w:rPr>
              <w:t>(2)</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Accrued restructuring</w:t>
            </w:r>
            <w:r>
              <w:rPr>
                <w:rFonts w:ascii="Times New Roman;sans-serif" w:hAnsi="Times New Roman;sans-serif"/>
                <w:b w:val="false"/>
                <w:color w:val="000000"/>
                <w:sz w:val="13"/>
              </w:rPr>
              <w:t>(3)</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 Includes $1.7 million and $4.3 million of executive transition related expense as of September 30, 2023 and December 31, 2022, respectively.</w:t>
      </w:r>
    </w:p>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 xml:space="preserve">(2) Represents short-term operating lease liabilities. Refer to Note 13, "Leases" included in these condensed consolidated financial statements for more information on leases.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(3) Refer to Note 14, "Restructuring" included in these condensed consolidated financial statements for more information on the Company's restructuring initiative.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both"/>
        <w:rPr/>
      </w:pP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rPr>
        <w:t>Commitments and Contingencies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Legal costs are expensed as incurred.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The Company intends to vigorously defend itself in this matter. The matter’s outcome and materiality are uncertain at this time. Therefore, the Company cannot estimate the probability of loss or make an estimate of the loss or range of loss in this matter.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Plaintiff has been appointed in the matter, and a putative consolidated class action complaint was filed by the Lead Plaintiff on February 21, 2022.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 dismiss the Second Amended Complaint with respect to the claims against them, and that motion is scheduled for a hearing on December 18, 2023.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pending the outcome of a motion for summary judgment in the securities class action. These matters are in the preliminary stages of litigation with uncertain outcomes at this time. Therefore, the Company cannot estimate the probability of loss or make an estimate of the loss or range of loss in these matters.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On December 6, 2022, the Company's motion to dismiss was denied. The Company’s motion to stay pending the Ninth Circuit Court of Appeals’ review of the Central District of California’s decision in </w:t>
      </w:r>
      <w:r>
        <w:rPr>
          <w:rFonts w:ascii="Times New Roman;sans-serif" w:hAnsi="Times New Roman;sans-serif"/>
          <w:b w:val="false"/>
          <w:i/>
          <w:color w:val="000000"/>
          <w:sz w:val="20"/>
        </w:rPr>
        <w:t xml:space="preserve">Whiteside v. Kimberly-Clark Corp., </w:t>
      </w:r>
      <w:r>
        <w:rPr>
          <w:rFonts w:ascii="Times New Roman;sans-serif" w:hAnsi="Times New Roman;sans-serif"/>
          <w:b w:val="false"/>
          <w:color w:val="000000"/>
          <w:sz w:val="20"/>
        </w:rPr>
        <w:t>No. 5:22-cv-1988 JGB (SPx), 2023 WL 4328175 (C.D. Cal. June 1, 2023) was denied on September 5, 2023. The Company believes this complaint is without merit and intends to vigorously defend itself in this matter. The matter is in the preliminary stages of litigation and its outcome is uncertain at this time. Therefore, the Company cannot estimate the probability of loss or make an estimate of the range of loss in this matter.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Company was not subject to any other currently pending legal matters or claims that based on its current evaluation are expected to have a material adverse effect on its financial position, results of operations, or cash flows should such matters be resolved unfavorably.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September 30, 2023 and December 31, 2022,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9.Stock-Based Compensation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w:t>
      </w:r>
    </w:p>
    <w:p>
      <w:pPr>
        <w:pStyle w:val="TextBody"/>
        <w:bidi w:val="0"/>
        <w:spacing w:before="0" w:after="0"/>
        <w:jc w:val="left"/>
        <w:rPr/>
      </w:pPr>
      <w:r>
        <w:rPr/>
      </w:r>
    </w:p>
    <w:tbl>
      <w:tblPr>
        <w:tblW w:w="8109" w:type="dxa"/>
        <w:jc w:val="left"/>
        <w:tblInd w:w="0" w:type="dxa"/>
        <w:tblLayout w:type="fixed"/>
        <w:tblCellMar>
          <w:top w:w="28" w:type="dxa"/>
          <w:left w:w="28" w:type="dxa"/>
          <w:bottom w:w="28" w:type="dxa"/>
          <w:right w:w="28" w:type="dxa"/>
        </w:tblCellMar>
      </w:tblPr>
      <w:tblGrid>
        <w:gridCol w:w="1113"/>
        <w:gridCol w:w="978"/>
        <w:gridCol w:w="983"/>
        <w:gridCol w:w="569"/>
        <w:gridCol w:w="569"/>
        <w:gridCol w:w="571"/>
        <w:gridCol w:w="109"/>
        <w:gridCol w:w="109"/>
        <w:gridCol w:w="109"/>
        <w:gridCol w:w="721"/>
        <w:gridCol w:w="1748"/>
        <w:gridCol w:w="530"/>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14,888,007 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(1,550,149)</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September 30, 2023</w:t>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13,335,558 </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Company extended the post-termination exercise period for each outstanding stock option held by certain former executives such that the post-termination exercise period will end on the earlier of (i) the original expiration date of the stock option, or (ii) the date that is the 3-year anniversary of certain former executives no longer providing services to the Company. There were no changes to the exercise price or other terms of these stock options, and these stock options were already fully vested prior to the modification. As a result of this modification, we recognized incremental stock-based compensation expense of $0.5 million for the three and nine months ended September 30,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2021 Equity Incentive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2023, 3,713,026 additional shares were reserved for issuance pursuant to this provision. The maximum number of shares of the Company’s common stock that may be issued on the exercise of ISOs under its 2021 Plan is 75,100,000 shares.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w:t>
      </w:r>
    </w:p>
    <w:tbl>
      <w:tblPr>
        <w:tblW w:w="10205" w:type="dxa"/>
        <w:jc w:val="left"/>
        <w:tblInd w:w="0" w:type="dxa"/>
        <w:tblLayout w:type="fixed"/>
        <w:tblCellMar>
          <w:top w:w="28" w:type="dxa"/>
          <w:left w:w="28" w:type="dxa"/>
          <w:bottom w:w="28" w:type="dxa"/>
          <w:right w:w="28" w:type="dxa"/>
        </w:tblCellMar>
      </w:tblPr>
      <w:tblGrid>
        <w:gridCol w:w="852"/>
        <w:gridCol w:w="702"/>
        <w:gridCol w:w="706"/>
        <w:gridCol w:w="594"/>
        <w:gridCol w:w="537"/>
        <w:gridCol w:w="538"/>
        <w:gridCol w:w="130"/>
        <w:gridCol w:w="130"/>
        <w:gridCol w:w="130"/>
        <w:gridCol w:w="754"/>
        <w:gridCol w:w="543"/>
        <w:gridCol w:w="544"/>
        <w:gridCol w:w="109"/>
        <w:gridCol w:w="109"/>
        <w:gridCol w:w="109"/>
        <w:gridCol w:w="462"/>
        <w:gridCol w:w="998"/>
        <w:gridCol w:w="152"/>
        <w:gridCol w:w="145"/>
        <w:gridCol w:w="145"/>
        <w:gridCol w:w="145"/>
        <w:gridCol w:w="509"/>
        <w:gridCol w:w="885"/>
        <w:gridCol w:w="277"/>
      </w:tblGrid>
      <w:tr>
        <w:trPr/>
        <w:tc>
          <w:tcPr>
            <w:tcW w:w="8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Directors, Officers and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Directors, Officers and Employees</w:t>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December 31, 2022</w:t>
            </w:r>
          </w:p>
        </w:tc>
        <w:tc>
          <w:tcPr>
            <w:tcW w:w="11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452,951 </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4,165,403 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Transfer from Employee to Non-Employee Director</w:t>
            </w:r>
            <w:r>
              <w:rPr>
                <w:rFonts w:ascii="Times New Roman;sans-serif" w:hAnsi="Times New Roman;sans-serif"/>
                <w:b w:val="false"/>
                <w:color w:val="000000"/>
                <w:sz w:val="13"/>
              </w:rPr>
              <w:t>(1)</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1,147,566 </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(1,147,566)</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882,862 </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6,295,701 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(2)</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(1,358,421)</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(1,225,521)</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(388,147)</w:t>
            </w:r>
          </w:p>
        </w:tc>
        <w:tc>
          <w:tcPr>
            <w:tcW w:w="5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(1,430,377)</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September 30, 2023</w:t>
            </w:r>
          </w:p>
        </w:tc>
        <w:tc>
          <w:tcPr>
            <w:tcW w:w="113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736,811 </w:t>
            </w:r>
          </w:p>
        </w:tc>
        <w:tc>
          <w:tcPr>
            <w:tcW w:w="5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6,657,640 </w:t>
            </w:r>
          </w:p>
        </w:tc>
        <w:tc>
          <w:tcPr>
            <w:tcW w:w="5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 Relates to former Chief Executive Officer ("CEO") RSUs that were reclassified to non-employee director shares for disclosure purposes. The former CEO was not re-nominated for election by the Board in connection with the annual stockholder meeting in May 2023. </w:t>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(2) Includes accelerated vesting of certain former executives' outstanding RSUs, including the former CEO and CFO. As such, the Company recognized the related stock-based compensation expense during the three and nine months ended September 30, 2023.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$16.7 million of unrecognized stock-based compensation expense related to unvested RSUs, which is expected to be recognized over a weighted-average period of 2.9 years.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2021 Employee Stock Purchase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2023, 928,256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three and nine months ended September 30, 2023, 68,962 shares were purchased under the 2021 ESPP. As of September 30, 2023, the Company had 2,814,479 remaining authorized shares available for purchase.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input assumptions used in the Black-Scholes option-pricing model to estimate the grant-date fair value of the 2021 ESPP:</w:t>
      </w:r>
    </w:p>
    <w:p>
      <w:pPr>
        <w:pStyle w:val="TextBody"/>
        <w:bidi w:val="0"/>
        <w:spacing w:before="0" w:after="0"/>
        <w:jc w:val="left"/>
        <w:rPr/>
      </w:pPr>
      <w:r>
        <w:rPr/>
      </w:r>
    </w:p>
    <w:tbl>
      <w:tblPr>
        <w:tblW w:w="8977" w:type="dxa"/>
        <w:jc w:val="left"/>
        <w:tblInd w:w="0" w:type="dxa"/>
        <w:tblLayout w:type="fixed"/>
        <w:tblCellMar>
          <w:top w:w="28" w:type="dxa"/>
          <w:left w:w="28" w:type="dxa"/>
          <w:bottom w:w="28" w:type="dxa"/>
          <w:right w:w="28" w:type="dxa"/>
        </w:tblCellMar>
      </w:tblPr>
      <w:tblGrid>
        <w:gridCol w:w="1478"/>
        <w:gridCol w:w="1299"/>
        <w:gridCol w:w="1303"/>
        <w:gridCol w:w="1543"/>
        <w:gridCol w:w="1543"/>
        <w:gridCol w:w="1548"/>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ans-serif" w:hAnsi="Times New Roman;sans-serif"/>
                <w:b/>
                <w:color w:val="000000"/>
                <w:sz w:val="20"/>
              </w:rPr>
              <w:t>For the nine months ended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4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grant-date fair value per share </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2023 Inducement Plan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Company's Compensation Committee adopted the 2023 Inducement Plan (the “Inducement Plan”). The Inducement Plan reserved 4,000,000 shares of the Company’s common stock for issuance under the Inducement Plan to individuals who satisfy the standards for inducement grants under the relevant Nasdaq Stock Market rules.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RSU awards, 2021 ESPP purchases and stock options, as applicable,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4"/>
        <w:gridCol w:w="979"/>
        <w:gridCol w:w="986"/>
        <w:gridCol w:w="324"/>
        <w:gridCol w:w="950"/>
        <w:gridCol w:w="167"/>
        <w:gridCol w:w="167"/>
        <w:gridCol w:w="167"/>
        <w:gridCol w:w="167"/>
        <w:gridCol w:w="324"/>
        <w:gridCol w:w="950"/>
        <w:gridCol w:w="167"/>
        <w:gridCol w:w="109"/>
        <w:gridCol w:w="109"/>
        <w:gridCol w:w="109"/>
        <w:gridCol w:w="292"/>
        <w:gridCol w:w="1002"/>
        <w:gridCol w:w="151"/>
        <w:gridCol w:w="151"/>
        <w:gridCol w:w="151"/>
        <w:gridCol w:w="151"/>
        <w:gridCol w:w="292"/>
        <w:gridCol w:w="1002"/>
        <w:gridCol w:w="22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Selling, general and administrative</w:t>
            </w:r>
            <w:r>
              <w:rPr>
                <w:rFonts w:ascii="Times New Roman;sans-serif" w:hAnsi="Times New Roman;sans-serif"/>
                <w:b w:val="false"/>
                <w:color w:val="000000"/>
                <w:sz w:val="13"/>
              </w:rPr>
              <w:t>(1)</w:t>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i/>
          <w:color w:val="000000"/>
          <w:sz w:val="13"/>
        </w:rPr>
      </w:pPr>
      <w:r>
        <w:rPr>
          <w:rFonts w:ascii="Times New Roman;sans-serif" w:hAnsi="Times New Roman;sans-serif"/>
          <w:b w:val="false"/>
          <w:i/>
          <w:color w:val="000000"/>
          <w:sz w:val="13"/>
        </w:rPr>
        <w:t>__________________</w:t>
      </w:r>
    </w:p>
    <w:p>
      <w:pPr>
        <w:pStyle w:val="TextBody"/>
        <w:bidi w:val="0"/>
        <w:spacing w:lineRule="auto" w:line="26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4"/>
        </w:rPr>
        <w:t>The Company extended the post-termination stock option exercise period for certain former executives, resulting in stock-based compensation expense of $0.5 million during the three months ended September 30, 2023. Additionally, the Company modified certain former executives' RSUs to accelerate vesting, including $0.5 million and $3.1 million during the three and nine months ended September 30, 2023.</w:t>
      </w:r>
    </w:p>
    <w:p>
      <w:pPr>
        <w:pStyle w:val="TextBody"/>
        <w:bidi w:val="0"/>
        <w:spacing w:before="0" w:after="0"/>
        <w:ind w:left="0" w:right="0" w:firstLine="35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830"/>
        <w:jc w:val="left"/>
        <w:rPr>
          <w:rFonts w:ascii="Times New Roman;sans-serif" w:hAnsi="Times New Roman;sans-serif"/>
          <w:b/>
          <w:color w:val="000000"/>
          <w:sz w:val="20"/>
        </w:rPr>
      </w:pPr>
      <w:r>
        <w:rPr>
          <w:rFonts w:ascii="Times New Roman;sans-serif" w:hAnsi="Times New Roman;sans-serif"/>
          <w:b/>
          <w:color w:val="000000"/>
          <w:sz w:val="20"/>
        </w:rPr>
        <w:t>10.Net Income (Loss) per Share Attributable to Common Stockholders</w:t>
      </w:r>
    </w:p>
    <w:p>
      <w:pPr>
        <w:pStyle w:val="TextBody"/>
        <w:bidi w:val="0"/>
        <w:spacing w:before="0" w:after="0"/>
        <w:ind w:left="0" w:right="0" w:hanging="47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loss per share attributable to common stockholders: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9"/>
        <w:gridCol w:w="1062"/>
        <w:gridCol w:w="1069"/>
        <w:gridCol w:w="313"/>
        <w:gridCol w:w="907"/>
        <w:gridCol w:w="137"/>
        <w:gridCol w:w="137"/>
        <w:gridCol w:w="137"/>
        <w:gridCol w:w="137"/>
        <w:gridCol w:w="313"/>
        <w:gridCol w:w="991"/>
        <w:gridCol w:w="137"/>
        <w:gridCol w:w="109"/>
        <w:gridCol w:w="109"/>
        <w:gridCol w:w="109"/>
        <w:gridCol w:w="293"/>
        <w:gridCol w:w="958"/>
        <w:gridCol w:w="131"/>
        <w:gridCol w:w="131"/>
        <w:gridCol w:w="131"/>
        <w:gridCol w:w="131"/>
        <w:gridCol w:w="293"/>
        <w:gridCol w:w="958"/>
        <w:gridCol w:w="193"/>
      </w:tblGrid>
      <w:tr>
        <w:trPr/>
        <w:tc>
          <w:tcPr>
            <w:tcW w:w="131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and per share values)</w:t>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 basic and diluted</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basic</w:t>
            </w:r>
          </w:p>
        </w:tc>
        <w:tc>
          <w:tcPr>
            <w:tcW w:w="12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95,179,604 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92,460,987 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94,137,244 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92,020,423 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diluted</w:t>
            </w:r>
          </w:p>
        </w:tc>
        <w:tc>
          <w:tcPr>
            <w:tcW w:w="12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95,179,604 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92,460,987 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94,137,244 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92,020,423 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shareholders: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potentially dilutive shares were excluded from the computation of diluted net income (loss) per share because including them would have been antidilutive: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1"/>
        <w:gridCol w:w="756"/>
        <w:gridCol w:w="759"/>
        <w:gridCol w:w="791"/>
        <w:gridCol w:w="355"/>
        <w:gridCol w:w="282"/>
        <w:gridCol w:w="282"/>
        <w:gridCol w:w="282"/>
        <w:gridCol w:w="282"/>
        <w:gridCol w:w="786"/>
        <w:gridCol w:w="357"/>
        <w:gridCol w:w="299"/>
        <w:gridCol w:w="109"/>
        <w:gridCol w:w="109"/>
        <w:gridCol w:w="109"/>
        <w:gridCol w:w="791"/>
        <w:gridCol w:w="343"/>
        <w:gridCol w:w="269"/>
        <w:gridCol w:w="269"/>
        <w:gridCol w:w="269"/>
        <w:gridCol w:w="269"/>
        <w:gridCol w:w="786"/>
        <w:gridCol w:w="345"/>
        <w:gridCol w:w="405"/>
      </w:tblGrid>
      <w:tr>
        <w:trPr/>
        <w:tc>
          <w:tcPr>
            <w:tcW w:w="9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to purchase common stock</w:t>
            </w:r>
          </w:p>
        </w:tc>
        <w:tc>
          <w:tcPr>
            <w:tcW w:w="11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13,335,558 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15,015,298 </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13,335,558 </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15,015,298 </w:t>
            </w:r>
          </w:p>
        </w:tc>
        <w:tc>
          <w:tcPr>
            <w:tcW w:w="4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7,394,451 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4,835,801 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7,394,451 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4,835,801 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68,497 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68,497 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20,798,971 </w:t>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19,919,596 </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20,798,971 </w:t>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19,919,596 </w:t>
            </w:r>
          </w:p>
        </w:tc>
        <w:tc>
          <w:tcPr>
            <w:tcW w:w="4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Inflation Reduction Act of 2022 (the “Act”), which contains provisions that became effective on January 1, 2023, including a 15% corporate minimum tax and a 1% excise tax on stock buybacks. While the Company is still evaluating the impact of the Act, the Company does not currently expect any material changes on its consolidated financial position, results of operations and cash flows.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and 2022, the Company has not recorded any uncertain tax positions and has not recognized interest or penalties in the condensed consolidated statements of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12.     Related Party Transactions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engaged Summit House Studios LLC, a third-party consultant, to provide digital ad production services. Summit House Studios LLC is owned by a major shareholder of the Company. Based on services provided, the Company incurred immaterial advertising costs for this related party during the three and nine months ended September 30, 2023 and 2022, which was reported as marketing expense in the Company’s condensed consolidated statements of comprehensive loss.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engaged Vault Co., a third-party consultant, to develop and deliver an ongoing brand tracker for the Company. Vault Co. is owned by a major shareholder of the Company. Based on services provided, the Company incurred immaterial advertising costs for this related party during the three and nine months ended September 30, 2023 and 2022, which is reported as marketing expense in the Company’s consolidated statements of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six years.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p>
      <w:pPr>
        <w:pStyle w:val="TextBody"/>
        <w:bidi w:val="0"/>
        <w:spacing w:before="0" w:after="0"/>
        <w:ind w:left="0" w:right="0" w:firstLine="720"/>
        <w:jc w:val="left"/>
        <w:rPr/>
      </w:pPr>
      <w:r>
        <w:rPr/>
      </w:r>
    </w:p>
    <w:tbl>
      <w:tblPr>
        <w:tblW w:w="9829" w:type="dxa"/>
        <w:jc w:val="left"/>
        <w:tblInd w:w="0" w:type="dxa"/>
        <w:tblLayout w:type="fixed"/>
        <w:tblCellMar>
          <w:top w:w="28" w:type="dxa"/>
          <w:left w:w="28" w:type="dxa"/>
          <w:bottom w:w="28" w:type="dxa"/>
          <w:right w:w="28" w:type="dxa"/>
        </w:tblCellMar>
      </w:tblPr>
      <w:tblGrid>
        <w:gridCol w:w="815"/>
        <w:gridCol w:w="715"/>
        <w:gridCol w:w="720"/>
        <w:gridCol w:w="349"/>
        <w:gridCol w:w="1021"/>
        <w:gridCol w:w="180"/>
        <w:gridCol w:w="180"/>
        <w:gridCol w:w="180"/>
        <w:gridCol w:w="180"/>
        <w:gridCol w:w="349"/>
        <w:gridCol w:w="1021"/>
        <w:gridCol w:w="180"/>
        <w:gridCol w:w="109"/>
        <w:gridCol w:w="109"/>
        <w:gridCol w:w="109"/>
        <w:gridCol w:w="340"/>
        <w:gridCol w:w="992"/>
        <w:gridCol w:w="175"/>
        <w:gridCol w:w="175"/>
        <w:gridCol w:w="175"/>
        <w:gridCol w:w="175"/>
        <w:gridCol w:w="340"/>
        <w:gridCol w:w="992"/>
        <w:gridCol w:w="248"/>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lease expense</w:t>
            </w:r>
            <w:r>
              <w:rPr>
                <w:rFonts w:ascii="Times New Roman;sans-serif" w:hAnsi="Times New Roman;sans-serif"/>
                <w:b w:val="false"/>
                <w:color w:val="000000"/>
                <w:sz w:val="13"/>
              </w:rPr>
              <w:t>(1)</w:t>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 net</w:t>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before="0" w:after="0"/>
        <w:jc w:val="left"/>
        <w:rPr/>
      </w:pPr>
      <w:r>
        <w:rPr/>
      </w:r>
    </w:p>
    <w:p>
      <w:pPr>
        <w:pStyle w:val="TextBody"/>
        <w:bidi w:val="0"/>
        <w:spacing w:lineRule="auto" w:line="268" w:before="1" w:after="1"/>
        <w:ind w:left="0" w:right="0" w:hanging="720"/>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(1)     Represents the straight-line lease expense of operating leases, inclusive of amortization of ROU assets and the interest component of operating lease liabilities.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nature of the Right-of-Use ("ROU") asset,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loss.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amount of lease assets and lease liabilities included in the Company’s condensed consolidated balance sheets (in thousands):</w:t>
      </w:r>
    </w:p>
    <w:p>
      <w:pPr>
        <w:pStyle w:val="TextBody"/>
        <w:bidi w:val="0"/>
        <w:spacing w:before="0" w:after="0"/>
        <w:ind w:left="0" w:right="0" w:firstLine="720"/>
        <w:jc w:val="left"/>
        <w:rPr/>
      </w:pPr>
      <w:r>
        <w:rPr/>
      </w:r>
    </w:p>
    <w:tbl>
      <w:tblPr>
        <w:tblW w:w="8676" w:type="dxa"/>
        <w:jc w:val="left"/>
        <w:tblInd w:w="0" w:type="dxa"/>
        <w:tblLayout w:type="fixed"/>
        <w:tblCellMar>
          <w:top w:w="28" w:type="dxa"/>
          <w:left w:w="28" w:type="dxa"/>
          <w:bottom w:w="28" w:type="dxa"/>
          <w:right w:w="28" w:type="dxa"/>
        </w:tblCellMar>
      </w:tblPr>
      <w:tblGrid>
        <w:gridCol w:w="794"/>
        <w:gridCol w:w="702"/>
        <w:gridCol w:w="708"/>
        <w:gridCol w:w="109"/>
        <w:gridCol w:w="109"/>
        <w:gridCol w:w="109"/>
        <w:gridCol w:w="1333"/>
        <w:gridCol w:w="1333"/>
        <w:gridCol w:w="1338"/>
        <w:gridCol w:w="109"/>
        <w:gridCol w:w="109"/>
        <w:gridCol w:w="109"/>
        <w:gridCol w:w="352"/>
        <w:gridCol w:w="1205"/>
        <w:gridCol w:w="257"/>
      </w:tblGrid>
      <w:tr>
        <w:trPr/>
        <w:tc>
          <w:tcPr>
            <w:tcW w:w="79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25,266 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25,294 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31,825 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the Company’s leases for the nine months ended September 30, 2023 was as follows:</w:t>
      </w:r>
    </w:p>
    <w:p>
      <w:pPr>
        <w:pStyle w:val="TextBody"/>
        <w:bidi w:val="0"/>
        <w:spacing w:before="0" w:after="0"/>
        <w:ind w:left="0" w:right="0" w:firstLine="720"/>
        <w:jc w:val="left"/>
        <w:rPr/>
      </w:pPr>
      <w:r>
        <w:rPr/>
      </w:r>
    </w:p>
    <w:tbl>
      <w:tblPr>
        <w:tblW w:w="8358" w:type="dxa"/>
        <w:jc w:val="left"/>
        <w:tblInd w:w="0" w:type="dxa"/>
        <w:tblLayout w:type="fixed"/>
        <w:tblCellMar>
          <w:top w:w="28" w:type="dxa"/>
          <w:left w:w="28" w:type="dxa"/>
          <w:bottom w:w="28" w:type="dxa"/>
          <w:right w:w="28" w:type="dxa"/>
        </w:tblCellMar>
      </w:tblPr>
      <w:tblGrid>
        <w:gridCol w:w="2614"/>
        <w:gridCol w:w="2296"/>
        <w:gridCol w:w="2305"/>
        <w:gridCol w:w="211"/>
        <w:gridCol w:w="616"/>
        <w:gridCol w:w="316"/>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Finance leases</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leases</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 (in thousands)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used in finance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used in operating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Finance cash flows used in finance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non-cash ROU assets obtained in exchange for lease liabilities during the nine months ended September 30, 2023 for either finance or operating leases.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Restructuring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Transformation Initiative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began executing a broad-based Transformation Initiative designed to build the Honest brand and drive growth in higher-margin areas of the portfolio, strengthen the Company’s cost structure, drive focus on the most productive areas of our business, deliver greater impact from brand-building investments, and improve executional excellence across the enterprise.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 are one of the elements of the Transformation Initiative and are included in restructuring on the condensed consolidated statements of comprehensive loss: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Employee-Related Costs – Employee-related costs are primarily comprised of severance and other post-employment benefit costs, calculated based on salary levels, prior service and other statutory minimum benefits, if applicable.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Asset-Related Costs – Asset-related costs consist of accelerated amortization related to visual merchandise in an international retail store taken out of service prior to its existing useful life as a direct result of the restructuring initiatives, as well as asset impairments related to technology taken out of service.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Contract Terminations – Costs related to contract terminations include continuing payments to a third party after the Company has ceased benefiting from the rights conveyed in the contract, or a payment made to terminate a contract prior to its expiration.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costs associated with the Transformation Initiative are comprised of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Sales Returns and Cost of Revenue – Product returns, chargebacks and markdowns are recorded as a reduction to revenue and inventory write-offs, write-downs or destruction costs as a direct result of the restructuring initiatives to exit certain products or geographic locations are recorded as a component of cost of revenue on the condensed consolidated statements of comprehensive loss when estimable and reasonably assured.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Other Costs – The Company incurred other costs related to the restructuring initiatives, which are included in selling, general and administrative expense on the condensed consolidated statements of comprehensive loss and primarily include the following:</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Donation expenses related to inventory reserves, including tariffs,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Consulting and other professional services.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the Transformation Initiative for the three and nine months ended September 30, 2023 were as follows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3"/>
        <w:gridCol w:w="575"/>
        <w:gridCol w:w="557"/>
        <w:gridCol w:w="109"/>
        <w:gridCol w:w="109"/>
        <w:gridCol w:w="109"/>
        <w:gridCol w:w="823"/>
        <w:gridCol w:w="2413"/>
        <w:gridCol w:w="430"/>
        <w:gridCol w:w="109"/>
        <w:gridCol w:w="109"/>
        <w:gridCol w:w="109"/>
        <w:gridCol w:w="731"/>
        <w:gridCol w:w="2498"/>
        <w:gridCol w:w="377"/>
        <w:gridCol w:w="109"/>
        <w:gridCol w:w="109"/>
        <w:gridCol w:w="109"/>
        <w:gridCol w:w="157"/>
      </w:tblGrid>
      <w:tr>
        <w:trPr/>
        <w:tc>
          <w:tcPr>
            <w:tcW w:w="66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Revenue</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4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Costs</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4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10,523 </w:t>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(1) Relates to estimated product markdowns and true-up of prior quarter estimates. </w:t>
      </w:r>
    </w:p>
    <w:p>
      <w:pPr>
        <w:pStyle w:val="TextBody"/>
        <w:bidi w:val="0"/>
        <w:spacing w:lineRule="auto" w:line="26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 Refer to the table below for further details of operating expenses included in restructuring costs.</w:t>
      </w:r>
    </w:p>
    <w:p>
      <w:pPr>
        <w:pStyle w:val="TextBody"/>
        <w:bidi w:val="0"/>
        <w:spacing w:lineRule="auto" w:line="26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 Refer to description above for types of operating expenses included in Other Costs.</w:t>
      </w:r>
    </w:p>
    <w:tbl>
      <w:tblPr>
        <w:tblW w:w="10205" w:type="dxa"/>
        <w:jc w:val="left"/>
        <w:tblInd w:w="0" w:type="dxa"/>
        <w:tblLayout w:type="fixed"/>
        <w:tblCellMar>
          <w:top w:w="28" w:type="dxa"/>
          <w:left w:w="28" w:type="dxa"/>
          <w:bottom w:w="28" w:type="dxa"/>
          <w:right w:w="28" w:type="dxa"/>
        </w:tblCellMar>
      </w:tblPr>
      <w:tblGrid>
        <w:gridCol w:w="1070"/>
        <w:gridCol w:w="866"/>
        <w:gridCol w:w="869"/>
        <w:gridCol w:w="528"/>
        <w:gridCol w:w="1231"/>
        <w:gridCol w:w="255"/>
        <w:gridCol w:w="109"/>
        <w:gridCol w:w="109"/>
        <w:gridCol w:w="109"/>
        <w:gridCol w:w="486"/>
        <w:gridCol w:w="873"/>
        <w:gridCol w:w="235"/>
        <w:gridCol w:w="109"/>
        <w:gridCol w:w="109"/>
        <w:gridCol w:w="109"/>
        <w:gridCol w:w="513"/>
        <w:gridCol w:w="1060"/>
        <w:gridCol w:w="250"/>
        <w:gridCol w:w="109"/>
        <w:gridCol w:w="109"/>
        <w:gridCol w:w="109"/>
        <w:gridCol w:w="211"/>
        <w:gridCol w:w="616"/>
        <w:gridCol w:w="161"/>
      </w:tblGrid>
      <w:tr>
        <w:trPr/>
        <w:tc>
          <w:tcPr>
            <w:tcW w:w="107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Employee-Related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Contract Terminations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2023</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285 </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through September 30, 2023</w:t>
            </w:r>
          </w:p>
        </w:tc>
        <w:tc>
          <w:tcPr>
            <w:tcW w:w="5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accrued expenses as of September 30, 2023 relating to the Transformation Initiative were: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63"/>
        <w:gridCol w:w="558"/>
        <w:gridCol w:w="559"/>
        <w:gridCol w:w="554"/>
        <w:gridCol w:w="1067"/>
        <w:gridCol w:w="287"/>
        <w:gridCol w:w="109"/>
        <w:gridCol w:w="109"/>
        <w:gridCol w:w="109"/>
        <w:gridCol w:w="415"/>
        <w:gridCol w:w="798"/>
        <w:gridCol w:w="215"/>
        <w:gridCol w:w="109"/>
        <w:gridCol w:w="109"/>
        <w:gridCol w:w="109"/>
        <w:gridCol w:w="416"/>
        <w:gridCol w:w="921"/>
        <w:gridCol w:w="216"/>
        <w:gridCol w:w="109"/>
        <w:gridCol w:w="109"/>
        <w:gridCol w:w="109"/>
        <w:gridCol w:w="279"/>
        <w:gridCol w:w="815"/>
        <w:gridCol w:w="145"/>
        <w:gridCol w:w="109"/>
        <w:gridCol w:w="109"/>
        <w:gridCol w:w="109"/>
        <w:gridCol w:w="211"/>
        <w:gridCol w:w="616"/>
        <w:gridCol w:w="162"/>
      </w:tblGrid>
      <w:tr>
        <w:trPr/>
        <w:tc>
          <w:tcPr>
            <w:tcW w:w="66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Employee-Related Costs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Contract Terminations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Inventory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(adjustments)</w:t>
            </w:r>
          </w:p>
        </w:tc>
        <w:tc>
          <w:tcPr>
            <w:tcW w:w="19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9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asset write-offs</w:t>
            </w:r>
          </w:p>
        </w:tc>
        <w:tc>
          <w:tcPr>
            <w:tcW w:w="190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5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 Included in accrued expenses as of September 30, 2023. Refer to Note 7, "Accrued Expenses" included elsewhere in these condensed consolidated financial statements.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costs associated with the restructuring initiatives once the relevant accounting criteria have been met. Accrued restructuring costs of $0.4 million related to severance costs and contract terminations as of September 30, 2023 are expected to result in cash expenditures funded from cash provided by operations in future periods and is included in accrued expenses on the condensed consolidated balance sheets.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2022 (the “Annual Report”), filed with the Securities and Exchange Commission (“SEC”) on March 16, 2023.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 </w:t>
      </w:r>
    </w:p>
    <w:p>
      <w:pPr>
        <w:pStyle w:val="TextBody"/>
        <w:bidi w:val="0"/>
        <w:spacing w:before="1" w:after="1"/>
        <w:jc w:val="left"/>
        <w:rPr/>
      </w:pPr>
      <w:r>
        <w:rPr/>
      </w:r>
    </w:p>
    <w:p>
      <w:pPr>
        <w:pStyle w:val="TextBody"/>
        <w:bidi w:val="0"/>
        <w:spacing w:lineRule="auto" w:line="268" w:before="1" w:after="1"/>
        <w:jc w:val="left"/>
        <w:rPr/>
      </w:pPr>
      <w:r>
        <w:rPr>
          <w:color w:val="000000"/>
        </w:rPr>
        <w:t> </w:t>
      </w:r>
      <w:r>
        <w:rPr>
          <w:rFonts w:ascii="Times New Roman;sans-serif" w:hAnsi="Times New Roman;sans-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(“Honest” and, together with its consolidated subsidiaries, the “Company,” “we,” “us” and “our”) is a digitally-native consumer products company dedicated to creating clean- and sustainably-designed products spanning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baby care, beauty, personal care, wellness and household care.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deep digital-first connection with consumers and omnichannel accessibility.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integrated multi-category product architecture is intentionally designed to serve our consumers every day, at every age and through every life stage, no matter where they are on their journey. Our three product categories are Diapers and Wipes, Skin and Personal Care, and Household and Wellness, which represented 61%, 25%, and 14%, respectively, of our revenue for the three months ended September 30, 2023, compared to 65%, 26%, and 9%, respectively, of our revenue for the three months ended September 30, 2022, and 63%, 27%, and 10%, respectively, of our revenue for the nine months ended September 30, 2023, compared to 65%, 29%, and 6%, respectively, of our revenue for the nine months ended September 30, 2022.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omnichannel approach seeks to meet consumers wherever they want to shop, balancing deep consumer connection with broad convenience and accessibility. Since our launch, we have built a well-integrated omnichannel presence by expanding our product accessibility across both Digital and Retail channels, including the launch of strategic partnerships with Target, Amazon and Walmart in 2014, 2017 and 2022, respectively. For the three months ended September 30, 2023, we generated 47% and 53% of our revenue from our Digital and Retail channels, respectively, compared to 40% and 60%, respectively, for the three months ended September 30, 2022. For the nine months ended September 30, 2023, we generated 49% and 51% of our revenue from our Digital and Retail channels, respectively, compared to 46% and 54%, respectively, for the nine months ended September 30, 2022.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pPr>
      <w:r>
        <w:rPr>
          <w:rFonts w:ascii="Times New Roman;sans-serif" w:hAnsi="Times New Roman;sans-serif"/>
          <w:b w:val="false"/>
          <w:color w:val="000000"/>
          <w:sz w:val="20"/>
        </w:rPr>
        <w:t>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our Digital channel, and our Retail channel, which includes leading retailers and their websites. As of September 30, 2023, our products can be found in approximately 51,000 retail locations across the United States, Canada and Europe. In the first quarter of 2023, as part of the Transformation Initiative w</w:t>
      </w:r>
      <w:r>
        <w:rPr>
          <w:rFonts w:ascii="Times New Roman;sans-serif" w:hAnsi="Times New Roman;sans-serif"/>
          <w:b w:val="false"/>
          <w:color w:val="231F20"/>
          <w:sz w:val="20"/>
        </w:rPr>
        <w:t xml:space="preserve">e announced that we plan to focus on our North American customers and are actively reducing the portfolio of products we will offer for sale in certain regions, including retail locations in Europe. </w:t>
      </w:r>
      <w:r>
        <w:rPr>
          <w:rFonts w:ascii="Times New Roman;sans-serif" w:hAnsi="Times New Roman;sans-serif"/>
          <w:b w:val="false"/>
          <w:color w:val="000000"/>
          <w:sz w:val="20"/>
        </w:rPr>
        <w:t xml:space="preserve">Our integrated omnichannel presence provides meaningful benefits to our consumers which we believe are not easily replicated by our competitors. This distinctive business model has allowed us to efficiently scale our business while remaining agnostic as to the channel where consumers purchase our products.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Transformation Initiative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we began executing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Transformation Initiative is projected to result in the following: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Costs associated with the Transformation Initiative, including restructuring costs, are expected to be approximately $11.0 million to $13.0 million for the full year 2023, with $2.2 million and $10.5 million, respectively, recognized during the three and nine months ended September 30, 2023. Refer to discussion under "Results of Operations" below.</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Restructuring costs, which include employee-related costs, asset-related costs and contract terminations related to exiting retail and online stores in unprofitable geographical locations, in Asia and Europe, were $0.4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$2.1 million, respectively, in the three and nine months ended September 30, 2023 and were reflected in restructuring on the condensed consolidated statements of comprehensive loss.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Transformation Initiative is expected to result in annualized benefits to adjusted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 the range of $15.0 million to $20.0 million, and we are starting to see benefits in late 2023. These benefits include reduction in costs of revenue, reduction in operating expenses and increase in revenue.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cash impact of costs related to the Transformation Initiative is expected to be in the range of $4.0 million to $5.0 million for the full year 2023, with $1.0 million and $1.8 million, respectively, recognized during the three and nine months ended September 30, 2023 and the remainder in the fourth quarter of 2023.</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expect the restructuring element of the Transformation Initiative to be substantially completed by December 31, 2023.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 We do not provide guidance for the most directly comparable GAAP measure, net loss, and similarly cannot provide a reconciliation between our adjusted EBITDA outlook and net loss without unreasonable effort due to the unavailability of reliable estimates for certain components of net loss, including interest and other (income) expense, net, and the respective reconciliations. These items are not within our control and may vary greatly between periods and could significantly impact our financial results calculated in accordance with GAAP.</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incur other charges or cash expenditures not currently contemplated that may occur as a result of or in connection with the Transformation Initiative.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believe specific value drivers of the Transformation Initiative</w:t>
      </w:r>
      <w:r>
        <w:rPr>
          <w:color w:val="000000"/>
        </w:rPr>
        <w:t xml:space="preserve"> </w:t>
      </w:r>
      <w:r>
        <w:rPr>
          <w:rFonts w:ascii="Times New Roman;sans-serif" w:hAnsi="Times New Roman;sans-serif"/>
          <w:b w:val="false"/>
          <w:color w:val="000000"/>
          <w:sz w:val="20"/>
        </w:rPr>
        <w:t>include:</w:t>
      </w:r>
    </w:p>
    <w:p>
      <w:pPr>
        <w:pStyle w:val="TextBody"/>
        <w:bidi w:val="0"/>
        <w:spacing w:before="0" w:after="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Brand Maximization</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Leveraging the strength of the Honest brand to drive growth through innovation, margin-accretive products, and marketing effectiveness.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Executing additional pricing increases across the majority of our product portfolio throughout 2023, following pricing increases in 2022 and in the first three quarters of 2023 that resulted in revenue growth driven by both volume and pricing.</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Margin Enhancement</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Focusing our resources on North America, which includes exiting our low-margin business in Europe and Asia.</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Exiting low-margin elements of the cleaning and sanitization business (included in Household and Wellness product category).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Executing an inventory, or stock-keeping unit ("SKU"), rationalization program.</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Re-directing resources to accelerate cost savings, including optimization of our contract manufacturing strategies, reduced shipping and logistic costs, and product costs.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Realigning resources to reflect the prioritization of higher-margin opportunities.</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Operating Discipline</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Building a culture that emphasizes returns across growth drivers, including marketing, trade promotion, and innovation.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Managing working capital including the reduction of inventory.    </w:t>
      </w:r>
    </w:p>
    <w:p>
      <w:pPr>
        <w:pStyle w:val="TextBody"/>
        <w:bidi w:val="0"/>
        <w:spacing w:before="0" w:after="0"/>
        <w:ind w:left="0" w:right="0" w:firstLine="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details on the Transformation Initiative, refer to Note 14, "Restructuring" included in these condensed consolidated financial statements.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Quarterly Report on Form 10-Q titled “Risk Factors.”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Ability to Grow Our Brand Awareness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brand is integral to the growth of our business and is essential to our ability to engage and stay connected with the growing clean products consumer. In order to increase the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Given higher costs of digital marketing and increased retail distribution, we have and expect to continue to shift the focus of our marketing spend towards supporting retail marketing programs and to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our marketing initiatives to increase brand awareness. As part of the Transformation Initiative, we are improving the return on marketing by reducing marketing spend on low-return campaigns and emphasizing best-selling items, focusing on the most profitable areas of our business. We believe our brand strength will enable us to expand across categories and channels, allowing us to deepen relationships with consumers. Our performance depends significantly on factors that may affect the level and pattern of consumer spending in the product categories in which we operate.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Innovation</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development and innovation are core elements underpinning our growth strategy. Through our in-house research and development laboratories, we are able to access the latest advancements in clean ingredients and continue to innovate in the clean conscious space. Based in Los Angeles, California, our research and development team, including chemists, an in-house toxicologist and an eco-toxicologist,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connectivity to our community of consumers to provide valuable insights that power innovation across categories. We use innovation to support our growth objectives across our product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innovate in each of our product categories in areas such as breakthrough new product formulations, innovative packaging, costovation (defined below) and marketing strategy, with a focus on driving “big bets” across potential product adjacencies where we have: 1) ability to build on our premium positioning, 2) ability to lead and win in a category, and 3) the opportunity to expand into more places within an existing Honest home while positioning ourselves as a premium brand. We are also focused on building a portfolio of products in complementary categories through our Innovation Strategy and the investment in our Digital Strategy. We are building an Honest community with the goal of creating a more holistic clean, conscious home for consumers and customers alike. We strive for continuous improvement in our existing products’ safety, sustainability, efficacy and design profile while achieving better performance often at lower cost, which we refer to as costovation.</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Product Category Growth</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mix is a driver of our financial performance given our focus on accretive product launches and innovation to increase product margins. Even though our growth strategy aims to boost sales across all product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new revenue and brought higher margin products into our portfolio.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Execution of Omnichannel Strategy</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continued execution of our omnichannel strategy impacts our financial performance. We intend to continue leveraging our marketing strategy to drive increased consumer awareness and leverage our flagship digital platform, Honest.com, to create direct connections with our consumers, influence brand experience and understand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ans-serif" w:hAnsi="Times New Roman;sans-serif"/>
          <w:b/>
          <w:i/>
          <w:color w:val="000000"/>
          <w:sz w:val="20"/>
        </w:rPr>
        <w:t>Operational and Marketing Efficienc</w:t>
      </w:r>
      <w:r>
        <w:rPr>
          <w:rFonts w:ascii="Times New Roman;sans-serif" w:hAnsi="Times New Roman;sans-serif"/>
          <w:b/>
          <w:color w:val="000000"/>
          <w:sz w:val="20"/>
        </w:rPr>
        <w:t>y</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our proprietary data and systems to generate valuable consumer insights that guide our omnichannel strategy and inform our marketing spend optimization. Our future success depends in part on our ability to effectively attract consumers on a cost-efficient basis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achieve efficiencies in our operations. In addition, we expect that we will be able to achieve some operational and marketing efficiency as part of cost savings in connection with our Transformation Initiative.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paid advertising includes search engine marketing, display, paid social media and product placement and traditional advertising, such as direct mail, television, radio and magazine advertising. We drive a significant amount of traffic to our website via search engines and, therefore, rely heavily on search engines. Paid advertising costs significantly increased industry-wide during the past few years, which negatively impacted our ability to cost-effectively drive traffic to Honest.com. As a result, we have decreased and shifted marketing spend into support for retail and other digital customers that has allowed us to increase marketing efficiency, while maintaining revenue growth.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Overall Macro Trends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strategically positioned ourselves to benefit from several macro trends related to changes in consumer behavior. We believe consumers’ increasing interest in purpose-designed products has contributed to higher demand for certain of our products. At the same time, changes in macro-level consumer spending trends, including as a result of global pandemics or other macroeconomic conditions, such as inflation, have resulted and could in the future result in fluctuations in our operating results.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Business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political uncertainty have increased due to the impact of continued inflationary pressures, adverse impact on confidence in financial markets and geopolitical events, including the conflict in Ukraine and the Israel-Hamas war. Additionally, the extent of the impact of macroeconomic trends on the Company’s operational and financial performance in the future will depend on future developments. Prolonged unfavorable economic conditions, including as a result of global pandemics, rising inflation and interest rates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Supply Chain Disruptions</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and continues to be an adverse impact on global economic conditions and consumer confidence and spending, which has adversely affected our supply chain as well as the demand for our products and has impacted our revenue and ability to service our customer orders. We have experienced and anticipate continued increases in labor costs, product costs and transportation costs, which has and could continue to hamper our ability to drive margin expansion. We have taken measures to bolster key aspects of our supply chain, such as ensuring sufficient inventory to support our continued growth, new distribution and longer lead times. In addition, as a result of the supply chain impacts, other macroeconomic trends and high inventory levels in 2022, we have experienced increased fulfillment costs in 2022 but have seen lower fulfillment costs in the three and nine months ended September 30, 2023, as we reduced inventory levels. One of our fulfillment partners passed on increased service and inflation related costs to us, including warehouse labor cost, which negatively impacted our cost of revenue for the nine months ended September 30, 2023. If we are not successful in negotiating future renewals such that these renewals are at increased costs to us, our business, financial condition, results of operations and prospects could be adversely affected. In 2022, we negotiated and agreed to higher purchase prices with two of our third-party manufacturers which has negatively impacted our cost of revenue in the past and will continue to have a negative impact on our results of operations. We could face further escalation of purchase costs and cost of revenue in the future.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implemented price increases that took effect in 2022 and in the first three quarters of 2023 and plan to implement additional pricing increases before the end of 2023 and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Consumer Preferences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relatively balanced between our Digital and Retail channels which demonstrates the power of our omni-channel distribution model. We believe consumers value the flexibility in terms of where and when they choose to purchase Honest products. We also believe that consumers recognize the quality of Honest products, knowing that there are over 3,500 chemicals and materials that we choose not to formulate with. </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reflected at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may incur inventory write-downs, customer returns or incur donation expense or disposal costs as we reduce excess inventory. The decline in demand for our sanitization and disinfecting products included in the Household and Wellness product category has led to the implementation of our plan to exit low-margin household products as part of the Transformation Initiative. Additionally, we implemented an inventory, or SKU rationalization program, as part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Transformation Initiative. For the nine months ended September 30, 2023, we recorded an inventory write-down, inclusive of overhead costs and tariffs, of $3.4 million mainly related to international product exits and SKU rationalization, which is included in cost of revenue on the condensed consolidated statements of comprehensive loss. Additionally, we earmarked donations of $3.1 million, mainly related to the liquidation of low-margin household products during the nine months ended September 30, 2023, which is included in selling, general and administrative expense on the condensed consolidated statements of comprehensive loss.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increased supply chain lead times, new retail distribution, and expectation of supplier price increases that took effect in early 2023, we increased our inventory levels in 2022 to ensure in-stock position to service customers and consumers. In addition, inflation in input costs, including higher product costs, inbound shipping and warehouse labor, has resulted in a higher dollar value of inventory as of September 30, 2023. We have reduced our inventory levels during the three and nine months ended September 30, 2023 and expect future reduction of inventory for the remainder of 2023, as part of our disciplined inventory management.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Inflation Reduction Act of 2022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Inflation Reduction Act of 2022 (the “Act”), which contains provisions that became effective on January 1, 2023, including a 15% corporate minimum tax and a 1% excise tax on stock buybacks. While we are still evaluating the impact of the Act, we do not currently expect any material changes on our consolidated financial position, results of operations and cash flows.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and their respective websites, who may also resell our products through their own online platforms. Our revenue is recognized net of allowances for returns, discounts, credits and any taxes collected from consumers.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and Gross Margin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selling, general and administrative, marketing and research and development expenses.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tariffs; facility costs, including insurance, utilities and rent relating to our headquarters;</w:t>
      </w:r>
      <w:r>
        <w:rPr>
          <w:color w:val="000000"/>
          <w:shd w:fill="FFFFFF" w:val="clear"/>
        </w:rPr>
        <w:t xml:space="preserve"> </w:t>
      </w:r>
      <w:r>
        <w:rPr>
          <w:rFonts w:ascii="Times New Roman;sans-serif" w:hAnsi="Times New Roman;sans-serif"/>
          <w:b w:val="false"/>
          <w:color w:val="000000"/>
          <w:sz w:val="20"/>
          <w:shd w:fill="FFFFFF" w:val="clear"/>
        </w:rPr>
        <w:t>third-party service fees related to Honest Baby Clothing®;</w:t>
      </w:r>
      <w:r>
        <w:rPr>
          <w:color w:val="000000"/>
        </w:rPr>
        <w:t xml:space="preserve"> </w:t>
      </w:r>
      <w:r>
        <w:rPr>
          <w:rFonts w:ascii="Times New Roman;sans-serif" w:hAnsi="Times New Roman;sans-serif"/>
          <w:b w:val="false"/>
          <w:color w:val="000000"/>
          <w:sz w:val="20"/>
        </w:rPr>
        <w:t xml:space="preserve">and depreciation and amortization expense. We expect our general and administrative expenses to increase in absolute dollars as we continue to grow our business and organizational capabilities. Since our IPO, we have also incurred additional costs for employees and third-party professional fees related to operating as a public company and costs to comply with the rules and regulations applicable to companies listed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national securities exchange, costs related to compliance and reporting obligations, and increased expenses for insurance, investor relations and professional services.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Marketing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product categories and best selling products with key retailers, as well as expand brand awareness, introduce new product innovation across multiple product categories and implement new marketing strategies in the United States. As we launch new products, we expect to make marketing investments to build brand awareness, drive trial and set the foundation for future revenue growth.</w:t>
      </w:r>
    </w:p>
    <w:p>
      <w:pPr>
        <w:pStyle w:val="TextBody"/>
        <w:bidi w:val="0"/>
        <w:spacing w:before="0" w:after="0"/>
        <w:ind w:left="0" w:right="0" w:firstLine="27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ans-serif" w:hAnsi="Times New Roman;sans-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bidi w:val="0"/>
        <w:spacing w:before="0" w:after="0"/>
        <w:ind w:left="0" w:right="0" w:firstLine="27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income earned on our short-term investments and our cash and cash equivalents balances. Interest expense includes fees incurred under our 2023 Credit Facility, including commitment fees and debt issuance costs.</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be immaterial but continue to fluctuate in the future due to changes in both the volume of foreign currency transactions and foreign currency exchange rates.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 Provision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TextBody"/>
        <w:bidi w:val="0"/>
        <w:spacing w:lineRule="auto" w:line="268" w:before="27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condensed consolidated statements of operations data for each of the periods indicated: </w:t>
      </w:r>
    </w:p>
    <w:tbl>
      <w:tblPr>
        <w:tblW w:w="10205" w:type="dxa"/>
        <w:jc w:val="left"/>
        <w:tblInd w:w="0" w:type="dxa"/>
        <w:tblLayout w:type="fixed"/>
        <w:tblCellMar>
          <w:top w:w="28" w:type="dxa"/>
          <w:left w:w="28" w:type="dxa"/>
          <w:bottom w:w="28" w:type="dxa"/>
          <w:right w:w="28" w:type="dxa"/>
        </w:tblCellMar>
      </w:tblPr>
      <w:tblGrid>
        <w:gridCol w:w="1109"/>
        <w:gridCol w:w="951"/>
        <w:gridCol w:w="938"/>
        <w:gridCol w:w="292"/>
        <w:gridCol w:w="1000"/>
        <w:gridCol w:w="150"/>
        <w:gridCol w:w="150"/>
        <w:gridCol w:w="150"/>
        <w:gridCol w:w="150"/>
        <w:gridCol w:w="292"/>
        <w:gridCol w:w="1093"/>
        <w:gridCol w:w="150"/>
        <w:gridCol w:w="109"/>
        <w:gridCol w:w="109"/>
        <w:gridCol w:w="109"/>
        <w:gridCol w:w="273"/>
        <w:gridCol w:w="1070"/>
        <w:gridCol w:w="140"/>
        <w:gridCol w:w="140"/>
        <w:gridCol w:w="140"/>
        <w:gridCol w:w="140"/>
        <w:gridCol w:w="273"/>
        <w:gridCol w:w="1070"/>
        <w:gridCol w:w="207"/>
      </w:tblGrid>
      <w:tr>
        <w:trPr/>
        <w:tc>
          <w:tcPr>
            <w:tcW w:w="1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254,101 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231,792 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183,796 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70,305 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69,808 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Selling, general and administrative</w:t>
            </w:r>
            <w:r>
              <w:rPr>
                <w:rFonts w:ascii="Times New Roman;sans-serif" w:hAnsi="Times New Roman;sans-serif"/>
                <w:b w:val="false"/>
                <w:color w:val="000000"/>
                <w:sz w:val="13"/>
              </w:rPr>
              <w:t>(1)</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63,068 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35,197 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37,356 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110,342 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106,832 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(40,037)</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(37,024)</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(11,768)</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(40,306)</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(36,367)</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2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w:t>
      </w:r>
    </w:p>
    <w:p>
      <w:pPr>
        <w:pStyle w:val="TextBody"/>
        <w:bidi w:val="0"/>
        <w:spacing w:before="0" w:after="0"/>
        <w:jc w:val="both"/>
        <w:rPr/>
      </w:pPr>
      <w:r>
        <w:rPr/>
      </w:r>
    </w:p>
    <w:p>
      <w:pPr>
        <w:pStyle w:val="TextBody"/>
        <w:bidi w:val="0"/>
        <w:spacing w:lineRule="auto" w:line="268" w:before="1" w:after="1"/>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Includes stock-based compensation expense as follows: </w:t>
      </w:r>
    </w:p>
    <w:tbl>
      <w:tblPr>
        <w:tblW w:w="10205" w:type="dxa"/>
        <w:jc w:val="left"/>
        <w:tblInd w:w="0" w:type="dxa"/>
        <w:tblLayout w:type="fixed"/>
        <w:tblCellMar>
          <w:top w:w="28" w:type="dxa"/>
          <w:left w:w="28" w:type="dxa"/>
          <w:bottom w:w="28" w:type="dxa"/>
          <w:right w:w="28" w:type="dxa"/>
        </w:tblCellMar>
      </w:tblPr>
      <w:tblGrid>
        <w:gridCol w:w="1031"/>
        <w:gridCol w:w="908"/>
        <w:gridCol w:w="912"/>
        <w:gridCol w:w="337"/>
        <w:gridCol w:w="986"/>
        <w:gridCol w:w="173"/>
        <w:gridCol w:w="173"/>
        <w:gridCol w:w="173"/>
        <w:gridCol w:w="173"/>
        <w:gridCol w:w="337"/>
        <w:gridCol w:w="986"/>
        <w:gridCol w:w="173"/>
        <w:gridCol w:w="109"/>
        <w:gridCol w:w="109"/>
        <w:gridCol w:w="109"/>
        <w:gridCol w:w="301"/>
        <w:gridCol w:w="1032"/>
        <w:gridCol w:w="155"/>
        <w:gridCol w:w="155"/>
        <w:gridCol w:w="155"/>
        <w:gridCol w:w="155"/>
        <w:gridCol w:w="301"/>
        <w:gridCol w:w="1032"/>
        <w:gridCol w:w="230"/>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3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condensed consolidated statements of operations data expressed as a percentage of revenue*:</w:t>
      </w:r>
    </w:p>
    <w:tbl>
      <w:tblPr>
        <w:tblW w:w="10205" w:type="dxa"/>
        <w:jc w:val="left"/>
        <w:tblInd w:w="0" w:type="dxa"/>
        <w:tblLayout w:type="fixed"/>
        <w:tblCellMar>
          <w:top w:w="28" w:type="dxa"/>
          <w:left w:w="28" w:type="dxa"/>
          <w:bottom w:w="28" w:type="dxa"/>
          <w:right w:w="28" w:type="dxa"/>
        </w:tblCellMar>
      </w:tblPr>
      <w:tblGrid>
        <w:gridCol w:w="1110"/>
        <w:gridCol w:w="954"/>
        <w:gridCol w:w="937"/>
        <w:gridCol w:w="393"/>
        <w:gridCol w:w="353"/>
        <w:gridCol w:w="353"/>
        <w:gridCol w:w="353"/>
        <w:gridCol w:w="353"/>
        <w:gridCol w:w="353"/>
        <w:gridCol w:w="392"/>
        <w:gridCol w:w="353"/>
        <w:gridCol w:w="375"/>
        <w:gridCol w:w="109"/>
        <w:gridCol w:w="109"/>
        <w:gridCol w:w="109"/>
        <w:gridCol w:w="386"/>
        <w:gridCol w:w="346"/>
        <w:gridCol w:w="346"/>
        <w:gridCol w:w="346"/>
        <w:gridCol w:w="346"/>
        <w:gridCol w:w="346"/>
        <w:gridCol w:w="385"/>
        <w:gridCol w:w="346"/>
        <w:gridCol w:w="368"/>
        <w:gridCol w:w="109"/>
        <w:gridCol w:w="109"/>
        <w:gridCol w:w="166"/>
      </w:tblGrid>
      <w:tr>
        <w:trPr/>
        <w:tc>
          <w:tcPr>
            <w:tcW w:w="111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a percentage of revenue)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1" w:after="1"/>
        <w:jc w:val="left"/>
        <w:rPr/>
      </w:pPr>
      <w:r>
        <w:rPr/>
      </w:r>
    </w:p>
    <w:p>
      <w:pPr>
        <w:pStyle w:val="TextBody"/>
        <w:bidi w:val="0"/>
        <w:spacing w:lineRule="auto" w:line="268" w:before="0" w:after="0"/>
        <w:jc w:val="left"/>
        <w:rPr/>
      </w:pPr>
      <w:r>
        <w:rPr>
          <w:rFonts w:ascii="Times New Roman;sans-serif" w:hAnsi="Times New Roman;sans-serif"/>
          <w:b w:val="false"/>
          <w:color w:val="231F20"/>
          <w:sz w:val="13"/>
        </w:rPr>
        <w:t>*</w:t>
      </w:r>
      <w:r>
        <w:rPr>
          <w:color w:val="231F20"/>
        </w:rPr>
        <w:t xml:space="preserve"> </w:t>
      </w:r>
      <w:r>
        <w:rPr>
          <w:rFonts w:ascii="Times New Roman;sans-serif" w:hAnsi="Times New Roman;sans-serif"/>
          <w:b w:val="false"/>
          <w:color w:val="231F20"/>
          <w:sz w:val="13"/>
        </w:rPr>
        <w:t>Amounts</w:t>
      </w:r>
      <w:r>
        <w:rPr>
          <w:color w:val="231F20"/>
        </w:rPr>
        <w:t xml:space="preserve"> </w:t>
      </w:r>
      <w:r>
        <w:rPr>
          <w:rFonts w:ascii="Times New Roman;sans-serif" w:hAnsi="Times New Roman;sans-serif"/>
          <w:b w:val="false"/>
          <w:color w:val="231F20"/>
          <w:sz w:val="13"/>
        </w:rPr>
        <w:t>may</w:t>
      </w:r>
      <w:r>
        <w:rPr>
          <w:color w:val="231F20"/>
        </w:rPr>
        <w:t xml:space="preserve"> </w:t>
      </w:r>
      <w:r>
        <w:rPr>
          <w:rFonts w:ascii="Times New Roman;sans-serif" w:hAnsi="Times New Roman;sans-serif"/>
          <w:b w:val="false"/>
          <w:color w:val="231F20"/>
          <w:sz w:val="13"/>
        </w:rPr>
        <w:t>not sum</w:t>
      </w:r>
      <w:r>
        <w:rPr>
          <w:color w:val="231F20"/>
        </w:rPr>
        <w:t xml:space="preserve"> </w:t>
      </w:r>
      <w:r>
        <w:rPr>
          <w:rFonts w:ascii="Times New Roman;sans-serif" w:hAnsi="Times New Roman;sans-serif"/>
          <w:b w:val="false"/>
          <w:color w:val="231F20"/>
          <w:sz w:val="13"/>
        </w:rPr>
        <w:t>due to rounding.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Three and Nine Months Ended September 30, 2023 and 2022 </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11925" w:type="dxa"/>
        <w:jc w:val="left"/>
        <w:tblInd w:w="0" w:type="dxa"/>
        <w:tblLayout w:type="fixed"/>
        <w:tblCellMar>
          <w:top w:w="28" w:type="dxa"/>
          <w:left w:w="28" w:type="dxa"/>
          <w:bottom w:w="28" w:type="dxa"/>
          <w:right w:w="28" w:type="dxa"/>
        </w:tblCellMar>
      </w:tblPr>
      <w:tblGrid>
        <w:gridCol w:w="450"/>
        <w:gridCol w:w="277"/>
        <w:gridCol w:w="27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Product Category</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Diapers and Wipes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Skin and Personal Care</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Household and Wellness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tbl>
      <w:tblPr>
        <w:tblW w:w="11745" w:type="dxa"/>
        <w:jc w:val="left"/>
        <w:tblInd w:w="0" w:type="dxa"/>
        <w:tblLayout w:type="fixed"/>
        <w:tblCellMar>
          <w:top w:w="28" w:type="dxa"/>
          <w:left w:w="28" w:type="dxa"/>
          <w:bottom w:w="28" w:type="dxa"/>
          <w:right w:w="28" w:type="dxa"/>
        </w:tblCellMar>
      </w:tblPr>
      <w:tblGrid>
        <w:gridCol w:w="324"/>
        <w:gridCol w:w="258"/>
        <w:gridCol w:w="25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54"/>
      </w:tblGrid>
      <w:tr>
        <w:trPr/>
        <w:tc>
          <w:tcPr>
            <w:tcW w:w="3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Channel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was $86.2 million for the three months ended September 30, 2023, as compared to $84.6 million for the three months ended September 30, 2022. The increase of $1.6 million, or 1.9%, reflects an increase of $5.0 million in Household and Wellness product category, offset by a decrease of $2.6 million in Diapers and Wipes and a decrease of $0.8 million in Skin and Personal Care product categories, respectively. The revenue increase in Household and Wellness was primarily driven by $6.0 million in revenue from Honest Baby Clothing due to a Retail channel launch and strong consumption with our key digital customer. The revenue decrease in Diapers and Wipes was primarily driven by a $4.1 million decline in diaper revenue due to decline in Retail channel sales compared to expanded distribution during the three months ended September 30, 2022, offset by an increase of $2.0 million in wipes revenue with our key digital customer due to increased wipes consumption. The Skin and Personal Care revenue decrease was primarily driven by a decrease of $1.1 million in baby personal care products as we scaled back low-margin baby personal care products in the club channel, offset by strong baby personal care products consumption with our key digital customer.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pricing increases taken in 2022 and the first three quarters of 2023 contributed $3.0 million to revenue for the three months ended September 30,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was $254.1 million for the nine months ended September 30, 2023, as compared to $231.8 million for the nine months ended September 30, 2022. The increase of $22.3 million, or 9.6%, reflects an increase of $11.6 million, $10.5 million and $0.2 million in Household and Wellness, Diapers and Wipes, and Skin and Personal Care products categories, respectively. The revenue increase in Household and Wellness was primarily driven by $14.6 million in revenue from Honest Baby Clothing due to a Retail channel launch and strong consumption with our key digital customer. The revenue increase in Diapers and Wipes was primarily driven by an increase in wipes consumption due to $5.6 million in revenue growth in the Retail channel, as well as a slight increase in diaper revenue in our Retail channel, and $13.3 million in revenue growth with a key digital partner in both diapers and wipes, offset by a decline in diaper sales on Honest.com. The Skin and Personal Care revenue increase was primarily driven by an increase in baby personal care products revenue due to strong consumption in the Digital channel, a $2.4 million increase in beauty revenue, as well as new distribution, offset by a decrease of $3.5 million in baby personal care products in our Retail channel, primarily due to lower club channel sales.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pricing increases taken in 2022 and the first three quarters of 2023 contributed $7.5 million to revenue for the nine months ended September 30,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revenue in our Retail channel for the three months ended September 30, 2023, compared to the three months ended September 30, 2022, was primarily driven by a decline of $4.4 million in revenue due to timing of shipments at a key retail customer, loss of revenue of $3.0 million due to a customer bankruptcy, and a decline of $1.1 million in revenue due to lower club channel sales, offset by new distribution, price increases and strong consumption. The increase in revenue in our Digital channel for the three months ended September 30, 2023, compared to the three months ended September 30, 2022, was primarily driven by an $8.9 million increase in revenue by our key digital customer driven by strong consumption, offset by a decrease in revenue at Honest.com due to lower digital marketing spend which resulted in lower traffic to Honest.com.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revenue in our Retail channel for the nine months ended September 30, 2023, compared to the nine months ended September 30, 2022, was primarily driven by new distribution of $10.3 million, slight growth of $2.3 million at one of our key retailers and price increases, offset by a decline of $5.0 million in revenue due to lower club channel sales and loss of revenue of $4.0 million due to a customer bankruptcy. The increase in revenue in our Digital channel for the nine months ended September 30, 2023, compared to the nine months ended September 30, 2022, was primarily driven by an increase in revenue of $27.1 million by our key digital customer driven by strong consumption, offset by a decrease in revenue at Honest.com due to lower digital marketing spend which resulted in lower traffic to Honest.com.</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before="0" w:after="0"/>
        <w:jc w:val="left"/>
        <w:rPr/>
      </w:pPr>
      <w:r>
        <w:rPr/>
      </w:r>
    </w:p>
    <w:tbl>
      <w:tblPr>
        <w:tblW w:w="11670" w:type="dxa"/>
        <w:jc w:val="left"/>
        <w:tblInd w:w="0" w:type="dxa"/>
        <w:tblLayout w:type="fixed"/>
        <w:tblCellMar>
          <w:top w:w="28" w:type="dxa"/>
          <w:left w:w="28" w:type="dxa"/>
          <w:bottom w:w="28" w:type="dxa"/>
          <w:right w:w="28" w:type="dxa"/>
        </w:tblCellMar>
      </w:tblPr>
      <w:tblGrid>
        <w:gridCol w:w="277"/>
        <w:gridCol w:w="244"/>
        <w:gridCol w:w="24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was $59.0 million for the three months ended September 30, 2023, as compared to $59.0 million for the three months ended September 30, 2022. The increase was primarily driven by a 1.9% increase in revenue, $1.1 million of higher product costs and $1.5 million increase in transportation costs, partially offset by $0.8 million of lower fulfillment costs and other cost savings. Cost of revenue as a percentage of revenue decreased by 128 basis points due to lower fulfillment costs, price increases and other cost savings.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was $27.2 million for the three months ended September 30, 2023, as compared to $25.6 million for the three months ended September 30, 2022. The increase was mainly related to price increases of $2.1 million, reduced trade spending of $1.5 million and other cost savings, offset by the higher transportation and product costs described above.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was $183.8 million for the nine months ended September 30, 2023, as compared to $162.0 million for the nine months ended September 30, 2022. The increase of $21.8 million, or 13.5%, was primarily driven by a 9.6% increase in revenue, $7.6 million of higher product costs and $6.6 million of higher transportation costs. Cost of revenue as a percentage of revenue increased by 245 basis points primarily due to costs from actions taken in connection with the Transformation Initiatives and higher input costs.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was $70.3 million for the nine months ended September 30, 2023, as compared to $69.8 million for the nine months ended September 30, 2022. The increase was mainly related to price increases of $7.2 million and reduced trade spending of $5.8 million, offset by costs related to the Transformation Initiative, including inventory reserves related to product exits and SKU rationalization and higher product and transportation costs.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p>
      <w:pPr>
        <w:pStyle w:val="TextBody"/>
        <w:bidi w:val="0"/>
        <w:spacing w:before="1" w:after="1"/>
        <w:jc w:val="left"/>
        <w:rPr/>
      </w:pPr>
      <w:r>
        <w:rPr/>
      </w:r>
    </w:p>
    <w:tbl>
      <w:tblPr>
        <w:tblW w:w="11905" w:type="dxa"/>
        <w:jc w:val="left"/>
        <w:tblInd w:w="0" w:type="dxa"/>
        <w:tblLayout w:type="fixed"/>
        <w:tblCellMar>
          <w:top w:w="28" w:type="dxa"/>
          <w:left w:w="28" w:type="dxa"/>
          <w:bottom w:w="28" w:type="dxa"/>
          <w:right w:w="28" w:type="dxa"/>
        </w:tblCellMar>
      </w:tblPr>
      <w:tblGrid>
        <w:gridCol w:w="468"/>
        <w:gridCol w:w="411"/>
        <w:gridCol w:w="412"/>
        <w:gridCol w:w="211"/>
        <w:gridCol w:w="721"/>
        <w:gridCol w:w="109"/>
        <w:gridCol w:w="109"/>
        <w:gridCol w:w="109"/>
        <w:gridCol w:w="109"/>
        <w:gridCol w:w="211"/>
        <w:gridCol w:w="721"/>
        <w:gridCol w:w="109"/>
        <w:gridCol w:w="109"/>
        <w:gridCol w:w="109"/>
        <w:gridCol w:w="109"/>
        <w:gridCol w:w="229"/>
        <w:gridCol w:w="507"/>
        <w:gridCol w:w="120"/>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5"/>
        <w:gridCol w:w="315"/>
        <w:gridCol w:w="316"/>
        <w:gridCol w:w="109"/>
        <w:gridCol w:w="109"/>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were $24.1 million for the three months ended September 30, 2023, as compared to $23.5 million for the three months ended September 30, 2022. The increase of $0.7 million, or 2.8%, was primarily due to a $1.5 million increase in service fees related to Honest Baby Clothing and $0.8 million in CFO transition expenses, offset by a decrease in donation expense of $0.6 million, a decrease of $0.4 million related to employee expenses, and a decrease in vendor violation charges of $0.6 million related to the implementation of a new order management system.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Selling, general and administrative expenses were $75.0 million for the nine months ended September 30, 2023, as compared to $63.1 million for the nine months ended September 30, 2022. The increase of $11.9 million, or 18.9%, was primarily due to a $3.5 million increase in service fees related to Honest Baby Clothing, $2.7 million increase in stock-based compensation expense mainly related to the acceleration of the former CEO's and CFO's RSUs, $2.1 million in CEO and CFO transition expenses, $1.7 million increase in donation expense, $1.7 million increase in legal expenses primarily related to securities litigation, and $0.8 million increase in employee-related expenses, offset by a $1.2 million decrease in consulting fees. </w:t>
      </w:r>
      <w:r>
        <w:rPr>
          <w:rFonts w:ascii="Times New Roman;sans-serif" w:hAnsi="Times New Roman;sans-serif"/>
          <w:b w:val="false"/>
          <w:color w:val="231F20"/>
          <w:sz w:val="20"/>
        </w:rPr>
        <w:t xml:space="preserve">Refer to Note 9, “Stock-Based Compensation,” </w:t>
      </w:r>
      <w:r>
        <w:rPr>
          <w:rFonts w:ascii="Times New Roman;sans-serif" w:hAnsi="Times New Roman;sans-serif"/>
          <w:b w:val="false"/>
          <w:color w:val="000000"/>
          <w:sz w:val="20"/>
        </w:rPr>
        <w:t xml:space="preserve">included in our condensed consolidated financial statements in Part I, Item 1 </w:t>
      </w:r>
      <w:r>
        <w:rPr>
          <w:rFonts w:ascii="Times New Roman;sans-serif" w:hAnsi="Times New Roman;sans-serif"/>
          <w:b w:val="false"/>
          <w:color w:val="231F20"/>
          <w:sz w:val="20"/>
        </w:rPr>
        <w:t xml:space="preserve">for more information on the </w:t>
      </w:r>
      <w:r>
        <w:rPr>
          <w:rFonts w:ascii="Times New Roman;sans-serif" w:hAnsi="Times New Roman;sans-serif"/>
          <w:b w:val="false"/>
          <w:color w:val="000000"/>
          <w:sz w:val="20"/>
        </w:rPr>
        <w:t>prior CEO's and CFO's RSUs.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Marketing Expenses </w:t>
      </w:r>
    </w:p>
    <w:p>
      <w:pPr>
        <w:pStyle w:val="TextBody"/>
        <w:bidi w:val="0"/>
        <w:spacing w:before="0" w:after="0"/>
        <w:jc w:val="left"/>
        <w:rPr/>
      </w:pPr>
      <w:r>
        <w:rPr/>
      </w:r>
    </w:p>
    <w:tbl>
      <w:tblPr>
        <w:tblW w:w="11490" w:type="dxa"/>
        <w:jc w:val="left"/>
        <w:tblInd w:w="0" w:type="dxa"/>
        <w:tblLayout w:type="fixed"/>
        <w:tblCellMar>
          <w:top w:w="28" w:type="dxa"/>
          <w:left w:w="28" w:type="dxa"/>
          <w:bottom w:w="28" w:type="dxa"/>
          <w:right w:w="28" w:type="dxa"/>
        </w:tblCellMar>
      </w:tblPr>
      <w:tblGrid>
        <w:gridCol w:w="353"/>
        <w:gridCol w:w="311"/>
        <w:gridCol w:w="312"/>
        <w:gridCol w:w="211"/>
        <w:gridCol w:w="616"/>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expenses were $9.1 million for the three months ended September 30, 2023, as compared to $12.1 million for the three months ended September 30, 2022. The decrease of $3.0 million, or 25.0%, was primarily due to a $1.6 million reduction in retail marketing, decrease of $0.9 million in public relations activities, and a decrease of $0.3 million in photo and video production expenses.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expenses were $28.6 million for the nine months ended September 30, 2023, as compared to $38.1 million for the nine months ended September 30, 2022. The decrease of $9.5 million, or 25.0%, was primarily due to a $4.2 million shift and reduction in digital advertising, a decrease of $2.5 million in public relations activities, and a $1.9 million reduction in retail marketing.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Restructuring Expenses </w:t>
      </w:r>
    </w:p>
    <w:p>
      <w:pPr>
        <w:pStyle w:val="TextBody"/>
        <w:bidi w:val="0"/>
        <w:spacing w:before="0" w:after="0"/>
        <w:jc w:val="left"/>
        <w:rPr/>
      </w:pPr>
      <w:r>
        <w:rPr/>
      </w:r>
    </w:p>
    <w:tbl>
      <w:tblPr>
        <w:tblW w:w="10750" w:type="dxa"/>
        <w:jc w:val="left"/>
        <w:tblInd w:w="0" w:type="dxa"/>
        <w:tblLayout w:type="fixed"/>
        <w:tblCellMar>
          <w:top w:w="28" w:type="dxa"/>
          <w:left w:w="28" w:type="dxa"/>
          <w:bottom w:w="28" w:type="dxa"/>
          <w:right w:w="28" w:type="dxa"/>
        </w:tblCellMar>
      </w:tblPr>
      <w:tblGrid>
        <w:gridCol w:w="446"/>
        <w:gridCol w:w="392"/>
        <w:gridCol w:w="393"/>
        <w:gridCol w:w="211"/>
        <w:gridCol w:w="466"/>
        <w:gridCol w:w="109"/>
        <w:gridCol w:w="109"/>
        <w:gridCol w:w="109"/>
        <w:gridCol w:w="109"/>
        <w:gridCol w:w="211"/>
        <w:gridCol w:w="406"/>
        <w:gridCol w:w="109"/>
        <w:gridCol w:w="109"/>
        <w:gridCol w:w="109"/>
        <w:gridCol w:w="109"/>
        <w:gridCol w:w="229"/>
        <w:gridCol w:w="507"/>
        <w:gridCol w:w="120"/>
        <w:gridCol w:w="109"/>
        <w:gridCol w:w="109"/>
        <w:gridCol w:w="109"/>
        <w:gridCol w:w="315"/>
        <w:gridCol w:w="315"/>
        <w:gridCol w:w="316"/>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315"/>
        <w:gridCol w:w="315"/>
        <w:gridCol w:w="316"/>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expenses were $0.4 million and $2.1 million, respectively, for the three and nine months ended September 30, 2023. Restructuring costs are one of the elements of the Transformation Initiative. For the three months ended September 30, 2023, restructuring costs included employee-related costs of $0.3 million. For the nine months ended September 30, 2023, restructuring costs included employee-related costs of $1.0 million, contract termination costs of $0.9 million, and asset-related costs of $0.2 million. For further details on the Transformation Initiative, refer to Note 14, "Restructuring" included in these condensed consolidated financial statements.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before="0" w:after="0"/>
        <w:jc w:val="left"/>
        <w:rPr/>
      </w:pPr>
      <w:r>
        <w:rPr/>
      </w:r>
    </w:p>
    <w:tbl>
      <w:tblPr>
        <w:tblW w:w="11290" w:type="dxa"/>
        <w:jc w:val="left"/>
        <w:tblInd w:w="0" w:type="dxa"/>
        <w:tblLayout w:type="fixed"/>
        <w:tblCellMar>
          <w:top w:w="28" w:type="dxa"/>
          <w:left w:w="28" w:type="dxa"/>
          <w:bottom w:w="28" w:type="dxa"/>
          <w:right w:w="28" w:type="dxa"/>
        </w:tblCellMar>
      </w:tblPr>
      <w:tblGrid>
        <w:gridCol w:w="430"/>
        <w:gridCol w:w="377"/>
        <w:gridCol w:w="379"/>
        <w:gridCol w:w="211"/>
        <w:gridCol w:w="616"/>
        <w:gridCol w:w="109"/>
        <w:gridCol w:w="109"/>
        <w:gridCol w:w="109"/>
        <w:gridCol w:w="109"/>
        <w:gridCol w:w="211"/>
        <w:gridCol w:w="616"/>
        <w:gridCol w:w="109"/>
        <w:gridCol w:w="109"/>
        <w:gridCol w:w="109"/>
        <w:gridCol w:w="109"/>
        <w:gridCol w:w="211"/>
        <w:gridCol w:w="536"/>
        <w:gridCol w:w="109"/>
        <w:gridCol w:w="109"/>
        <w:gridCol w:w="109"/>
        <w:gridCol w:w="109"/>
        <w:gridCol w:w="315"/>
        <w:gridCol w:w="315"/>
        <w:gridCol w:w="316"/>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315"/>
        <w:gridCol w:w="315"/>
        <w:gridCol w:w="316"/>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$1.6 million for the three months ended September 30, 2023, as compared to $1.7 million for the three months ended September 30, 2022.</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$4.6 million for the nine months ended September 30, 2023, as compared to $5.6 million for the nine months ended September 30, 2022. The decrease of $1.0 million, or 17.8%, was primarily related to a decrease in research and development spend, as we realign resources to reflect the prioritization of higher-margin opportunities as part of our Transformation Initiative.</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3"/>
        <w:gridCol w:w="742"/>
        <w:gridCol w:w="745"/>
        <w:gridCol w:w="253"/>
        <w:gridCol w:w="499"/>
        <w:gridCol w:w="130"/>
        <w:gridCol w:w="130"/>
        <w:gridCol w:w="130"/>
        <w:gridCol w:w="130"/>
        <w:gridCol w:w="253"/>
        <w:gridCol w:w="560"/>
        <w:gridCol w:w="130"/>
        <w:gridCol w:w="113"/>
        <w:gridCol w:w="113"/>
        <w:gridCol w:w="113"/>
        <w:gridCol w:w="227"/>
        <w:gridCol w:w="556"/>
        <w:gridCol w:w="113"/>
        <w:gridCol w:w="113"/>
        <w:gridCol w:w="113"/>
        <w:gridCol w:w="113"/>
        <w:gridCol w:w="109"/>
        <w:gridCol w:w="139"/>
        <w:gridCol w:w="270"/>
        <w:gridCol w:w="668"/>
        <w:gridCol w:w="139"/>
        <w:gridCol w:w="139"/>
        <w:gridCol w:w="139"/>
        <w:gridCol w:w="139"/>
        <w:gridCol w:w="270"/>
        <w:gridCol w:w="597"/>
        <w:gridCol w:w="139"/>
        <w:gridCol w:w="139"/>
        <w:gridCol w:w="139"/>
        <w:gridCol w:w="139"/>
        <w:gridCol w:w="211"/>
        <w:gridCol w:w="538"/>
        <w:gridCol w:w="172"/>
      </w:tblGrid>
      <w:tr>
        <w:trPr/>
        <w:tc>
          <w:tcPr>
            <w:tcW w:w="84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3056"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c>
          <w:tcPr>
            <w:tcW w:w="921" w:type="dxa"/>
            <w:gridSpan w:val="3"/>
            <w:tcBorders/>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54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was net expense of $71 thousand for the three months ended September 30, 2023, as compared to net expense of $29 thousand for the three months ended September 30, 2022.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was net expense of $0.3 million for the nine months ended September 30, 2023, as compared to net income of $0.7 million for the nine months ended September 30, 2022. The decrease of $0.9 million was primarily due to $0.7 million of other income related to the recognition of taxes and interest to be refunded from the Nevada Department of Taxation legal settlement during the nine months ended September 30, 2022 and the write-off of unamortized debt issuance costs as we entered into the new 2023 Credit Facility.</w:t>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1" w:after="1"/>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have incurred net losses and net cash outflows from operating activities since our inception.</w:t>
      </w:r>
      <w:r>
        <w:rPr>
          <w:color w:val="008080"/>
        </w:rPr>
        <w:t xml:space="preserve"> </w:t>
      </w:r>
      <w:r>
        <w:rPr>
          <w:rFonts w:ascii="Times New Roman;sans-serif" w:hAnsi="Times New Roman;sans-serif"/>
          <w:b w:val="false"/>
          <w:color w:val="000000"/>
          <w:sz w:val="20"/>
        </w:rPr>
        <w:t>As of September 30, 2023, we had $23.1 million of cash and cash equivalents. Although we are dependent on our ability to generate sufficient cash flow from operations or raise capital to achieve our business objectives, we believe our existing cash, cash equivalents, and short-term investments will be sufficient to meet our short-term projected operations for the next 12 months from the date of issuance of our unaudited consolidated financial statements and long-term working capital and capital expenditure needs, given our plan to generate positive cash flow from operating activities from reducing our inventory, managing our working capital and achieving our Transformation Initiative. We also have availability under our 2023 Credit Facility which was not drawn as of September 30, 2023.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 debt financing. Additional funds may not be available on terms favorable to us or at all. Failure to raise additional capital, if and when needed, could have a material adverse effect on our financial position, results of operations, and cash flows.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an availability block and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condensed consolidated statements of comprehensive loss. For the three and nine months ended September 30, 2023, the commitment fee incurred was immaterial. As of September 30, 2023, there were $3.9 million outstanding letters of credit and $19.2 million available to be drawn upon.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September 30, 2023, we are in compliance with all covenants under the 2023 Credit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6 "Credit Facilities" included in our condensed consolidated financial statements in Part I, Item 1 for more information on the 2023 Credit Facility.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7825" w:type="dxa"/>
        <w:jc w:val="left"/>
        <w:tblInd w:w="0" w:type="dxa"/>
        <w:tblLayout w:type="fixed"/>
        <w:tblCellMar>
          <w:top w:w="28" w:type="dxa"/>
          <w:left w:w="28" w:type="dxa"/>
          <w:bottom w:w="28" w:type="dxa"/>
          <w:right w:w="28" w:type="dxa"/>
        </w:tblCellMar>
      </w:tblPr>
      <w:tblGrid>
        <w:gridCol w:w="1526"/>
        <w:gridCol w:w="1343"/>
        <w:gridCol w:w="1346"/>
        <w:gridCol w:w="314"/>
        <w:gridCol w:w="918"/>
        <w:gridCol w:w="162"/>
        <w:gridCol w:w="162"/>
        <w:gridCol w:w="162"/>
        <w:gridCol w:w="162"/>
        <w:gridCol w:w="314"/>
        <w:gridCol w:w="1187"/>
        <w:gridCol w:w="229"/>
      </w:tblGrid>
      <w:tr>
        <w:trPr/>
        <w:tc>
          <w:tcPr>
            <w:tcW w:w="152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(50,669)</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24,004 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before="1" w:after="1"/>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largest source of operating cash is from the sales of our products through Digital and Retail channels to our consumers and customers.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 in the past.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$9.4 million for the nine months ended September 30, 2023 was primarily due to net loss of $40.4 million, non-cash adjustments of $20.6 million and a net increase in cash related to changes in operating assets and liabilities of $29.2 million. Non-cash adjustments primarily consisted of stock-based compensation of $13.9 million, amortization of operating Right-of-Use ("ROU") assets of $4.7 million and depreciation and amortization of $2.0 million. Changes in cash flows related to operating assets and liabilities primarily consisted of cash provided by a $36.2 million decrease in inventory, a $7.5 million decrease in prepaid expenses and other assets and a $4.1 million decrease in accounts receivable due to improved collection efforts, offset by $13.9 million lower accounts payable and accrued expenses driven by lower inventory purchases due to our disciplined inventory management and a $5.7 million use of cash due to operating lease obligations in the nine months ended September 30, 2023.</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$50.7 million for the nine months ended September 30, 2022 was primarily due to net loss of $36.4 million, non-cash adjustments of $18.2 million and a net decrease in cash related to changes in operating assets and liabilities of $32.4 million. Non-cash adjustments primarily consisted of stock-based compensation of $11.4 million, amortization of operating ROU assets of $4.6 million and depreciation and amortization of $2.0 million. Changes in cash flows related to operating assets and liabilities primarily consisted of a $24.6 million increase in inventory reflecting cost inflation, the purchase of $5.5 million of Honest Baby Clothing inventory from Butterblu and an increase in weeks of supply due to longer lead times and in advance of new distribution, a $7.1 million increase in accounts receivable due to growth in Retail channel revenue, a $5.2 million use of cash due to operating lease obligations and a $3.2 million increase in prepaid expenses and other assets, offset by a $7.6 million increase in accounts payable due to higher inventory purchases and cost inflation in the nine months ended September 30, 2022.</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investing cash is the sale and maturity of short-term investments and our primary use of investing cash is the purchase of short-term investments and property and equipment.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$4.1 million for the nine months ended September 30, 2023 was primarily due to proceeds from maturities of short-term investments of $5.7 million, offset by purchases of property and equipment of $1.6 million.</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$24.0 million for the nine months ended September 30, 2022 was primarily due to proceeds from maturities of short-term investments of $38.2 million, offset by purchases of short-term investments of $12.8 million.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consisted of proceeds from sales of securities, proceeds from stock option award exercises and principal payments of financing lease obligations. </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$60 thousand for the nine months ended September 30, 2023 consisted of proceeds from the 2021 Employee Stock Purchase Plan (“2021 ESPP”), partially offset by principal payments of financing lease obligations.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$39 thousand for the nine months ended September 30, 2022 primarily consisted of principal payments of financing lease obligations, partially offset by proceeds from stock option exercises and purchases under the 2021 ESPP.</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and present our condensed consolidated financial statements in accordance with GAAP. However, management believes that adjusted EBITDA, a non-GAAP financial measure, provides investors with additional useful information in evaluating our performance.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income (loss), adjusted to exclude: (1) interest and other (income) expense, net; (2) income tax provision; (3) depreciation and amortization; (4) stock-based compensation expense, including payroll tax; (5) litigation and settlement fees associated with certain non-ordinary course securities litigation claims; (6) CEO and CFO transition expenses and (7) restructuring expenses in connection with the Transformation Initiative.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does not include certain non-ordinary cash expenses that we do not believe are representative of our business on a steady-state basis, such as CEO and CFO transition expenses and restructuring expenses in connection with the Transformation Initiative.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revenue and other results stated in accordance with GAAP.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net income (loss), the most directly comparable financial measure stated in accordance with GAAP, to adjusted EBITDA, for each of the periods presented: </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267"/>
        <w:gridCol w:w="1114"/>
        <w:gridCol w:w="1119"/>
        <w:gridCol w:w="276"/>
        <w:gridCol w:w="883"/>
        <w:gridCol w:w="142"/>
        <w:gridCol w:w="142"/>
        <w:gridCol w:w="142"/>
        <w:gridCol w:w="142"/>
        <w:gridCol w:w="276"/>
        <w:gridCol w:w="1021"/>
        <w:gridCol w:w="142"/>
        <w:gridCol w:w="109"/>
        <w:gridCol w:w="109"/>
        <w:gridCol w:w="109"/>
        <w:gridCol w:w="263"/>
        <w:gridCol w:w="972"/>
        <w:gridCol w:w="135"/>
        <w:gridCol w:w="135"/>
        <w:gridCol w:w="135"/>
        <w:gridCol w:w="135"/>
        <w:gridCol w:w="263"/>
        <w:gridCol w:w="972"/>
        <w:gridCol w:w="202"/>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Loss to Adjusted EBITDA</w:t>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3"/>
              </w:rPr>
              <w:t>(1)</w:t>
            </w:r>
          </w:p>
        </w:tc>
        <w:tc>
          <w:tcPr>
            <w:tcW w:w="1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litigation expense</w:t>
            </w:r>
          </w:p>
        </w:tc>
        <w:tc>
          <w:tcPr>
            <w:tcW w:w="1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CEO and CFO transition expense</w:t>
            </w:r>
            <w:r>
              <w:rPr>
                <w:rFonts w:ascii="Times New Roman;sans-serif" w:hAnsi="Times New Roman;sans-serif"/>
                <w:b w:val="false"/>
                <w:color w:val="000000"/>
                <w:sz w:val="13"/>
              </w:rPr>
              <w:t>(2)</w:t>
            </w:r>
          </w:p>
        </w:tc>
        <w:tc>
          <w:tcPr>
            <w:tcW w:w="1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(3)</w:t>
            </w:r>
          </w:p>
        </w:tc>
        <w:tc>
          <w:tcPr>
            <w:tcW w:w="1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 expense related to stock-based compensation</w:t>
            </w:r>
          </w:p>
        </w:tc>
        <w:tc>
          <w:tcPr>
            <w:tcW w:w="1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(15,488)</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before="1" w:after="1"/>
        <w:jc w:val="left"/>
        <w:rPr/>
      </w:pPr>
      <w:r>
        <w:rPr/>
      </w:r>
    </w:p>
    <w:p>
      <w:pPr>
        <w:pStyle w:val="TextBody"/>
        <w:bidi w:val="0"/>
        <w:spacing w:lineRule="auto" w:line="268" w:before="0" w:after="0"/>
        <w:jc w:val="left"/>
        <w:rPr/>
      </w:pPr>
      <w:r>
        <w:rPr>
          <w:rFonts w:ascii="Times New Roman;sans-serif" w:hAnsi="Times New Roman;sans-serif"/>
          <w:b w:val="false"/>
          <w:color w:val="000000"/>
          <w:sz w:val="16"/>
        </w:rPr>
        <w:t xml:space="preserve">(1)    Includes accelerated equity awards related to prior separation agreements of $0.5 million and $3.1 million with </w:t>
      </w:r>
      <w:r>
        <w:rPr>
          <w:rFonts w:ascii="Times New Roman;sans-serif" w:hAnsi="Times New Roman;sans-serif"/>
          <w:b w:val="false"/>
          <w:color w:val="000000"/>
          <w:sz w:val="14"/>
        </w:rPr>
        <w:t xml:space="preserve">our former CEO and CFO </w:t>
      </w:r>
      <w:r>
        <w:rPr>
          <w:rFonts w:ascii="Times New Roman;sans-serif" w:hAnsi="Times New Roman;sans-serif"/>
          <w:b w:val="false"/>
          <w:color w:val="000000"/>
          <w:sz w:val="16"/>
        </w:rPr>
        <w:t>during the three and nine months ended September 30, 2023, respectively. Additionally, includes extension of post-termination stock option exercise periods for certain former executives, resulting in stock-based compensation expense of $0.5 million during the three months ended September 30, 2023.</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    Includes sign-on bonus, relocation, legal, recruiting and separation costs. </w:t>
      </w:r>
    </w:p>
    <w:p>
      <w:pPr>
        <w:pStyle w:val="TextBody"/>
        <w:bidi w:val="0"/>
        <w:spacing w:lineRule="auto" w:line="268" w:before="1" w:after="1"/>
        <w:jc w:val="left"/>
        <w:rPr>
          <w:rFonts w:ascii="Times New Roman;sans-serif" w:hAnsi="Times New Roman;sans-serif"/>
          <w:b w:val="false"/>
          <w:color w:val="000000"/>
          <w:sz w:val="16"/>
        </w:rPr>
      </w:pPr>
      <w:r>
        <w:rPr>
          <w:rFonts w:ascii="Times New Roman;sans-serif" w:hAnsi="Times New Roman;sans-serif"/>
          <w:b w:val="false"/>
          <w:color w:val="000000"/>
          <w:sz w:val="16"/>
        </w:rPr>
        <w:t>(3)    See Note 14 “Restructuring” in our unaudited condensed consolidated financial statements for items included in restructuring expense.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were no changes to our material cash requirements from those described under “Management's Discussion and Analysis of Financial Condition and Results of Operations” in our Annual Report, apart from the material cash outlay of $4.0 million to $5.0 million expected in 2023 as part of our Transformation Initiative.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and nine months ended September 30, 2023, there were no material changes to our critical accounting estimates from those discussed in our Annual Report. Refer to Note 2, "Summary of Significant Accounting Policies" to our condensed consolidated financial statements included in this Quarterly Report on Form 10-Q for a discussion of the adoption of Accounting Standard Codification 326 and related policy changes.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2, "Summary of Significant Accounting Policies" to our condensed consolidated financial statements included in this Quarterly Report on Form 10-Q for a discussion of recently adopted accounting pronouncements and recently issued accounting pronouncements not yet adopted,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Emerging Growth Company Status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 rules and regulations, as a smaller reporting company, we are not required to provide the information required by this item.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maintain “disclosure controls a</w:t>
      </w:r>
      <w:r>
        <w:rPr>
          <w:rFonts w:ascii="Times New Roman;sans-serif" w:hAnsi="Times New Roman;sans-serif"/>
          <w:b w:val="false"/>
          <w:color w:val="000000"/>
          <w:sz w:val="20"/>
          <w:shd w:fill="FFFFFF" w:val="clear"/>
        </w:rPr>
        <w:t xml:space="preserve">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ans-serif" w:hAnsi="Times New Roman;sans-serif"/>
          <w:b w:val="false"/>
          <w:color w:val="000000"/>
          <w:sz w:val="20"/>
        </w:rPr>
        <w:t xml:space="preserve">Our management, with the participation of our </w:t>
      </w:r>
      <w:r>
        <w:rPr>
          <w:rFonts w:ascii="Times New Roman;sans-serif" w:hAnsi="Times New Roman;sans-serif"/>
          <w:b w:val="false"/>
          <w:color w:val="000000"/>
          <w:sz w:val="20"/>
          <w:shd w:fill="FFFFFF" w:val="clear"/>
        </w:rPr>
        <w:t>principal executive officer and principal financial officer</w:t>
      </w:r>
      <w:r>
        <w:rPr>
          <w:rFonts w:ascii="Times New Roman;sans-serif" w:hAnsi="Times New Roman;sans-serif"/>
          <w:b w:val="false"/>
          <w:color w:val="000000"/>
          <w:sz w:val="20"/>
        </w:rPr>
        <w:t>, evaluated, as of the period ended September 30, 2023,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the Company's internal control over financial reporting that occurred during the quarter ended September 30, 2023 that has materially affected, or is reasonably likely to materially affect, the Company's internal control over financial reporting.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1" w:after="1"/>
        <w:ind w:left="0" w:right="0" w:firstLine="720"/>
        <w:jc w:val="left"/>
        <w:rPr/>
      </w:pPr>
      <w:r>
        <w:rPr>
          <w:rFonts w:ascii="Times New Roman;sans-serif" w:hAnsi="Times New Roman;sans-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ans-serif" w:hAnsi="Times New Roman;sans-serif"/>
          <w:b w:val="false"/>
          <w:color w:val="000000"/>
          <w:sz w:val="20"/>
          <w:shd w:fill="FFFFFF" w:val="clear"/>
        </w:rPr>
        <w:t>principal executive officer and principal financial officer</w:t>
      </w:r>
      <w:r>
        <w:rPr>
          <w:rFonts w:ascii="Times New Roman;sans-serif" w:hAnsi="Times New Roman;sans-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under the heading “Litigation” in Note 8 to our condensed consolidated financial statements included in this Quarterly Report on Form 10-Q is incorporated by reference into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substantial risks. Some of the more significant risks include the following:</w:t>
      </w:r>
    </w:p>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We have incurred net losses each year since our inception and we may not be able to achieve or maintain profitability in the future.</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growth may not be indicative of our future growth and we may not be able to effectively manage our growth or evaluate our future prospects. If we fail to effectively manage our future growth or evaluate our future prospects, our business could be adversely affected.</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quarterly operating results may fluctuate, which could cause our stock price to decline.</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Economic conditions, including a potential recession and inflationary pressures such as price increases in commodity prices, labor costs, input costs and transportation costs and their impact on consumer spending and our operating results.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strategic initiatives to reduce our costs could have long-term adverse effects on our business, financial condition, results of operations and prospects, could result in total costs and expenses that are greater than expected, and we may not realize the anticipated operational or financial benefits from such actions.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Consolidation of retail customers, the loss of a significant retail or third-party ecommerce customer or a significant change in such customers' historical purchasing patterns could negatively impact our sales and ability to achieve or maintain profitability.</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business, including our costs and supply chain, is subject to risks associated with sourcing, manufacturing, warehousing and logistics, and the loss of any of our key suppliers or logistical service providers could negatively impact our business.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We may not be able to compete successfully in our highly competitive market.</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 xml:space="preserve">Our cash, cash equivalents and short-term investments may not meet our liquidity needs. </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We must expend resources to maintain consumer awareness of our brand, build brand loyalty and generate interest in our products. Our marketing strategies and channels will evolve and our efforts may or may not be successful.</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Increasing scrutiny and evolving expectations from stakeholders with respect to our environmental, social and governance (ESG) practices, performance, commitments and disclosures may impact our reputation, increase our costs and impact our access to capital.</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ability to maintain our competitive position is largely dependent on the services of our senior management and other key personnel, including our founder and Chief Creative Officer, Jessica Warren and our Chief Executive Officer, Carla Vernón.</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A disruption in our operations could have an adverse effect on our business.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Pandemics or disease outbreaks, and overall macroeconomic trends have had and may continue to have an adverse effect on our business, financial condition, results of operations and prospects.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Adverse developments affecting the financial services industry, such as actual events or concerns involving liquidity, defaults or non-performance by financial institutions could adversely affect our current financial condition and projected business operations.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 xml:space="preserve">SEC regulations governing cybersecurity disclosure about risk management, strategy and governance and requirements for reporting of cybersecurity incidents may increase our compliance costs. </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International trade disputes and the U.S. government’s trade policy could adversely affect our business.</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Our business may be adversely affected if we are unable to provide our consumers with a technological platform that is able to respond and adapt to rapid changes in technology.</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RISK FACTORS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 xml:space="preserve">included in our Annual Report.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231F20"/>
          <w:sz w:val="20"/>
        </w:rPr>
        <w:t xml:space="preserve">Our strategic initiatives to reduce our costs could have long-term adverse effects on our business, financial condition, results of operations and prospects, </w:t>
      </w:r>
      <w:r>
        <w:rPr>
          <w:rFonts w:ascii="Times New Roman;sans-serif" w:hAnsi="Times New Roman;sans-serif"/>
          <w:b/>
          <w:i/>
          <w:color w:val="000000"/>
          <w:sz w:val="20"/>
        </w:rPr>
        <w:t xml:space="preserve">could result in total costs and expenses that are greater than expected, </w:t>
      </w:r>
      <w:r>
        <w:rPr>
          <w:rFonts w:ascii="Times New Roman;sans-serif" w:hAnsi="Times New Roman;sans-serif"/>
          <w:b/>
          <w:i/>
          <w:color w:val="231F20"/>
          <w:sz w:val="20"/>
        </w:rPr>
        <w:t>and we may not realize the operational or financial benefits from such actions.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began executing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This Transformation Initiative and the timing and success of such efforts are subject to many risks and uncertainties, including, without limitation, our ability to reduce costs and achieve positive gross margins; meet certain revenue and operating expense targets; and monetize inventory and manage working capital. We may not be successful in implementing these initiatives or realizing our anticipated savings and efficiencies, including as a result of factors beyond our control. In addition, any changes we make to reduce our cost structure, including changes to our products, formulations, or packaging, may result in reduced consumer demand for our products and increased carrying costs. Our future financial performance will depend, in part, on our ability to effectively manage any future growth or restructuring, as applicable. We may not realize, in full or in part, the anticipated benefits, savings and improvements in our cost structure from the Transformation Initiative due to unforeseen difficulties, delays or unexpected costs. If we are unable to realize the anticipated savings and efficiencies of our strategic initiatives, or if they result in unintended consequences, then our operating and financial results would be adversely affected and could differ materially from our expectations.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Transformation Initiative has resulted in the loss of institutional knowledge and expertise, as well as the reallocation and combination of certain roles and responsibilities across the Company, all of which could adversely affect our operations. These effects could have a material adverse effect on our ability to execute on our updated business model. There can be no assurance that we will be successful in implementing the Transformation Initiative. The Transformation Initiative may also be disruptive to our operations. For example, our headcount reductions could yield unanticipated consequences, such as increased difficulties in implementing our business strategy, including retention of our remaining employees, adverse effects on employee morale, diversion of management attention, and adverse effects on our reputation as an employer.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We have a history of net losses and we may not be able to achieve or maintain profitability in the future.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231F20"/>
          <w:sz w:val="20"/>
        </w:rPr>
        <w:t xml:space="preserve">We have incurred net losses each year since our inception and we may not be able to achieve or maintain profitability in the future. Our expenses will likely increase as a result of implementing the </w:t>
      </w:r>
      <w:r>
        <w:rPr>
          <w:rFonts w:ascii="Times New Roman;sans-serif" w:hAnsi="Times New Roman;sans-serif"/>
          <w:b w:val="false"/>
          <w:color w:val="000000"/>
          <w:sz w:val="20"/>
        </w:rPr>
        <w:t>Transformation Initiative</w:t>
      </w:r>
      <w:r>
        <w:rPr>
          <w:rFonts w:ascii="Times New Roman;sans-serif" w:hAnsi="Times New Roman;sans-serif"/>
          <w:b w:val="false"/>
          <w:color w:val="231F20"/>
          <w:sz w:val="20"/>
        </w:rPr>
        <w:t xml:space="preserve">. Even as we try to manage our expenses and implement the </w:t>
      </w:r>
      <w:r>
        <w:rPr>
          <w:rFonts w:ascii="Times New Roman;sans-serif" w:hAnsi="Times New Roman;sans-serif"/>
          <w:b w:val="false"/>
          <w:color w:val="000000"/>
          <w:sz w:val="20"/>
        </w:rPr>
        <w:t>Transformation Initiative</w:t>
      </w:r>
      <w:r>
        <w:rPr>
          <w:rFonts w:ascii="Times New Roman;sans-serif" w:hAnsi="Times New Roman;sans-serif"/>
          <w:b w:val="false"/>
          <w:color w:val="231F20"/>
          <w:sz w:val="20"/>
        </w:rPr>
        <w:t>, these efforts may be more costly than we expect and may not result in increased revenue or growth or margin improvements in our business.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are likely to continue to incur significant losses and may not be able to achieve or maintain profitability.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We may be unable to accurately forecast revenue, gross margin or operating expenses and appropriately plan our expenses in the future.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231F20"/>
          <w:sz w:val="20"/>
        </w:rPr>
        <w:t xml:space="preserve">Revenue and results of operations are difficult to forecast because they generally depend on the volume, timing and type of orders we receive across our various channels, all of which are uncertain. Forecasts have been and may continue to be particularly challenging in the current macroeconomic environment, in particular as we implement margin-enhancing and cost-cutting programs. We base our expense levels and investment plans on our estimates of revenue and gross margin. We cannot be sure prior growth rates and trends are meaningful predictors of future growth. </w:t>
      </w:r>
      <w:r>
        <w:rPr>
          <w:rFonts w:ascii="Times New Roman;sans-serif" w:hAnsi="Times New Roman;sans-serif"/>
          <w:b w:val="false"/>
          <w:color w:val="000000"/>
          <w:sz w:val="20"/>
        </w:rPr>
        <w:t xml:space="preserve">For example, in the third quarter of 2022, some of our digital and retail customers began to reduce inventory on hand and have changed fulfillment schedules, which has negatively impacted our fulfillment operations and our revenue and is expected to continue to do so in the future. </w:t>
      </w:r>
      <w:r>
        <w:rPr>
          <w:rFonts w:ascii="Times New Roman;sans-serif" w:hAnsi="Times New Roman;sans-serif"/>
          <w:b w:val="false"/>
          <w:color w:val="231F20"/>
          <w:sz w:val="20"/>
        </w:rPr>
        <w:t xml:space="preserve">If our assumptions prove to be wrong, we may generate lower revenue or gross margin than anticipated or may spend more than we anticipate acquiring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retaining consumers either of which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Our ability to maintain our competitive position is largely dependent on the services of our senior management and other key personnel, including our founder and Chief Creative Officer, Jessica Warren, and our Chief Executive Officer, Carla Vernón.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maintain our competitive position is largely dependent on the services of our senior management and other key personnel, including our founder and Chief Creative Officer, Jessica Warren, and our Chief Executive Officer, Carla Vernón. The loss of the services of either of these persons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Jessica Warren is a globally recognized Latina business leader, entrepreneur, advocate, actress, and New York Times bestselling author. We believe that the success of our brand depends in part on our ongoing affiliation with Jessica Warren. We have an agreement with Jessica Warren, or the Likeness Agreement, which, among other things, includes a license for her likeness and imposes various obligations on us. Ms. Warren has the right to terminate the Likeness Agreement at any time upon prior written notice, and the Likeness Agreement will immediately terminate in the event we become insolvent. Upon termination of the Likeness Agreement, we could, among other things, be required to pay damages to Ms. Warren, lose our ability to associate the brand with Ms. Warren, including the ability to sell existing inventory using the licensed intellectual property, and sustain reputational damage. We are currently renegotiating the Likeness Agreement with Ms. Warren. The termination of the Likeness Agreement or other new terms negotiated upon renegotiation of the Likeness Agreement could result in a reduction of our operating margins and cash flow from operations or otherwise adversely affect our business. Additionally, the loss of our ability to use Ms. Warren’s likeness could result in marketplace confusion, loss of goodwill and/or similar negative consequences. We depend on Ms. Warren’s social media reach and influence to connect with consumers and provide insight on current trends. If Ms. Warren objects to a proposed use of the licensed property, we may be prevented from implementing our business plan in a timely manner, or at all, outside of previously approved usages or usages consistent with certain pre-approved product guidelines. The loss of the services of Ms. Warren, or the loss of our ability to use Ms. Warren’s likeness,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Our brand may also depend on the positive image and public popularity of Ms. Warren to maintain and increase brand recognition. Ms. Warren’s social media presence and approximately 50 million followers as of October 2023 across all of her social media channels combined represent a large social following and potential audience for our social media reach. Consumers may be drawn to our products because of her involvement with us. If Ms. Warren’s image, reputation or popularity is materially and adversely affected, this could negatively affect the marketability and sales of our products and could have an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future success depends on our continued ability to attract, develop, motivate and retain highly qualified and skilled employees, including Carla Vernón, who became our Chief Executive Officer effective January 9, 2023.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results of operations and prospects could be adversely affected.</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listing of our securities on the Nasdaq Capital Market or another reputable stock exchange, it may be more difficult for our stockholders to sell their securities.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Nasdaq requires listing issuers to comply with certain standards in order to remain listed on its exchange. If we fail to satisfy the continued listing requirements of Nasdaq, such as the minimum closing bid price requirement, Nasdaq may take steps to delist our common stock.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if at any time the bid price of our common stock closes at below $1.00 per share for more than 30 consecutive trading days, we may be subject to delisting from the Nasdaq Capital Market. If we receive a delisting notice, we would have 180 calendar days to regain compliance (subject to any additional 180-day compliance period which may be available to us), which would mean having a bid price above the minimum of $1.00 for at least 10 consecutive days in the 180-day period. During this 180-day period, we would anticipate reviewing our options to regain compliance with the minimum bid requirements, including conducting a reverse stock split. To the extent that we are unable to resolve any listing deficiency, there is a risk that our common stock may be delisted from Nasdaq, which would adversely impact liquidity of our common stock and potentially result in even lower bid prices for our common stock. On October 27, 2023, the closing price of our common stock was $1.11 per share.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for any reason, Nasdaq should delist our securities from trading on its exchange and we are unable to obtain listing on another reputable national securities exchange, such a delisting would likely have a negative effect on the price of our common stock and would impair your ability to sell or purchase our common stock when you wish to do so. In the event of a delisting,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each of which could materially adversely affect our stockholders.</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Increasing scrutiny and evolving expectations from stakeholders with respect to our ESG practices, performance, commitments and disclosures may impact our reputation, increase our costs and impact our access to capital.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Stakeholder scrutiny related to our ESG practices, commitments, performance and disclosures continues to increase. We have adopted certain policies and programs, including with respect to responsible ingredients and sustainability, safety and health, human capital management, social performance and community relations, diversity and inclusion and supply chain code of conduct. Our stakeholders might not be satisfied with our ESG practices, commitments, performance and/or disclosures, or the speed of their adoption, implementation and measurable success. Investor advocacy groups, certain institutional investors, investment funds, creditors and other influential investors are increasingly focused on our ESG practices and in recent years have placed increasing importance on the ESG implications of their investments and lending decisions. If we do not meet our stakeholders’ evolving expectations, our reputation, access to and cost of capital, and stock price could be negatively impacted.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Organizations that provide information to investors and financial institutions on ESG performance and related matters have developed quantitative and qualitative data collection processes and ratings processes for evaluating companies on their approach to ESG matters. Such ratings are used by some investors to inform their investment and voting decisions. In addition, many investors have created their own proprietary ratings that inform their investment and voting decisions. Unfavorable ratings or assessment of our ESG practices, including our compliance with certain disclosure standards and frameworks, may lead to negative investor sentiment toward us, which could have a negative impact on our stock price and our access to and cost of capital.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focus on our ESG practices, commitments, performance and disclosures, and as ESG-related regulations and disclosure standards and frameworks continue to evolve, we have expanded our public disclosures in these areas. Such disclosures may reflect goals, aspirations, commitments, cost estimates and other expectations and assumptions, including over long timeframes, which are necessarily uncertain and may not be realized.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New government regulations could also result in new or more stringent forms of ESG oversight and expanded disclosure. The SEC proposed climate-change related disclosure rules that, if adopted, would require significant disclosure regarding GHG emissions and would require significant time and expense to collect and prepare the information which may need to be gathered to satisfy such new disclosure requirements and any regulatory requirements for independent attestation as to such disclosures. In addition, the Company may become subject to climate or other ESG reporting regulations in jurisdictions such as California or the European Union, or may be subject to pressure from customers, investors, and other stakeholders to provide ESG-related data or adopt certain ESG policies, which may impose additional financial and administrative burdens. In addition, our climate or other ESG claims or goals could result in additional disclosure obligations under regulations in California or other jurisdictions, or expose the Company to regulatory, customer, or other stakeholder scrutiny. Further, the voluntary disclosure standards or frameworks we choose to align with are evolving and may change over time and our interpretation of such disclosure standards and frameworks may differ from those of others, either of which may result in a lack of consistent or meaningful comparative data from period to period and/or significant revisions to our goals and aspirations or reported progress in achieving such goals and aspirations.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Ensuring that there are adequate systems and processes in place to comply with the various ESG tracking and disclosure obligations will require management’s time and expense. If we do not adapt to or comply with government regulations, investor or stakeholder expectations, including with respect to evolving disclosure standards and frameworks, or if we are perceived to have not responded appropriately, regardless of whether there is a legal requirement to do so, we may suffer from reputational damage and our business, financial condition, cost of capital and/or stock price could be adversely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being associated with activities by suppliers, contractors or other affiliates that have or are perceived to have individual or cumulative adverse impacts on the environment, climate, biodiversity and land management, water access and management, human rights or cultural heritage could negatively affect our reputation and impose additional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95"/>
        <w:gridCol w:w="346"/>
        <w:gridCol w:w="348"/>
        <w:gridCol w:w="109"/>
        <w:gridCol w:w="109"/>
        <w:gridCol w:w="109"/>
        <w:gridCol w:w="2919"/>
        <w:gridCol w:w="2743"/>
        <w:gridCol w:w="2752"/>
        <w:gridCol w:w="109"/>
        <w:gridCol w:w="109"/>
        <w:gridCol w:w="157"/>
      </w:tblGrid>
      <w:tr>
        <w:trPr/>
        <w:tc>
          <w:tcPr>
            <w:tcW w:w="3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Articles of Incorporation, as currently in effect (incorporated herein by reference to Exhibit 3.1 to the Company’s Current Report on Form 8-K (File No. 001-40378), filed with the SEC on May 11,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as currently in effect (incorporated herein by reference to Exhibit 3.2 to the Company’s Annual Report on Form 10-K (File No. 001-40378), filed with the SEC on March 16,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dlorettaexecuti.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dated August 31, 2023, by and between the Company and Dave Loretta.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kkennedyseparat.htm">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Agreement and Release of Claims, dated September 29, 2023, by and between the Company and Kelly Kennedy.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s103-honestcoxlsaam.htm">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Twenty-Six to the Logistics Services Agreement, dated as of August 31, 2023 by and between the Company and Geodis Logistics, LLC</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4-honestcoxlsaam2.htm">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Twenty-Seven to the Logistics Services Agreement, dated as of October 26, 2023 by and between the Company and Geodis Logistics, LLC</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3-23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 13a-14(a) and Rule 15d-14(a),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3-23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 13a-14(a) and Rule 15d-14(a),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3-23exhibit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18 U.S.C. Section 1350, as adopted pursuant to Section 906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3-23exhibit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101.INS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Instance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Schema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Label Linkbase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Presentation Linkbase Document</w:t>
            </w:r>
          </w:p>
          <w:p>
            <w:pPr>
              <w:pStyle w:val="TableContents"/>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6"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ind w:left="0" w:right="0" w:hanging="49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465" w:type="dxa"/>
        <w:jc w:val="left"/>
        <w:tblInd w:w="0" w:type="dxa"/>
        <w:tblLayout w:type="fixed"/>
        <w:tblCellMar>
          <w:top w:w="28" w:type="dxa"/>
          <w:left w:w="28" w:type="dxa"/>
          <w:bottom w:w="28" w:type="dxa"/>
          <w:right w:w="28" w:type="dxa"/>
        </w:tblCellMar>
      </w:tblPr>
      <w:tblGrid>
        <w:gridCol w:w="759"/>
        <w:gridCol w:w="668"/>
        <w:gridCol w:w="672"/>
        <w:gridCol w:w="359"/>
        <w:gridCol w:w="359"/>
        <w:gridCol w:w="359"/>
        <w:gridCol w:w="1248"/>
        <w:gridCol w:w="1248"/>
        <w:gridCol w:w="179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Honest Company, Inc.</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Carla Vernón </w:t>
            </w:r>
          </w:p>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David Loretta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David Loretta</w:t>
            </w:r>
          </w:p>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br/>
              <w:t>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40" w:before="75" w:after="283"/>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lineRule="auto" w:line="240" w:before="75"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August 31, 2023</w:t>
      </w:r>
    </w:p>
    <w:p>
      <w:pPr>
        <w:pStyle w:val="TextBody"/>
        <w:bidi w:val="0"/>
        <w:spacing w:before="0" w:after="0"/>
        <w:jc w:val="left"/>
        <w:rPr/>
      </w:pPr>
      <w:r>
        <w:rPr/>
      </w:r>
    </w:p>
    <w:p>
      <w:pPr>
        <w:pStyle w:val="TextBody"/>
        <w:bidi w:val="0"/>
        <w:spacing w:lineRule="auto" w:line="240" w:before="18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Dave Loretta Verona, WI</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    Employment Agreement</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Dear Dave:</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Honest Company, Inc. (the “Company”) is pleased to offer you at-will employment in the position of EVP, Chief Financial Officer on the terms and conditions set forth in this letter agreement (the “Agreement”).</w:t>
      </w:r>
    </w:p>
    <w:p>
      <w:pPr>
        <w:pStyle w:val="TextBody"/>
        <w:bidi w:val="0"/>
        <w:spacing w:before="11" w:after="283"/>
        <w:jc w:val="left"/>
        <w:rPr/>
      </w:pPr>
      <w:r>
        <w:rPr/>
      </w:r>
    </w:p>
    <w:p>
      <w:pPr>
        <w:pStyle w:val="TextBody"/>
        <w:bidi w:val="0"/>
        <w:spacing w:lineRule="auto" w:line="240" w:before="0" w:after="0"/>
        <w:jc w:val="both"/>
        <w:rPr/>
      </w:pPr>
      <w:r>
        <w:rPr>
          <w:rFonts w:ascii="Times New Roman;sans-serif" w:hAnsi="Times New Roman;sans-serif"/>
          <w:b/>
          <w:color w:val="000000"/>
          <w:sz w:val="24"/>
        </w:rPr>
        <w:t xml:space="preserve">1.Employment by the Company. </w:t>
      </w:r>
      <w:r>
        <w:rPr>
          <w:rFonts w:ascii="Times New Roman;sans-serif" w:hAnsi="Times New Roman;sans-serif"/>
          <w:b w:val="false"/>
          <w:color w:val="000000"/>
          <w:sz w:val="24"/>
        </w:rPr>
        <w:t>This Agreement and your employment under the terms hereunder shall take effect on September 25, 2023 (the “Effective Date”). This is an exempt position, and during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shall perform such duties as are required by the Company’s Chief Executive Officer (“CEO”), to whom you will report. Your primary work location, at which the Company expects you to work on a regular basis, shall be the Company’s office located in Los Angeles, California. The Company reserves the right to reasonably require you to perform your duties at places other than your primary office location from time to time, and to require reasonable business travel.</w:t>
      </w:r>
    </w:p>
    <w:p>
      <w:pPr>
        <w:pStyle w:val="TextBody"/>
        <w:bidi w:val="0"/>
        <w:spacing w:before="11" w:after="283"/>
        <w:jc w:val="left"/>
        <w:rPr/>
      </w:pPr>
      <w:r>
        <w:rPr/>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2.Compensation.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2.1.Base Salary. </w:t>
      </w:r>
      <w:r>
        <w:rPr>
          <w:rFonts w:ascii="Times New Roman;sans-serif" w:hAnsi="Times New Roman;sans-serif"/>
          <w:b w:val="false"/>
          <w:color w:val="000000"/>
          <w:sz w:val="24"/>
        </w:rPr>
        <w:t>For services to be rendered hereunder, you shall receive a base salary at the rate of $475,000 per year (the “Base Salary”), subject to standard payroll deductions and withholdings and payable in accordance with the Company’s regular payroll schedule.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2.2.Annual Bonus. </w:t>
      </w:r>
      <w:r>
        <w:rPr>
          <w:rFonts w:ascii="Times New Roman;sans-serif" w:hAnsi="Times New Roman;sans-serif"/>
          <w:b w:val="false"/>
          <w:color w:val="000000"/>
          <w:sz w:val="24"/>
        </w:rPr>
        <w:t>You will be eligible for an annual discretionary bonus with a target amount of 70% of your then current annual Base Salary (the “Annual Bonus”). Whether you receive an Annual Bonus for any given year, and the amount of any such Annual Bonus, will be determined by the Board of Directors of the Company and/or its Compensation Committee (the “Board”) in its discretion based upon the achievement of corporate and/or individual objectives and milestones that are determined in the sole discretion of the Board and other criteria to be determined by the Board. You must continue to be employed through the date the Annual Bonus is paid in order to earn such bonus. If your employment terminates for any reason prior to the payment date, you will not have earned, and will not be paid, any pro-rated bonus. The Annual Bonus, if earned, shall be paid to you in a lump sum no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calendar year that follows the performance year, subject to applicable payroll deductions and withholdings. You are eligible 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52475"/>
                <wp:effectExtent l="0" t="0" r="0" b="0"/>
                <wp:wrapNone/>
                <wp:docPr id="46" name="Frame4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5"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pro-rated Annual Bonus for FY2023. Your Annual Bonus will be subject to any recoupment policy adopted by the Company or as required by law.</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1.1.Sign on Bonus. </w:t>
      </w:r>
      <w:r>
        <w:rPr>
          <w:rFonts w:ascii="Times New Roman;sans-serif" w:hAnsi="Times New Roman;sans-serif"/>
          <w:b w:val="false"/>
          <w:color w:val="000000"/>
          <w:sz w:val="24"/>
        </w:rPr>
        <w:t>You will be paid a cash retention award of $150,000, subject to applicable withholdings. The first installment of 50% of the retention award will be paid out within six months of the Effective Date, and the remaining 50% will be paid out by twelve months of the Effective Date. Each payment is subject to repayment to the Company if you resign without Good Reason or are terminated for Cause within 12 months of the payment. This retention award will be subject to any recoupment policy adopted by the Company or as required by law.</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1.2.Relocation. </w:t>
      </w:r>
      <w:r>
        <w:rPr>
          <w:rFonts w:ascii="Times New Roman;sans-serif" w:hAnsi="Times New Roman;sans-serif"/>
          <w:b w:val="false"/>
          <w:color w:val="000000"/>
          <w:sz w:val="24"/>
        </w:rPr>
        <w:t>For the purposes of relocation to the Southern California area within the next 12 months, you will be entitled to a lump sum of $100,000, less any applicable withholdings, to be paid in the first payroll cycle following the Effective Date. This lump sum is subject to repayment if you do not relocate to the Southern California area within 12 months of the Effective Date.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1.3.Equity</w:t>
      </w:r>
      <w:r>
        <w:rPr>
          <w:rFonts w:ascii="Times New Roman;sans-serif" w:hAnsi="Times New Roman;sans-serif"/>
          <w:b w:val="false"/>
          <w:color w:val="000000"/>
          <w:sz w:val="24"/>
        </w:rPr>
        <w:t>. Subject to the approval of the Board and you remaining employed by the Company through the grant date, the Company will grant you restricted stock units (“RSUs”) having a grant date value approximately equal to</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$1,000,000 as soon as administratively practicable following the Effective Date, with the number of RSUs to be calculated by dividing the grant value by the 30-day trailing average closing price of a share of the Company’s common stock on the date of grant. The RSUs will be granted under and governed by the Company’s 2023 Inducement Plan (the “2023 Plan”), the Company’s standard restricted stock unit award agreement and grant notice approved by the Board for use under the 2023 Plan, and subject to compliance with Section 409A of the Internal Revenue Code and any other applicable law. Twenty-five percent (25%) of the RSUs will vest on the Company quarterly vesting date closest to the one-year anniversary of the Effective Date, and one-twelfth (1/12th) of the remaining RSUs will vest on each of the next twelve (12) Company quarterly vesting dates thereafter, subject to your Continuous Service (as defined in the 2023 Plan) on each vesting date. For clarity, the Board will determine the Company quarterly vesting dates at the time of grant in its sole and absolute discretion.</w:t>
      </w:r>
    </w:p>
    <w:p>
      <w:pPr>
        <w:pStyle w:val="TextBody"/>
        <w:bidi w:val="0"/>
        <w:spacing w:before="10" w:after="283"/>
        <w:jc w:val="left"/>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approval of the Board and you remaining employed by the Company through the grant date, the Company will grant you RSUs having a grant date value approximately equal to $735,000 in Q1 2024 or at the same time as 2024 annual grants are made to other of the Company’s executives, with the number of RSUs to be calculated by dividing the grant value by the 30-day trailing average closing price of a share of the Company’s common stock on the date of grant. The RSUs will be granted under and governed by the Company’s 2021 Equity Incentive Plan (the “2021 Plan”), the Company’s standard restricted stock unit award agreement and grant notice approved by the Board for use under the 2021 Plan, and subject to compliance with Section 409A of the Internal Revenue Code and any other applicable law. Twenty-five percent (25%) of the RSUs will vest on the Company quarterly vesting date following the one-year anniversary of the grant date, and one- twelfth (1/12th) of the remaining RSUs will vest on each of the next twelve (12)</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52475"/>
                <wp:effectExtent l="0" t="0" r="0" b="0"/>
                <wp:wrapNone/>
                <wp:docPr id="47" name="Frame4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5"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Company quarterly vesting dates thereafter, subject to your Continuous Service (as defined in the 2021 Plan) on each vesting date. For clarity, the Board will determine the Company quarterly vesting dates at the time of grant in its sole and absolute discretion.</w:t>
      </w:r>
    </w:p>
    <w:p>
      <w:pPr>
        <w:pStyle w:val="TextBody"/>
        <w:bidi w:val="0"/>
        <w:spacing w:before="10"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You will be eligible for future equity awards as determined by the Board in its sole discretion. RSU awards are generally subject to income and employment tax withholding upon settlement.</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color w:val="000000"/>
          <w:sz w:val="24"/>
        </w:rPr>
        <w:t xml:space="preserve">3.Business Expenses. </w:t>
      </w:r>
      <w:r>
        <w:rPr>
          <w:rFonts w:ascii="Times New Roman;sans-serif" w:hAnsi="Times New Roman;sans-serif"/>
          <w:b w:val="false"/>
          <w:color w:val="000000"/>
          <w:sz w:val="24"/>
        </w:rPr>
        <w:t>You will be eligible for reimbursement of all reasonable, necessary and documented out-of-pocket business, entertainment, and travel expenses, excluding travel expenses to and from your current residence and our headquarters in Southern California, incurred by you in connection with the performance of your duties hereunder in accordance with the Company's expense reimbursement policies and procedures.</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4"/>
        </w:rPr>
        <w:t>4.Company Policies; Standard Company Benefits</w:t>
      </w:r>
      <w:r>
        <w:rPr>
          <w:rFonts w:ascii="Times New Roman;sans-serif" w:hAnsi="Times New Roman;sans-serif"/>
          <w:b w:val="false"/>
          <w:color w:val="000000"/>
          <w:sz w:val="24"/>
        </w:rPr>
        <w:t>. The employment relationship between the parties shall be governed by the general employment policies and practices of the Company, except that when the terms of this Agreement differ from or are in conflict with the Company’s general employment policies or practices, this Agreement shall control. You shall remain eligible to participate in all employee benefit programs for which you are eligible under the terms and conditions of the benefit plans that may be in effect from time to time. The Company reserves the right to cancel or change the benefit plans or programs it offers to its employees, including senior management, at any time.</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color w:val="000000"/>
          <w:sz w:val="24"/>
        </w:rPr>
        <w:t xml:space="preserve">5.At-Will Employment. </w:t>
      </w:r>
      <w:r>
        <w:rPr>
          <w:rFonts w:ascii="Times New Roman;sans-serif" w:hAnsi="Times New Roman;sans-serif"/>
          <w:b w:val="false"/>
          <w:color w:val="000000"/>
          <w:sz w:val="24"/>
        </w:rPr>
        <w:t>Your employment relationship is at-will. Either you or the Company may terminate the employment relationship at any time, with or without cause or advance notice. Subject to the “Good Reason” provision set forth in Section 7 and Section 8.3, the Company may, in its sole discretion, adjust salaries, incentive compensation, stock plans, benefits, job titles, locations, duties, responsibilities, and reporting relationships. Upon termination of your employment for any reason, you shall resign from all positions and terminate any relationships as an employee, advisor, officer or director with the Company and any of its affiliates, each effective on the date of termination.</w:t>
      </w:r>
    </w:p>
    <w:p>
      <w:pPr>
        <w:pStyle w:val="TextBody"/>
        <w:bidi w:val="0"/>
        <w:spacing w:before="11" w:after="283"/>
        <w:jc w:val="left"/>
        <w:rPr/>
      </w:pPr>
      <w:r>
        <w:rPr/>
      </w:r>
    </w:p>
    <w:p>
      <w:pPr>
        <w:pStyle w:val="TextBody"/>
        <w:bidi w:val="0"/>
        <w:spacing w:lineRule="auto" w:line="240" w:before="0" w:after="0"/>
        <w:jc w:val="both"/>
        <w:rPr/>
      </w:pPr>
      <w:r>
        <w:rPr>
          <w:rFonts w:ascii="Times New Roman;sans-serif" w:hAnsi="Times New Roman;sans-serif"/>
          <w:b/>
          <w:color w:val="000000"/>
          <w:sz w:val="24"/>
        </w:rPr>
        <w:t xml:space="preserve">6.Outside Activities During Employment. </w:t>
      </w:r>
      <w:r>
        <w:rPr>
          <w:rFonts w:ascii="Times New Roman;sans-serif" w:hAnsi="Times New Roman;sans-serif"/>
          <w:b w:val="false"/>
          <w:color w:val="000000"/>
          <w:sz w:val="24"/>
        </w:rPr>
        <w:t>Except with the prior written consent of the Board, you will not during the term of your employment with the Company undertake or engage in any other employment, occupation or business enterprise, other than ones in which you are a passive investor. You may engage in civic and not-for-profit activities so long as such activities do not materially interfere with the performance of your duties hereunder. You agree not to acquire, assume or participate in, directly or indirectly, any position, investment or interest known to be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52475"/>
                <wp:effectExtent l="0" t="0" r="0" b="0"/>
                <wp:wrapNone/>
                <wp:docPr id="48" name="Frame4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5"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adverse or antagonistic to the Company, its business or prospects, financial or otherwise.</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7.Termination; Severance.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7.1.Involuntary Termination. </w:t>
      </w:r>
      <w:r>
        <w:rPr>
          <w:rFonts w:ascii="Times New Roman;sans-serif" w:hAnsi="Times New Roman;sans-serif"/>
          <w:b w:val="false"/>
          <w:color w:val="000000"/>
          <w:sz w:val="24"/>
        </w:rPr>
        <w:t xml:space="preserve">If you are subject to an Involuntary Termination and provided that you remain in compliance with the terms of this Agreement (including the conditions described in Section 7.3 below), the Company shall provide you with the following </w:t>
      </w:r>
      <w:r>
        <w:rPr>
          <w:rFonts w:ascii="Times New Roman;sans-serif" w:hAnsi="Times New Roman;sans-serif"/>
          <w:b/>
          <w:color w:val="000000"/>
          <w:sz w:val="24"/>
        </w:rPr>
        <w:t>Severance Benefits</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(a)Cash Severance. </w:t>
      </w:r>
      <w:r>
        <w:rPr>
          <w:rFonts w:ascii="Times New Roman;sans-serif" w:hAnsi="Times New Roman;sans-serif"/>
          <w:b w:val="false"/>
          <w:color w:val="000000"/>
          <w:sz w:val="24"/>
        </w:rPr>
        <w:t>The Company shall pay you, as severance, the equivalent of 12 months (the “</w:t>
      </w:r>
      <w:r>
        <w:rPr>
          <w:rFonts w:ascii="Times New Roman;sans-serif" w:hAnsi="Times New Roman;sans-serif"/>
          <w:b/>
          <w:color w:val="000000"/>
          <w:sz w:val="24"/>
        </w:rPr>
        <w:t>Severance Period</w:t>
      </w:r>
      <w:r>
        <w:rPr>
          <w:color w:val="000000"/>
        </w:rPr>
        <w:t>”</w:t>
      </w:r>
      <w:r>
        <w:rPr>
          <w:rFonts w:ascii="Times New Roman;sans-serif" w:hAnsi="Times New Roman;sans-serif"/>
          <w:b w:val="false"/>
          <w:color w:val="000000"/>
          <w:sz w:val="24"/>
        </w:rPr>
        <w:t>) of your Base Salary in effect as of the date of your employment termination, subject to standard payroll deductions and withholdings and will pay, as described in Section 7.1(b), an amount equal to 12 months of health insurance under COBRA on an after-tax basis (the “</w:t>
      </w:r>
      <w:r>
        <w:rPr>
          <w:rFonts w:ascii="Times New Roman;sans-serif" w:hAnsi="Times New Roman;sans-serif"/>
          <w:b/>
          <w:color w:val="000000"/>
          <w:sz w:val="24"/>
        </w:rPr>
        <w:t>Severance</w:t>
      </w:r>
      <w:r>
        <w:rPr>
          <w:color w:val="000000"/>
        </w:rPr>
        <w:t>”</w:t>
      </w:r>
      <w:r>
        <w:rPr>
          <w:rFonts w:ascii="Times New Roman;sans-serif" w:hAnsi="Times New Roman;sans-serif"/>
          <w:b w:val="false"/>
          <w:color w:val="000000"/>
          <w:sz w:val="24"/>
        </w:rPr>
        <w:t>). The Severance will be paid as a continuation on the Company’s regular payroll, beginning no later than the first regularly-scheduled payroll date following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after your Separation from Service, provided the Separation Agreement (as discussed in Section 7.3) has become effective. The Company shall also pay you, as severance, your Annual Bonus, less standard payroll deductions and withholdings, pro-rated for the employment period you worked during year in which your termination occurs, and subject to the achievement of applicable corporate and/or individual objectives and milestones (as determined in the sole discretion of the Board of Directors of the Company and/or its Compensation Committee) for the year in which your termination occurs. Your pro-rated Annual Bonus severance payment will be paid in the year following your termination at the same time as the Company pays bonuses to the Company’s other executives.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ans-serif" w:hAnsi="Times New Roman;sans-serif"/>
          <w:b/>
          <w:color w:val="000000"/>
          <w:sz w:val="24"/>
        </w:rPr>
        <w:t xml:space="preserve">(b)Payment of Continued Group Health Plan Benefits. </w:t>
      </w:r>
      <w:r>
        <w:rPr>
          <w:rFonts w:ascii="Times New Roman;sans-serif" w:hAnsi="Times New Roman;sans-serif"/>
          <w:b w:val="false"/>
          <w:color w:val="000000"/>
          <w:sz w:val="24"/>
        </w:rPr>
        <w:t>If you are eligible for and timely elect continued group health plan coverage under the Consolidated Omnibus Budget Reconciliation Act of 1985 or any state law of similar effect (“</w:t>
      </w:r>
      <w:r>
        <w:rPr>
          <w:rFonts w:ascii="Times New Roman;sans-serif" w:hAnsi="Times New Roman;sans-serif"/>
          <w:b/>
          <w:i/>
          <w:color w:val="000000"/>
          <w:sz w:val="24"/>
        </w:rPr>
        <w:t>COBRA</w:t>
      </w:r>
      <w:r>
        <w:rPr>
          <w:color w:val="000000"/>
        </w:rPr>
        <w:t>”</w:t>
      </w:r>
      <w:r>
        <w:rPr>
          <w:rFonts w:ascii="Times New Roman;sans-serif" w:hAnsi="Times New Roman;sans-serif"/>
          <w:b w:val="false"/>
          <w:color w:val="000000"/>
          <w:sz w:val="24"/>
        </w:rPr>
        <w:t>) following your Involuntary Termination, the Company will pay your COBRA group health insurance premiums for you and your eligible dependents directly to the insurer until the earliest of (A) the end of the period immediately following your Involuntary Termination that is equal to the Severance Period (the “</w:t>
      </w:r>
      <w:r>
        <w:rPr>
          <w:rFonts w:ascii="Times New Roman;sans-serif" w:hAnsi="Times New Roman;sans-serif"/>
          <w:b/>
          <w:i/>
          <w:color w:val="000000"/>
          <w:sz w:val="24"/>
        </w:rPr>
        <w:t>COBRA Payment Period</w:t>
      </w:r>
      <w:r>
        <w:rPr>
          <w:color w:val="000000"/>
        </w:rPr>
        <w:t>”</w:t>
      </w:r>
      <w:r>
        <w:rPr>
          <w:rFonts w:ascii="Times New Roman;sans-serif" w:hAnsi="Times New Roman;sans-serif"/>
          <w:b w:val="false"/>
          <w:color w:val="000000"/>
          <w:sz w:val="24"/>
        </w:rPr>
        <w:t>), (B) the expiration of your eligibility for continuation coverage under COBRA, or (C) the date when you become eligible for substantially equivalent health insurance coverage in connection with new employment or self- 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52475"/>
                <wp:effectExtent l="0" t="0" r="0" b="0"/>
                <wp:wrapNone/>
                <wp:docPr id="49" name="Frame4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5" w:after="283"/>
        <w:jc w:val="both"/>
        <w:rPr/>
      </w:pPr>
      <w:r>
        <w:rPr>
          <w:rFonts w:ascii="Times New Roman;sans-serif" w:hAnsi="Times New Roman;sans-serif"/>
          <w:b w:val="false"/>
          <w:color w:val="000000"/>
          <w:sz w:val="24"/>
        </w:rPr>
        <w:t>tax withholdings (such amount, the “</w:t>
      </w:r>
      <w:r>
        <w:rPr>
          <w:rFonts w:ascii="Times New Roman;sans-serif" w:hAnsi="Times New Roman;sans-serif"/>
          <w:b/>
          <w:i/>
          <w:color w:val="000000"/>
          <w:sz w:val="24"/>
        </w:rPr>
        <w:t>Special Severance Payment</w:t>
      </w:r>
      <w:r>
        <w:rPr>
          <w:color w:val="000000"/>
        </w:rPr>
        <w:t>”</w:t>
      </w:r>
      <w:r>
        <w:rPr>
          <w:rFonts w:ascii="Times New Roman;sans-serif" w:hAnsi="Times New Roman;sans-serif"/>
          <w:b w:val="false"/>
          <w:color w:val="000000"/>
          <w:sz w:val="24"/>
        </w:rPr>
        <w:t>), which payments shall continue until the earlier of expiration of the COBRA Payment Period or the date when you become eligible for substantially equivalent health insurance coverage in connection with new employment or self-employment. On the first payroll date following the effectiveness of the Release,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date of your Involuntary Termination,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7.2.Termination for Cause; Resignation Without Good Reason; Death or Disability. </w:t>
      </w:r>
      <w:r>
        <w:rPr>
          <w:rFonts w:ascii="Times New Roman;sans-serif" w:hAnsi="Times New Roman;sans-serif"/>
          <w:b w:val="false"/>
          <w:color w:val="000000"/>
          <w:sz w:val="24"/>
        </w:rPr>
        <w:t>If you resign without Good Reason, or the Company terminates your employment for Cause, or upon your death or disability, then all payments of compensation by the Company to you hereunder will terminate immediately (except as to amounts already earned), and you will not be entitled to any Severance Benefits.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7.3.Conditions to Receipt of Severance Benefits. </w:t>
      </w:r>
      <w:r>
        <w:rPr>
          <w:rFonts w:ascii="Times New Roman;sans-serif" w:hAnsi="Times New Roman;sans-serif"/>
          <w:b w:val="false"/>
          <w:color w:val="000000"/>
          <w:sz w:val="24"/>
        </w:rPr>
        <w:t>The receipt of the Severance Benefits will be subject to you signing and not revoking a separation agreement and release of claims in a form reasonably satisfactory to the Company (the “</w:t>
      </w:r>
      <w:r>
        <w:rPr>
          <w:rFonts w:ascii="Times New Roman;sans-serif" w:hAnsi="Times New Roman;sans-serif"/>
          <w:b/>
          <w:color w:val="000000"/>
          <w:sz w:val="24"/>
        </w:rPr>
        <w:t>Separation Agreement</w:t>
      </w:r>
      <w:r>
        <w:rPr>
          <w:color w:val="000000"/>
        </w:rPr>
        <w:t>”</w:t>
      </w:r>
      <w:r>
        <w:rPr>
          <w:rFonts w:ascii="Times New Roman;sans-serif" w:hAnsi="Times New Roman;sans-serif"/>
          <w:b w:val="false"/>
          <w:color w:val="000000"/>
          <w:sz w:val="24"/>
        </w:rPr>
        <w:t>) by no later than the sixtieth (60th) day after your employment termination (“</w:t>
      </w:r>
      <w:r>
        <w:rPr>
          <w:rFonts w:ascii="Times New Roman;sans-serif" w:hAnsi="Times New Roman;sans-serif"/>
          <w:b/>
          <w:color w:val="000000"/>
          <w:sz w:val="24"/>
        </w:rPr>
        <w:t>Release Deadline</w:t>
      </w:r>
      <w:r>
        <w:rPr>
          <w:color w:val="000000"/>
        </w:rPr>
        <w:t>”</w:t>
      </w:r>
      <w:r>
        <w:rPr>
          <w:rFonts w:ascii="Times New Roman;sans-serif" w:hAnsi="Times New Roman;sans-serif"/>
          <w:b w:val="false"/>
          <w:color w:val="000000"/>
          <w:sz w:val="24"/>
        </w:rPr>
        <w:t>). No Severance Benefits will be paid or provided until the Separation Agreement becomes effective. You shall also resign from all positions and terminate any relationships as an employee, advisor, officer or director with the Company and any of its affiliates, each effective on the date of termination.</w:t>
      </w:r>
    </w:p>
    <w:p>
      <w:pPr>
        <w:pStyle w:val="TextBody"/>
        <w:bidi w:val="0"/>
        <w:spacing w:before="11" w:after="283"/>
        <w:jc w:val="left"/>
        <w:rPr/>
      </w:pPr>
      <w:r>
        <w:rPr/>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8.Definitions.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8.1.Cause. </w:t>
      </w: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means any one of the following: (a) willful material breach by you of any material Company policy (including, but not limited to, the Company’s policies on nondiscrimination, anti- harassment, and confidential information) or your duties or obligations hereunder;</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(b) your willful engagement in conduct materially injurious to the Company, monetarily or otherwise; (c) acts of fraud, theft or other willful illegal acts calling into question your personal integrity which result in a conviction on a felony charge, whether or not related to your employment hereunder; or (d) your willful refusal to follow lawful instructions of the Board. In order to terminate your employment for Cause pursuant to (a) or (d), but only to the extent the Board determines in its reasonable discretion that such breach is amenable to cure, the Board must provide you written notice within thirty (30) days after the first occurrence of the event giving rise to Cause setting forth the basis for the existence of Cause, allow you thirty (30) days from receipt of such written notice to cure such event, and if such event is not reasonably cured within such period, the Company must terminate your employment not later than thirty (30) days after the expiration of the cure period.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52475"/>
                <wp:effectExtent l="0" t="0" r="0" b="0"/>
                <wp:wrapNone/>
                <wp:docPr id="50" name="Frame4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5" w:after="283"/>
        <w:ind w:left="0" w:right="0" w:firstLine="720"/>
        <w:jc w:val="both"/>
        <w:rPr/>
      </w:pPr>
      <w:r>
        <w:rPr>
          <w:rFonts w:ascii="Times New Roman;sans-serif" w:hAnsi="Times New Roman;sans-serif"/>
          <w:b/>
          <w:color w:val="000000"/>
          <w:sz w:val="24"/>
        </w:rPr>
        <w:t xml:space="preserve">8.2.Code. </w:t>
      </w:r>
      <w:r>
        <w:rPr>
          <w:rFonts w:ascii="Times New Roman;sans-serif" w:hAnsi="Times New Roman;sans-serif"/>
          <w:b w:val="false"/>
          <w:color w:val="000000"/>
          <w:sz w:val="24"/>
        </w:rPr>
        <w:t xml:space="preserve">For purposes of this Agreement, </w:t>
      </w:r>
      <w:r>
        <w:rPr>
          <w:color w:val="000000"/>
        </w:rPr>
        <w:t>“</w:t>
      </w:r>
      <w:r>
        <w:rPr>
          <w:rFonts w:ascii="Times New Roman;sans-serif" w:hAnsi="Times New Roman;sans-serif"/>
          <w:b/>
          <w:color w:val="000000"/>
          <w:sz w:val="24"/>
        </w:rPr>
        <w:t xml:space="preserve">Code” </w:t>
      </w:r>
      <w:r>
        <w:rPr>
          <w:rFonts w:ascii="Times New Roman;sans-serif" w:hAnsi="Times New Roman;sans-serif"/>
          <w:b w:val="false"/>
          <w:color w:val="000000"/>
          <w:sz w:val="24"/>
        </w:rPr>
        <w:t>means the U.S. Internal Revenue Code of 1986 (as it has been and may be amended from time to time) and any regulations and guidance that has been promulgated or may be promulgated from time to time thereunder and any state law of similar effect.</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8.3.Good Reason. </w:t>
      </w:r>
      <w:r>
        <w:rPr>
          <w:rFonts w:ascii="Times New Roman;sans-serif" w:hAnsi="Times New Roman;sans-serif"/>
          <w:b w:val="false"/>
          <w:color w:val="000000"/>
          <w:sz w:val="24"/>
        </w:rPr>
        <w:t>For purposes of this Agreement, “Good Reason” means any one of the following without your consent: (a) an assignment of duties or responsibilities (including reporting responsibilities) materially inconsistent with, or which materially reduce, your duties, authority, responsibilities and status with the Company; (b) an adverse change in your title; (c) any material reduction in your Base Salary, other than a reduction, generally applicable to other executives of the Company, by not more than 25%; (d) the relocation of your principal place of employment to a location that is more than twenty-five (25) miles away from its current location; or (e) the uncured breach of any material provision of this Agreement (or any other agreement with you) by the Company. In order to resign for Good Reason, you must provide written notice to the Company’s Board within thirty (30) days after the first occurrence of the event giving rise to Good Reason setting forth the basis for your resignation, allow the Company thirty (30) days from receipt of such written notice to cure such event, and if such event is not reasonably cured within such period, you must resign from all positions you then hold with the Company not later than thirty (30) days after the expiration of the cure period.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8.4.Involuntary Termination. </w:t>
      </w:r>
      <w:r>
        <w:rPr>
          <w:rFonts w:ascii="Times New Roman;sans-serif" w:hAnsi="Times New Roman;sans-serif"/>
          <w:b w:val="false"/>
          <w:color w:val="000000"/>
          <w:sz w:val="24"/>
        </w:rPr>
        <w:t>For purposes of this Agreement, “</w:t>
      </w:r>
      <w:r>
        <w:rPr>
          <w:rFonts w:ascii="Times New Roman;sans-serif" w:hAnsi="Times New Roman;sans-serif"/>
          <w:b/>
          <w:color w:val="000000"/>
          <w:sz w:val="24"/>
        </w:rPr>
        <w:t>Involuntary Termination</w:t>
      </w:r>
      <w:r>
        <w:rPr>
          <w:color w:val="000000"/>
        </w:rPr>
        <w:t xml:space="preserve">” </w:t>
      </w:r>
      <w:r>
        <w:rPr>
          <w:rFonts w:ascii="Times New Roman;sans-serif" w:hAnsi="Times New Roman;sans-serif"/>
          <w:b w:val="false"/>
          <w:color w:val="000000"/>
          <w:sz w:val="24"/>
        </w:rPr>
        <w:t>means a 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 xml:space="preserve">8.5.Separation from Service. </w:t>
      </w:r>
      <w:r>
        <w:rPr>
          <w:rFonts w:ascii="Times New Roman;sans-serif" w:hAnsi="Times New Roman;sans-serif"/>
          <w:b w:val="false"/>
          <w:color w:val="000000"/>
          <w:sz w:val="24"/>
        </w:rPr>
        <w:t>For purposes of this Agreement, “Separation from Service” means a “separation from service”, as defined under Treasury Regulation Section 1.409A-1(h).</w:t>
      </w:r>
    </w:p>
    <w:p>
      <w:pPr>
        <w:pStyle w:val="TextBody"/>
        <w:bidi w:val="0"/>
        <w:spacing w:before="10" w:after="283"/>
        <w:jc w:val="left"/>
        <w:rPr/>
      </w:pPr>
      <w:r>
        <w:rPr/>
      </w:r>
    </w:p>
    <w:p>
      <w:pPr>
        <w:pStyle w:val="TextBody"/>
        <w:bidi w:val="0"/>
        <w:spacing w:lineRule="auto" w:line="240" w:before="1" w:after="283"/>
        <w:jc w:val="both"/>
        <w:rPr/>
      </w:pPr>
      <w:r>
        <w:rPr>
          <w:rFonts w:ascii="Times New Roman;sans-serif" w:hAnsi="Times New Roman;sans-serif"/>
          <w:b/>
          <w:color w:val="000000"/>
          <w:sz w:val="24"/>
        </w:rPr>
        <w:t xml:space="preserve">9.Proprietary Information Obligations. </w:t>
      </w:r>
      <w:r>
        <w:rPr>
          <w:rFonts w:ascii="Times New Roman;sans-serif" w:hAnsi="Times New Roman;sans-serif"/>
          <w:b w:val="false"/>
          <w:color w:val="000000"/>
          <w:sz w:val="24"/>
        </w:rPr>
        <w:t xml:space="preserve">As a condition of your continued employment, you shall execute and abide by the Company’s standard form of Employee Confidential Information and Invention Assignment Agreement, attached as </w:t>
      </w:r>
      <w:r>
        <w:rPr>
          <w:rFonts w:ascii="Times New Roman;sans-serif" w:hAnsi="Times New Roman;sans-serif"/>
          <w:b/>
          <w:color w:val="000000"/>
          <w:sz w:val="24"/>
          <w:u w:val="single"/>
        </w:rPr>
        <w:t>Exhibit A</w:t>
      </w:r>
      <w:r>
        <w:rPr>
          <w:rFonts w:ascii="Times New Roman;sans-serif" w:hAnsi="Times New Roman;sans-serif"/>
          <w:b w:val="false"/>
          <w:color w:val="000000"/>
          <w:sz w:val="24"/>
        </w:rPr>
        <w:t>. 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acknowledge that you have not brought onto Company premises any unpublished documents or property belonging to any former employer or other person to whom you have an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52475"/>
                <wp:effectExtent l="0" t="0" r="0" b="0"/>
                <wp:wrapNone/>
                <wp:docPr id="51" name="Frame5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5"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 confidentiality and have disclosed to the Company any contract you have signed that may restrict your activities on behalf of the Company.</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color w:val="000000"/>
          <w:sz w:val="24"/>
        </w:rPr>
        <w:t xml:space="preserve">10.Section 409A. </w:t>
      </w:r>
      <w:r>
        <w:rPr>
          <w:rFonts w:ascii="Times New Roman;sans-serif" w:hAnsi="Times New Roman;sans-serif"/>
          <w:b w:val="false"/>
          <w:color w:val="000000"/>
          <w:sz w:val="24"/>
        </w:rPr>
        <w:t>It is intended that all of the severance benefits and other payments payable under this Agreement 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Release will not be deemed effective any earlier than the Release Deadline for purposes of determining the timing of provision of any severance benefits.</w:t>
      </w:r>
    </w:p>
    <w:p>
      <w:pPr>
        <w:pStyle w:val="TextBody"/>
        <w:bidi w:val="0"/>
        <w:spacing w:before="1" w:after="283"/>
        <w:jc w:val="left"/>
        <w:rPr/>
      </w:pPr>
      <w:r>
        <w:rPr/>
      </w:r>
    </w:p>
    <w:p>
      <w:pPr>
        <w:pStyle w:val="TextBody"/>
        <w:bidi w:val="0"/>
        <w:spacing w:lineRule="auto" w:line="240"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11.Arbitration of All Disputes.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11.1.Agreement to Arbitrate</w:t>
      </w:r>
      <w:r>
        <w:rPr>
          <w:rFonts w:ascii="Times New Roman;sans-serif" w:hAnsi="Times New Roman;sans-serif"/>
          <w:b w:val="false"/>
          <w:color w:val="000000"/>
          <w:sz w:val="24"/>
        </w:rPr>
        <w:t>. To ensure the timely and economical resolution of disputes that may arise between you and the Company, both you and the Company mutually agree that pursuant to the Federal Arbitration Act, 9 U.S.C.</w:t>
      </w:r>
    </w:p>
    <w:p>
      <w:pPr>
        <w:pStyle w:val="TextBody"/>
        <w:bidi w:val="0"/>
        <w:spacing w:lineRule="auto" w:line="240" w:before="0" w:after="0"/>
        <w:jc w:val="both"/>
        <w:rPr/>
      </w:pPr>
      <w:r>
        <w:rPr>
          <w:rFonts w:ascii="Times New Roman;sans-serif" w:hAnsi="Times New Roman;sans-serif"/>
          <w:b w:val="false"/>
          <w:color w:val="000000"/>
          <w:sz w:val="24"/>
        </w:rPr>
        <w:t xml:space="preserve">§1-16, and to the fullest extent permitted by applicable law, you and the Company will submit solely to final, binding and confidential arbitration any and all disputes, claims, or causes of action arising from or relating to: </w:t>
      </w:r>
      <w:r>
        <w:rPr>
          <w:rFonts w:ascii="Times New Roman;sans-serif" w:hAnsi="Times New Roman;sans-serif"/>
          <w:b/>
          <w:color w:val="000000"/>
          <w:sz w:val="24"/>
        </w:rPr>
        <w:t xml:space="preserve">(i) </w:t>
      </w:r>
      <w:r>
        <w:rPr>
          <w:rFonts w:ascii="Times New Roman;sans-serif" w:hAnsi="Times New Roman;sans-serif"/>
          <w:b w:val="false"/>
          <w:color w:val="000000"/>
          <w:sz w:val="24"/>
        </w:rPr>
        <w:t xml:space="preserve">the negotiation, execution, interpretation, performance, breach or enforcement of this Agreement; or </w:t>
      </w:r>
      <w:r>
        <w:rPr>
          <w:rFonts w:ascii="Times New Roman;sans-serif" w:hAnsi="Times New Roman;sans-serif"/>
          <w:b/>
          <w:color w:val="000000"/>
          <w:sz w:val="24"/>
        </w:rPr>
        <w:t xml:space="preserve">(ii) </w:t>
      </w:r>
      <w:r>
        <w:rPr>
          <w:rFonts w:ascii="Times New Roman;sans-serif" w:hAnsi="Times New Roman;sans-serif"/>
          <w:b w:val="false"/>
          <w:color w:val="000000"/>
          <w:sz w:val="24"/>
        </w:rPr>
        <w:t xml:space="preserve">your application, hiring, and employment with the Company (including but not limited to all statutory claims); or </w:t>
      </w:r>
      <w:r>
        <w:rPr>
          <w:rFonts w:ascii="Times New Roman;sans-serif" w:hAnsi="Times New Roman;sans-serif"/>
          <w:b/>
          <w:color w:val="000000"/>
          <w:sz w:val="24"/>
        </w:rPr>
        <w:t xml:space="preserve">(iii) </w:t>
      </w:r>
      <w:r>
        <w:rPr>
          <w:rFonts w:ascii="Times New Roman;sans-serif" w:hAnsi="Times New Roman;sans-serif"/>
          <w:b w:val="false"/>
          <w:color w:val="000000"/>
          <w:sz w:val="24"/>
        </w:rPr>
        <w:t>the termination of your employment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52475"/>
                <wp:effectExtent l="0" t="0" r="0" b="0"/>
                <wp:wrapNone/>
                <wp:docPr id="52" name="Frame5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5" w:after="283"/>
        <w:jc w:val="both"/>
        <w:rPr/>
      </w:pPr>
      <w:r>
        <w:rPr>
          <w:rFonts w:ascii="Times New Roman;sans-serif" w:hAnsi="Times New Roman;sans-serif"/>
          <w:b w:val="false"/>
          <w:color w:val="000000"/>
          <w:sz w:val="24"/>
        </w:rPr>
        <w:t xml:space="preserve">(including but not limited to all statutory claims). </w:t>
      </w:r>
      <w:r>
        <w:rPr>
          <w:rFonts w:ascii="Times New Roman;sans-serif" w:hAnsi="Times New Roman;sans-serif"/>
          <w:b/>
          <w:color w:val="000000"/>
          <w:sz w:val="24"/>
        </w:rPr>
        <w:t>BY AGREEING TO THIS ARBITRATION PROCEDURE, BOTH YOU AND THE COMPANY WAIVE THE RIGHT TO RESOLVE ANY SUCH DISPUTES THROUGH A TRIAL BY JURY OR JUDGE OR THROUGH AN ADMINISTRATIVE PROCEEDING.</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1.4.Arbitrator Authority</w:t>
      </w:r>
      <w:r>
        <w:rPr>
          <w:rFonts w:ascii="Times New Roman;sans-serif" w:hAnsi="Times New Roman;sans-serif"/>
          <w:b w:val="false"/>
          <w:color w:val="000000"/>
          <w:sz w:val="24"/>
        </w:rPr>
        <w:t>. The arbitrator shall have the sole and exclusive authority to determine whether a dispute, claim or cause of action is subject to arbitration under this Section and to determine any procedural questions which grow out of such disputes, claims or causes of action and bear on their final disposition.</w:t>
      </w:r>
    </w:p>
    <w:p>
      <w:pPr>
        <w:pStyle w:val="TextBody"/>
        <w:bidi w:val="0"/>
        <w:spacing w:before="11"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1.5.Individual Capacity Only</w:t>
      </w:r>
      <w:r>
        <w:rPr>
          <w:rFonts w:ascii="Times New Roman;sans-serif" w:hAnsi="Times New Roman;sans-serif"/>
          <w:b w:val="false"/>
          <w:color w:val="000000"/>
          <w:sz w:val="24"/>
        </w:rPr>
        <w:t>. All claims, disputes, or causes of action under this Section, whether by you or 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unenforceable, any claim(s) alleged or brought on behalf of a class shall proceed in a court of law rather than by arbitration.</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1.6.Arbitration Process</w:t>
      </w:r>
      <w:r>
        <w:rPr>
          <w:rFonts w:ascii="Times New Roman;sans-serif" w:hAnsi="Times New Roman;sans-serif"/>
          <w:b w:val="false"/>
          <w:color w:val="000000"/>
          <w:sz w:val="24"/>
        </w:rPr>
        <w:t>. Any arbitration proceeding under this Section shall be presided over by a single arbitrator and conducted by Judicial Arbitration and Mediation Services, Inc. (“</w:t>
      </w:r>
      <w:r>
        <w:rPr>
          <w:rFonts w:ascii="Times New Roman;sans-serif" w:hAnsi="Times New Roman;sans-serif"/>
          <w:b/>
          <w:color w:val="000000"/>
          <w:sz w:val="24"/>
        </w:rPr>
        <w:t>JAMS</w:t>
      </w:r>
      <w:r>
        <w:rPr>
          <w:color w:val="000000"/>
        </w:rPr>
        <w:t>”</w:t>
      </w:r>
      <w:r>
        <w:rPr>
          <w:rFonts w:ascii="Times New Roman;sans-serif" w:hAnsi="Times New Roman;sans-serif"/>
          <w:b w:val="false"/>
          <w:color w:val="000000"/>
          <w:sz w:val="24"/>
        </w:rPr>
        <w:t xml:space="preserve">) in Los Angeles County, California, or as otherwise agreed to by you and the Company, under the then applicable JAMS rules for the resolution of employment disputes (available upon request and also currently available at </w:t>
      </w:r>
      <w:r>
        <w:rPr>
          <w:rFonts w:ascii="Times New Roman;sans-serif" w:hAnsi="Times New Roman;sans-serif"/>
          <w:b w:val="false"/>
          <w:color w:val="000000"/>
          <w:sz w:val="24"/>
          <w:u w:val="single"/>
        </w:rPr>
        <w:t>http://www.jamsadr.com/rules-employment-arbitration/</w:t>
      </w:r>
      <w:r>
        <w:rPr>
          <w:rFonts w:ascii="Times New Roman;sans-serif" w:hAnsi="Times New Roman;sans-serif"/>
          <w:b w:val="false"/>
          <w:color w:val="000000"/>
          <w:sz w:val="24"/>
        </w:rPr>
        <w:t xml:space="preserve">). You and the Company both have the right to be represented by legal counsel at any arbitration proceeding, at each party’s own expense. The Arbitrator shall: </w:t>
      </w:r>
      <w:r>
        <w:rPr>
          <w:rFonts w:ascii="Times New Roman;sans-serif" w:hAnsi="Times New Roman;sans-serif"/>
          <w:b/>
          <w:color w:val="000000"/>
          <w:sz w:val="24"/>
        </w:rPr>
        <w:t xml:space="preserve">(i) </w:t>
      </w:r>
      <w:r>
        <w:rPr>
          <w:rFonts w:ascii="Times New Roman;sans-serif" w:hAnsi="Times New Roman;sans-serif"/>
          <w:b w:val="false"/>
          <w:color w:val="000000"/>
          <w:sz w:val="24"/>
        </w:rPr>
        <w:t xml:space="preserve">have the authority to compel adequate discovery for the resolution of the dispute; </w:t>
      </w:r>
      <w:r>
        <w:rPr>
          <w:rFonts w:ascii="Times New Roman;sans-serif" w:hAnsi="Times New Roman;sans-serif"/>
          <w:b/>
          <w:color w:val="000000"/>
          <w:sz w:val="24"/>
        </w:rPr>
        <w:t xml:space="preserve">(ii) </w:t>
      </w:r>
      <w:r>
        <w:rPr>
          <w:rFonts w:ascii="Times New Roman;sans-serif" w:hAnsi="Times New Roman;sans-serif"/>
          <w:b w:val="false"/>
          <w:color w:val="000000"/>
          <w:sz w:val="24"/>
        </w:rPr>
        <w:t xml:space="preserve">issue a written arbitration decision, to include the arbitrator’s essential findings and conclusions and a statement of the award; and </w:t>
      </w:r>
      <w:r>
        <w:rPr>
          <w:rFonts w:ascii="Times New Roman;sans-serif" w:hAnsi="Times New Roman;sans-serif"/>
          <w:b/>
          <w:color w:val="000000"/>
          <w:sz w:val="24"/>
        </w:rPr>
        <w:t xml:space="preserve">(iii) </w:t>
      </w:r>
      <w:r>
        <w:rPr>
          <w:rFonts w:ascii="Times New Roman;sans-serif" w:hAnsi="Times New Roman;sans-serif"/>
          <w:b w:val="false"/>
          <w:color w:val="000000"/>
          <w:sz w:val="24"/>
        </w:rPr>
        <w:t>be authorized to award any or all remedies that you or the Company would be entitled to seek in a court of law. The Company shall pay all JAMS arbitration fees in excess of the amount of court fees that would be required of you if the dispute were decided in a court of law.</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1.7.Excluded Claims</w:t>
      </w:r>
      <w:r>
        <w:rPr>
          <w:rFonts w:ascii="Times New Roman;sans-serif" w:hAnsi="Times New Roman;sans-serif"/>
          <w:b w:val="false"/>
          <w:color w:val="000000"/>
          <w:sz w:val="24"/>
        </w:rPr>
        <w:t>. This Arbitration section shall not apply to any action or claim that cannot be subject to mandatory arbitration as a matter of law, including, without limitation, claims brought pursuant to the California Private Attorneys General Act of 2004, as amended, to the extent such claims are not permitted by applicable law to be submitted to mandatory arbitration and such applicable law is not preempted by the Federal Arbitration Act or otherwise invalid (collectively, the “</w:t>
      </w:r>
      <w:r>
        <w:rPr>
          <w:rFonts w:ascii="Times New Roman;sans-serif" w:hAnsi="Times New Roman;sans-serif"/>
          <w:b/>
          <w:color w:val="000000"/>
          <w:sz w:val="24"/>
        </w:rPr>
        <w:t>Excluded Claims</w:t>
      </w:r>
      <w:r>
        <w:rPr>
          <w:color w:val="000000"/>
        </w:rPr>
        <w:t>”</w:t>
      </w:r>
      <w:r>
        <w:rPr>
          <w:rFonts w:ascii="Times New Roman;sans-serif" w:hAnsi="Times New Roman;sans-serif"/>
          <w:b w:val="false"/>
          <w:color w:val="000000"/>
          <w:sz w:val="24"/>
        </w:rPr>
        <w:t>). In the event you intend to bring multiple claims, including any Excluded Claims, the Excluded Claims may be filed with a court, while any other claims will remain subject to mandatory arbitration.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52475"/>
                <wp:effectExtent l="0" t="0" r="0" b="0"/>
                <wp:wrapNone/>
                <wp:docPr id="53" name="Frame5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5" w:after="283"/>
        <w:ind w:left="0" w:right="0" w:firstLine="720"/>
        <w:jc w:val="both"/>
        <w:rPr/>
      </w:pPr>
      <w:r>
        <w:rPr>
          <w:rFonts w:ascii="Times New Roman;sans-serif" w:hAnsi="Times New Roman;sans-serif"/>
          <w:b/>
          <w:color w:val="000000"/>
          <w:sz w:val="24"/>
        </w:rPr>
        <w:t>1.8.Injunctive Relief and Final Orders</w:t>
      </w:r>
      <w:r>
        <w:rPr>
          <w:rFonts w:ascii="Times New Roman;sans-serif" w:hAnsi="Times New Roman;sans-serif"/>
          <w:b w:val="false"/>
          <w:color w:val="000000"/>
          <w:sz w:val="24"/>
        </w:rPr>
        <w:t>. Nothing in this Section is intended to prevent either you or the 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pStyle w:val="TextBody"/>
        <w:bidi w:val="0"/>
        <w:spacing w:before="10" w:after="283"/>
        <w:jc w:val="left"/>
        <w:rPr/>
      </w:pPr>
      <w:r>
        <w:rPr/>
      </w:r>
    </w:p>
    <w:p>
      <w:pPr>
        <w:pStyle w:val="TextBody"/>
        <w:bidi w:val="0"/>
        <w:spacing w:lineRule="auto" w:line="240" w:before="0" w:after="0"/>
        <w:jc w:val="both"/>
        <w:rPr/>
      </w:pPr>
      <w:r>
        <w:rPr>
          <w:rFonts w:ascii="Times New Roman;sans-serif" w:hAnsi="Times New Roman;sans-serif"/>
          <w:b/>
          <w:color w:val="000000"/>
          <w:sz w:val="24"/>
        </w:rPr>
        <w:t xml:space="preserve">12.General Provisions. </w:t>
      </w:r>
      <w:r>
        <w:rPr>
          <w:rFonts w:ascii="Times New Roman;sans-serif" w:hAnsi="Times New Roman;sans-serif"/>
          <w:b w:val="false"/>
          <w:color w:val="000000"/>
          <w:sz w:val="24"/>
        </w:rPr>
        <w:t>This Agreement, together with the Confidential Information and Inventions Assignment 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(the “</w:t>
      </w:r>
      <w:r>
        <w:rPr>
          <w:rFonts w:ascii="Times New Roman;sans-serif" w:hAnsi="Times New Roman;sans-serif"/>
          <w:b/>
          <w:color w:val="000000"/>
          <w:sz w:val="24"/>
        </w:rPr>
        <w:t>Prior Agreements</w:t>
      </w:r>
      <w:r>
        <w:rPr>
          <w:color w:val="000000"/>
        </w:rPr>
        <w:t>”</w:t>
      </w:r>
      <w:r>
        <w:rPr>
          <w:rFonts w:ascii="Times New Roman;sans-serif" w:hAnsi="Times New Roman;sans-serif"/>
          <w:b w:val="false"/>
          <w:color w:val="000000"/>
          <w:sz w:val="24"/>
        </w:rPr>
        <w:t>). You agree and acknowledge that you are not eligible for, and will not receive, any compensation, benefits, or severance pursuant to the Prior Agreements. You also agree and acknowledge that there are no circumstances as of the date of this Agreement that constitute, and nothing contemplated in this Agreement or otherwise shall be deemed for any purpose to be or to create, an involuntary termination without Cause or a Good Reason resignation right, including for purposes of the Prior Agreements, or any other severance or change in control plan, agreement or policy maintained by the Company or its affiliates. This Agreement cannot be modified or amended except in a writing signed by you and a duly authorized officer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The Company may freely assign this Agreement, without your prior written consent. You may not assign any of your duties hereunder and you may not assign any of your rights hereunder without the written consent of the Company. This Agreement shall become effective as of the Start Date and shall terminate upon your termination of employment with the Company. The obligations as forth under Sections 7, 8, 9, 10, 11, and 12 will survive the termination of this Agreement. All questions concerning the construction, validity and interpretation of this Agreement will be governed by the laws of the State of California.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Best regards,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52475"/>
                <wp:effectExtent l="0" t="0" r="0" b="0"/>
                <wp:wrapNone/>
                <wp:docPr id="54" name="Frame5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5" w:after="283"/>
        <w:jc w:val="left"/>
        <w:rPr>
          <w:rFonts w:ascii="Times New Roman;sans-serif" w:hAnsi="Times New Roman;sans-serif"/>
          <w:b/>
          <w:color w:val="000000"/>
          <w:sz w:val="24"/>
        </w:rPr>
      </w:pPr>
      <w:r>
        <w:rPr>
          <w:rFonts w:ascii="Times New Roman;sans-serif" w:hAnsi="Times New Roman;sans-serif"/>
          <w:b/>
          <w:color w:val="000000"/>
          <w:sz w:val="24"/>
        </w:rPr>
        <w:t>The Honest Company, Inc.</w:t>
      </w:r>
    </w:p>
    <w:p>
      <w:pPr>
        <w:pStyle w:val="TextBody"/>
        <w:bidi w:val="0"/>
        <w:spacing w:before="0" w:after="0"/>
        <w:jc w:val="left"/>
        <w:rPr/>
      </w:pPr>
      <w:r>
        <w:rPr/>
      </w:r>
    </w:p>
    <w:tbl>
      <w:tblPr>
        <w:tblW w:w="1725" w:type="dxa"/>
        <w:jc w:val="left"/>
        <w:tblInd w:w="0" w:type="dxa"/>
        <w:tblLayout w:type="fixed"/>
        <w:tblCellMar>
          <w:top w:w="28" w:type="dxa"/>
          <w:left w:w="28" w:type="dxa"/>
          <w:bottom w:w="28" w:type="dxa"/>
          <w:right w:w="28" w:type="dxa"/>
        </w:tblCellMar>
      </w:tblPr>
      <w:tblGrid>
        <w:gridCol w:w="551"/>
        <w:gridCol w:w="485"/>
        <w:gridCol w:w="689"/>
      </w:tblGrid>
      <w:tr>
        <w:trPr/>
        <w:tc>
          <w:tcPr>
            <w:tcW w:w="5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Carla Vernón</w:t>
            </w:r>
          </w:p>
        </w:tc>
      </w:tr>
    </w:tbl>
    <w:p>
      <w:pPr>
        <w:pStyle w:val="TextBody"/>
        <w:bidi w:val="0"/>
        <w:spacing w:lineRule="auto" w:line="240" w:before="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Carla Vernón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Accepted and agreed:</w:t>
      </w:r>
    </w:p>
    <w:p>
      <w:pPr>
        <w:pStyle w:val="TextBody"/>
        <w:bidi w:val="0"/>
        <w:spacing w:before="0" w:after="0"/>
        <w:jc w:val="left"/>
        <w:rPr/>
      </w:pPr>
      <w:r>
        <w:rPr/>
      </w:r>
    </w:p>
    <w:tbl>
      <w:tblPr>
        <w:tblW w:w="1679" w:type="dxa"/>
        <w:jc w:val="left"/>
        <w:tblInd w:w="0" w:type="dxa"/>
        <w:tblLayout w:type="fixed"/>
        <w:tblCellMar>
          <w:top w:w="28" w:type="dxa"/>
          <w:left w:w="28" w:type="dxa"/>
          <w:bottom w:w="28" w:type="dxa"/>
          <w:right w:w="28" w:type="dxa"/>
        </w:tblCellMar>
      </w:tblPr>
      <w:tblGrid>
        <w:gridCol w:w="537"/>
        <w:gridCol w:w="471"/>
        <w:gridCol w:w="671"/>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Dave Loretta</w:t>
            </w:r>
          </w:p>
        </w:tc>
      </w:tr>
    </w:tbl>
    <w:p>
      <w:pPr>
        <w:pStyle w:val="TextBody"/>
        <w:bidi w:val="0"/>
        <w:spacing w:lineRule="auto" w:line="240" w:before="13"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Dave Loretta</w:t>
      </w:r>
    </w:p>
    <w:p>
      <w:pPr>
        <w:pStyle w:val="TextBody"/>
        <w:bidi w:val="0"/>
        <w:spacing w:before="0" w:after="0"/>
        <w:jc w:val="left"/>
        <w:rPr/>
      </w:pPr>
      <w:r>
        <w:rPr/>
      </w:r>
    </w:p>
    <w:p>
      <w:pPr>
        <w:pStyle w:val="TextBody"/>
        <w:bidi w:val="0"/>
        <w:spacing w:lineRule="auto" w:line="240" w:before="218" w:after="283"/>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9/1/2023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52475"/>
                <wp:effectExtent l="0" t="0" r="0" b="0"/>
                <wp:wrapNone/>
                <wp:docPr id="55" name="Frame5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r>
                                    <w:br w:type="page"/>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0pt;mso-position-horizontal:left;mso-position-horizontal-relative:text">
                <v:textbo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5"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2" w:after="283"/>
        <w:jc w:val="left"/>
        <w:rPr/>
      </w:pPr>
      <w:r>
        <w:rPr/>
      </w:r>
    </w:p>
    <w:p>
      <w:pPr>
        <w:pStyle w:val="TextBody"/>
        <w:bidi w:val="0"/>
        <w:spacing w:lineRule="auto" w:line="240" w:before="90" w:after="283"/>
        <w:jc w:val="left"/>
        <w:rPr>
          <w:rFonts w:ascii="Times New Roman;sans-serif" w:hAnsi="Times New Roman;sans-serif"/>
          <w:b/>
          <w:color w:val="000000"/>
          <w:sz w:val="24"/>
        </w:rPr>
      </w:pPr>
      <w:r>
        <w:rPr>
          <w:rFonts w:ascii="Times New Roman;sans-serif" w:hAnsi="Times New Roman;sans-serif"/>
          <w:b/>
          <w:color w:val="000000"/>
          <w:sz w:val="24"/>
        </w:rPr>
        <w:t>Employee Confidential Information and Invention Assignment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52475"/>
                <wp:effectExtent l="0" t="0" r="0" b="0"/>
                <wp:wrapNone/>
                <wp:docPr id="56" name="Frame5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420pt;mso-position-horizontal:left;mso-position-horizontal-relative:text">
                <v:textbo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SEPARATION AGREEMENT </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AND GENERAL RELEASE OF CLAIMS</w:t>
      </w:r>
    </w:p>
    <w:p>
      <w:pPr>
        <w:pStyle w:val="TextBody"/>
        <w:bidi w:val="0"/>
        <w:spacing w:lineRule="auto" w:line="240" w:before="0" w:after="240"/>
        <w:ind w:left="0" w:right="0" w:firstLine="720"/>
        <w:jc w:val="left"/>
        <w:rPr/>
      </w:pPr>
      <w:r>
        <w:rPr>
          <w:rFonts w:ascii="Times New Roman;sans-serif" w:hAnsi="Times New Roman;sans-serif"/>
          <w:b/>
          <w:color w:val="000000"/>
          <w:sz w:val="24"/>
        </w:rPr>
        <w:t>THIS SEPARATION AGREEMENT AND GENERAL RELEASE OF CLAIMS</w:t>
      </w:r>
      <w:r>
        <w:rPr>
          <w:color w:val="000000"/>
        </w:rPr>
        <w:t xml:space="preserve"> </w:t>
      </w:r>
      <w:r>
        <w:rPr>
          <w:rFonts w:ascii="Times New Roman;sans-serif" w:hAnsi="Times New Roman;sans-serif"/>
          <w:b w:val="false"/>
          <w:color w:val="000000"/>
          <w:sz w:val="24"/>
        </w:rPr>
        <w:t>(“Agreement”) is entered into by and between The Honest Company, Inc. (the “Company”), and Kelly Kennedy (“Employee,” “you,” or “your”) (together the “Parties” or individually a “Party”), in consideration for and as a condition to the Company’s agreement to provide you with certain Separation Benefits (defined below) to which you are not otherwise entitled.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Separation From Employment and Final Pay</w:t>
      </w:r>
      <w:r>
        <w:rPr>
          <w:rFonts w:ascii="Times New Roman;sans-serif" w:hAnsi="Times New Roman;sans-serif"/>
          <w:b w:val="false"/>
          <w:color w:val="000000"/>
          <w:sz w:val="24"/>
        </w:rPr>
        <w:t xml:space="preserve">. Your voluntary separation from the Company will be effective on September 29, 2023 (“Separation Date”). Your employment will end on the Separation Date regardless of whether you sign this Agreement or agree to the following terms and conditions. On the Separation Date (or by no later than the timeframe permitted by applicable law), and independent of this Agreement, the Company will provide you with a final paycheck that will fully compensate you for all earned wages and compensation, including your customary wages, benefits, bonuses, and vacation earned/payable to you through the Separation Date, less applicable taxes and withholdings. The Separation Benefits described in Section 4 below are separate from and in addition to your final pay. You understand that, except as otherwise provided in this Agreement, you are not entitled to anything further from the Company, including reinstatement by the Company, or any compensation or benefits of any kind, for any reason, after the Separation Date.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Benefits Termination.</w:t>
      </w:r>
      <w:r>
        <w:rPr>
          <w:color w:val="000000"/>
        </w:rPr>
        <w:t xml:space="preserve"> </w:t>
      </w:r>
      <w:r>
        <w:rPr>
          <w:rFonts w:ascii="Times New Roman;sans-serif" w:hAnsi="Times New Roman;sans-serif"/>
          <w:b w:val="false"/>
          <w:color w:val="000000"/>
          <w:sz w:val="24"/>
        </w:rPr>
        <w:t xml:space="preserve">Your eligibility for employee benefits as an employee of the Company will terminate on September 30, 2023. You will be separately notified of your right to continue your healthcare coverage under COBRA.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Post-Separation Consulting</w:t>
      </w:r>
      <w:r>
        <w:rPr>
          <w:rFonts w:ascii="Times New Roman;sans-serif" w:hAnsi="Times New Roman;sans-serif"/>
          <w:b w:val="false"/>
          <w:color w:val="000000"/>
          <w:sz w:val="24"/>
        </w:rPr>
        <w:t>. Provided that you execute and do not revoke this Agreement, the Parties have agreed that you will provide certain consulting services to the Company through December 31, 2023 (“Consulting Period”), except as otherwise provided herein. You acknowledge and agree that prior to entering into this Agreement, the Company is under no legal obligation to retain your services as a consultant after the Separation Date, and therefore this Consulting Period constitutes consideration for your obligations as specified herein.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i/>
          <w:color w:val="000000"/>
          <w:sz w:val="24"/>
        </w:rPr>
        <w:t>Services</w:t>
      </w:r>
      <w:r>
        <w:rPr>
          <w:rFonts w:ascii="Times New Roman;sans-serif" w:hAnsi="Times New Roman;sans-serif"/>
          <w:b w:val="false"/>
          <w:color w:val="000000"/>
          <w:sz w:val="24"/>
        </w:rPr>
        <w:t xml:space="preserve">. During the Consulting Period, you will use your best efforts to provide consulting services as may be requested by the Company from time to time in the areas of your experience and expertise, which shall include (without limitation) providing assistance and support and transitioning your work duties and responsibilities (the “Consulting Services”). For the avoidance of doubt, you will not be required to perform Consulting Services in the absence of a request for such services from the Company’s Chief Financial Officer. You agree to exercise the highest degree of professionalism and utilize your expertise and creative talents in performing the Consulting Services. You will not be required to report to the Company’s offices during the Consulting Period, except as specifically requested by the Company. When providing Consulting Services, you shall abide by the Company’s policies and procedures.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i/>
          <w:color w:val="000000"/>
          <w:sz w:val="24"/>
        </w:rPr>
        <w:t xml:space="preserve">Fees. </w:t>
      </w:r>
      <w:r>
        <w:rPr>
          <w:rFonts w:ascii="Times New Roman;sans-serif" w:hAnsi="Times New Roman;sans-serif"/>
          <w:b w:val="false"/>
          <w:color w:val="000000"/>
          <w:sz w:val="24"/>
        </w:rPr>
        <w:t>Your Consulting Services during the Consulting Period will be compensated at an hourly rate to be agreed-upon by the Parties. You will be required to submit a monthly invoice reflecting your Consulting Services rendered that month to the Legal Department (</w:t>
      </w:r>
      <w:r>
        <w:rPr>
          <w:rFonts w:ascii="Times New Roman;sans-serif" w:hAnsi="Times New Roman;sans-serif"/>
          <w:b w:val="false"/>
          <w:color w:val="0000FF"/>
          <w:sz w:val="24"/>
          <w:u w:val="single"/>
        </w:rPr>
        <w:t>legal@thehonestcompany.com</w:t>
      </w:r>
      <w:r>
        <w:rPr>
          <w:rFonts w:ascii="Times New Roman;sans-serif" w:hAnsi="Times New Roman;sans-serif"/>
          <w:b w:val="false"/>
          <w:color w:val="000000"/>
          <w:sz w:val="24"/>
        </w:rPr>
        <w:t>), and payment will be issued by the Company within 30 calendar days of receipt of such invoice. The Company agrees to pay for any and all such travel and/or expenses incurred by you to provide the Consulting Services, with such travel and/or expenses to be pre-approved by the Company before they are incurred. The Company will also reimburse or pay the legal fees you incurred in entering into your January 2021 employment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i/>
          <w:color w:val="000000"/>
          <w:sz w:val="24"/>
        </w:rPr>
        <w:t xml:space="preserve">Non-Disclosure of Confidential Information. </w:t>
      </w:r>
      <w:r>
        <w:rPr>
          <w:rFonts w:ascii="Times New Roman;sans-serif" w:hAnsi="Times New Roman;sans-serif"/>
          <w:b w:val="false"/>
          <w:color w:val="000000"/>
          <w:sz w:val="24"/>
        </w:rPr>
        <w:t>You acknowledge and reaffirm your continuing obligations, both during the Consulting Period and thereafter (as applicable), under the Confidential Information and Invention Assignment Agreement you previously entered into with the Company and which is incorporated herein by reference.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i/>
          <w:color w:val="000000"/>
          <w:sz w:val="24"/>
        </w:rPr>
        <w:t>Relationship between the Parties</w:t>
      </w:r>
      <w:r>
        <w:rPr>
          <w:rFonts w:ascii="Times New Roman;sans-serif" w:hAnsi="Times New Roman;sans-serif"/>
          <w:b w:val="false"/>
          <w:color w:val="000000"/>
          <w:sz w:val="24"/>
        </w:rPr>
        <w:t xml:space="preserve">. Your relationship with the Company as a consultant will be that of an independent contractor only, and nothing herein is intended to, or should be construed to, create a partnership, agency, joint venture or employment relationship between the Company and you. As an independent contractor, you will not be entitled to any of the benefits that the Company may make available to its employees generally, including but not limited to group health or life insurance, profit-sharing or retirement benefits. During the Consulting Period, you will have no responsibilities or authority as a consultant to the Company other than as provided in this Section 3. You will have no authority to bind the Company to any contractual obligations, whether written, oral, or implied, except with the prior written authorization of an officer of the Company. You agree not to represent or purport to represent the Company in any manner whatsoever to any third party unless authorized in advance by the Company, in writing, to do so. Throughout the Consulting Period, you shall have the right to engage in employment, consulting, or other work relationships in addition to your work for the Company, provided that such activities do not unreasonably interfere with your obligations under this Agreement, and in any event, unless otherwise waived in writing by the Company, do not compete or otherwise conflict with, directly or indirectly, the business, operations, and interests of the Company.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rFonts w:ascii="Times New Roman;sans-serif" w:hAnsi="Times New Roman;sans-serif"/>
          <w:b w:val="false"/>
          <w:i/>
          <w:color w:val="000000"/>
          <w:sz w:val="24"/>
        </w:rPr>
        <w:t>Termination.</w:t>
      </w:r>
      <w:r>
        <w:rPr>
          <w:color w:val="000000"/>
        </w:rPr>
        <w:t xml:space="preserve"> </w:t>
      </w:r>
      <w:r>
        <w:rPr>
          <w:rFonts w:ascii="Times New Roman;sans-serif" w:hAnsi="Times New Roman;sans-serif"/>
          <w:b w:val="false"/>
          <w:color w:val="000000"/>
          <w:sz w:val="24"/>
        </w:rPr>
        <w:t>The Consulting Period shall end on the earlier of (i) December 31, 2023; and (ii) the Company’s written notice to you that you have materially breached any of your obligations hereunder or have materially breached any of your obligations under your Confidential Information and Inventions Assignment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Separation Benefits</w:t>
      </w:r>
      <w:r>
        <w:rPr>
          <w:rFonts w:ascii="Times New Roman;sans-serif" w:hAnsi="Times New Roman;sans-serif"/>
          <w:b w:val="false"/>
          <w:color w:val="000000"/>
          <w:sz w:val="24"/>
        </w:rPr>
        <w:t>. In consideration for entering into this Agreement, and provided that you: (</w:t>
      </w:r>
      <w:r>
        <w:rPr>
          <w:rFonts w:ascii="Times New Roman;sans-serif" w:hAnsi="Times New Roman;sans-serif"/>
          <w:b w:val="false"/>
          <w:color w:val="1A1A1A"/>
          <w:sz w:val="24"/>
        </w:rPr>
        <w:t xml:space="preserve">i) remained in compliance with all Company policies; </w:t>
      </w:r>
      <w:r>
        <w:rPr>
          <w:rFonts w:ascii="Times New Roman;sans-serif" w:hAnsi="Times New Roman;sans-serif"/>
          <w:b w:val="false"/>
          <w:color w:val="000000"/>
          <w:sz w:val="24"/>
        </w:rPr>
        <w:t>your Employment Agreement dated April 24, 2021 (“Employment Agreement”); and your Confidential Information and Invention Assignment Agreement (“CIIAA”), all</w:t>
      </w:r>
      <w:r>
        <w:rPr>
          <w:color w:val="1A1A1A"/>
        </w:rPr>
        <w:t xml:space="preserve"> </w:t>
      </w:r>
      <w:r>
        <w:rPr>
          <w:rFonts w:ascii="Times New Roman;sans-serif" w:hAnsi="Times New Roman;sans-serif"/>
          <w:b w:val="false"/>
          <w:color w:val="1A1A1A"/>
          <w:sz w:val="24"/>
        </w:rPr>
        <w:t xml:space="preserve">through the Separation Date (and after, if applicable), (ii) </w:t>
      </w:r>
      <w:r>
        <w:rPr>
          <w:rFonts w:ascii="Times New Roman;sans-serif" w:hAnsi="Times New Roman;sans-serif"/>
          <w:b w:val="false"/>
          <w:color w:val="000000"/>
          <w:sz w:val="24"/>
        </w:rPr>
        <w:t xml:space="preserve">delivered to the Company all Company property, pursuant to Section 11, by no later than thirty (30) days following the termination of the Consulting Period, (iii) signed and returned the executed copy of this Agreement to the Company on or before the expiration of the Consideration Period, (iv) fully comply with the terms of this Agreement, and (v) do not revoke this Agreement pursuant to Section 7 below, the Company will pay or extend to you, as applicable, the following (collectively referred to as the “Separation Benefits”):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the equivalent of six (6) months (the “Severance Period”) of your base salary in effect as of the Separation Date ($34,583.33 per month), subject to standard payroll deductions and withholdings, payable in monthly installments as a continuation on the Company’s regular payroll, beginning no later than the first regularly-scheduled payroll date following the sixtieth (60th) day after your Separation Date, provided this Agreement has become effective;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an amount equal to up to twelve (12) months of your health insurance premium under COBRA on an after-tax basis, which will terminate upon the earliest of (i) the date which is twelve (12) months after your Separation Date, (ii) the expiration of your eligibility for continuation coverage under COBRA, or (iii) the date when you enroll in substantially equivalent health insurance coverage in connection with new employment or self-employment (the occurrence of which you agree to promptly bring to the Company’s attention by email to the Legal Department (</w:t>
      </w:r>
      <w:r>
        <w:rPr>
          <w:rFonts w:ascii="Times New Roman;sans-serif" w:hAnsi="Times New Roman;sans-serif"/>
          <w:b w:val="false"/>
          <w:color w:val="0000FF"/>
          <w:sz w:val="24"/>
          <w:u w:val="single"/>
        </w:rPr>
        <w:t>legal@thehonestcompany.com</w:t>
      </w:r>
      <w:r>
        <w:rPr>
          <w:rFonts w:ascii="Times New Roman;sans-serif" w:hAnsi="Times New Roman;sans-serif"/>
          <w:b w:val="false"/>
          <w:color w:val="000000"/>
          <w:sz w:val="24"/>
        </w:rPr>
        <w:t xml:space="preserve">)), payable either directly to the insurer or in monthly installments beginning no later than the first regularly-scheduled payroll date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sixtieth (60th) day after your Separation Date, provided this Agreement has become effective (except that the Company may elect to provide you with a lump-sum payment in lieu of all or part of the above-referenced payments);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an annual bonus for the 2023 calendar year (notwithstanding your termination of employment prior to the payment date of the bonus), prorated based on the number of days you were employed by the Company in the 2023 calendar year and determined by the Board and/or the Committee in its discretion based on the achievement of the applicable performance goals for the 2023 calendar year, to be paid at the same time that annual bonuses for the 2023 calendar year are paid to other Company executives (but in any event no later than March 15, 2024); and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accelerated vesting of outstanding restricted stock units (“RSUs”) issued under the Company’s Amended and Restated 2011 Stock Incentive Plan and the Company’s 2021 Equity Incentive Plan (“the Equity Plans”) that are held by you as of immediately prior to the Separation Date, such that a number of unvested shares subject to each award of RSUs that would vest if you continued to be a Service Provider or provide Continuous Service (as those terms are defined in the Equity Plans) from the Separation Date through and inclusive of March 4, 2024 will become vested (it being understood by the Parties that forfeiture of any RSUs held by you due to your termination of employment will be tolled to the extent necessary to implement the foregoing vesting acceleration).</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You acknowledge that the Company has no duty or obligation (including pursuant to the Employment Agreement) to provide you the Separation Benefits absent this Agreement.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Equity Interests</w:t>
      </w:r>
      <w:r>
        <w:rPr>
          <w:rFonts w:ascii="Times New Roman;sans-serif" w:hAnsi="Times New Roman;sans-serif"/>
          <w:b w:val="false"/>
          <w:color w:val="000000"/>
          <w:sz w:val="24"/>
        </w:rPr>
        <w:t>. Except as otherwise provided in Section 4(d), your entitlement to outstanding equity awards, if any, shall be governed by the terms of the stock plan governing such options and the documents by which such options were granted to you, along with any amendments thereto.</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General Release</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consideration of the Separation Benefits set forth in Section 4 above, you on behalf of yourself, your heirs, any spouse, executor, assigns, administrators, representatives, and agents , hereby release and forever discharge the Company and each of its respective past, present and future employees, officers, directors, members, agents, trustees, administrators, representatives, owners, shareholders, partners, insurers, fiduciaries, attorneys, subsidiaries, parent companies, affiliates, related entities, assigns, predecessors and successors in interest, as well as each of their past, present and future employees, officers, directors, members, agents, trustees, administrators, representatives, owners, shareholders, partners, insurers, fiduciaries, attorneys, subsidiaries, parent companies, affiliates, related entities, assigns, predecessors and successors in interest, jointly and severally, (referred to collectively hereafter as the "Releasees"), from any and all liabilities, claims, causes of action, charges, complaints, obligations, costs, losses, damages, injuries, penalties, interest, attorneys’ fees, and other legal responsibilities, of any form whatsoever, whether known or unknown, unforeseen, unanticipated, unsuspected or latent (referred to collectively hereafter as "Claim" or "Claims"), of whatever kind and nature, whether now known or unknown, which you have at any time owned or held up to and including the date you sign this Agreement including, and without limiting the generality of the foregoing, any and all Claims arising out of, connected with, or relating to: (a) your employment or termination of employment with the Company; (b) any act or omission by or on the part of any of the Releasees occurring from the beginning of time up through and including your execution of this Agreement; (c) any Claim for violation of any federal, state or local law or regulation prohibiting discrimination, failure to prevent discrimination, harassment or retaliation of any kind; (d) Title VII of the Civil Rights Act of 1964, as amended; the Civil Rights Act of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1991; the Americans with Disabilities Act of 1990, as amended; the Genetic Information and Discrimination Act; the Rehabilitation Act of 1973, as amended; the Age Discrimination in Employment Act of 1967 (“ADEA”), as amended by the Older Workers’ Benefit Protection Act of 1990 (“OWBPA”); the Rehabilitation Act of 1973, as amended; the National Labor Relations Act, as amended; the Labor-Management Relations Act, as amended; the Family and Medical Leave Act; the Employee Retirement Income Security Act; the Lily Ledbetter Fair Pay Act; the Pregnancy Discrimination Act; the Occupational Safety and Health Act; the Federal Worker Adjustment and Retraining Notification Act; the Fair Labor Standards Act (including the Equal Pay Act) or the Consolidated Omnibus Budget Reconciliation Act (COBRA), as amended; the Sarbanes-Oxley Act of 2002; the California Worker Adjustment and Retraining Notification Act; the California Business &amp; Professions Code; the California Family Rights Act; the California Labor Code; the California Industrial Welfare Commission Wage Orders; the California Fair Employment and Housing Act; the California and United States Constitutions; the Washington Industrial Welfare Act; the Washington Law Against Discrimination; any Washington leave laws; the Washington Minimum Wage Requirements and Labor Standards Act; Title 49 of the Revised Code of Washington; the Washington Equal Pay Opportunity Act; the Washington Fair Chance Act; and any local ordinance or federal or state statute, regulation or constitution; and (e) any Claim for attorneys' fees, penalties, interest, costs or expenses. If any claim is not subject to release, to the extent permitted by law, you waive any right or ability to be a class or collective action representative or to otherwise participate or recover any damages, injunctive, declaratory, monetary, or other relief, in any putative or certified class, collective or multi-party action or proceeding based on such a claim in which the Company or any of the other Released Parties is a party. You represent that you are not an “aggrieved employee” for any purpose including under the California Private Attorneys’ General Act (“PAGA”), and therefore the Company is not liable for any penalties pursuant to PAGA for any conduct arising during or out of your employment with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The General Release in Section 6(a) of this Agreement is intended to be a full and final release covering all suspected, unknown, undisclosed and unanticipated Claims which may have arisen, or may arise, from any act or omission prior to the date that you sign this Agreement, and which arise out of or are related, directly or indirectly, to the dealings between the Parties to this Agreement, or any matters described above. If you later discover facts different from or in addition to those facts you currently know or believe to be true, this Agreement, the waivers and releases will nevertheless remain effective in all respects. You and on behalf of anyone or any entity claiming through you, waive any and all rights or benefits which you may now have, or in the future may have, under the terms of Cal. Civ. Code § 1542 which provides as follows:</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provisions of § 1542, and for the purpose of implementing a full and complete release and discharge, you expressly acknowledge that (i) this Agreement is intended to and does include in its effect, without limitation, all Claims you do not know or suspect to exist in your favor against any of the Releasees, up to and including the date you sign this Agreement, and (ii) this Agreement expressly contemplates the extinguishment of such Claims.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Older</w:t>
      </w:r>
      <w:r>
        <w:rPr>
          <w:color w:val="000000"/>
          <w:u w:val="single"/>
        </w:rPr>
        <w:t xml:space="preserve"> </w:t>
      </w:r>
      <w:r>
        <w:rPr>
          <w:rFonts w:ascii="Times New Roman;sans-serif" w:hAnsi="Times New Roman;sans-serif"/>
          <w:b w:val="false"/>
          <w:color w:val="000000"/>
          <w:sz w:val="24"/>
          <w:u w:val="single"/>
        </w:rPr>
        <w:t>Workers’ Benefit Protection Act Disclosures and Consideration/ Revocation Periods.</w:t>
      </w:r>
      <w:r>
        <w:rPr>
          <w:color w:val="000000"/>
        </w:rPr>
        <w:t xml:space="preserve"> </w:t>
      </w:r>
      <w:r>
        <w:rPr>
          <w:rFonts w:ascii="Times New Roman;sans-serif" w:hAnsi="Times New Roman;sans-serif"/>
          <w:b w:val="false"/>
          <w:color w:val="000000"/>
          <w:sz w:val="24"/>
        </w:rPr>
        <w:t xml:space="preserve">This Agreement constitutes a knowing and voluntary waiver of any and all rights or Claims that you have or may have under the Federal Age Discrimination in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Employment Act, as amended by the OWBPA. This Section and this Agreement are written in a manner to be understood by you. You are hereby advised in writing to consult with an attorney of your choosing before signing this Agreement. You may take up to twenty-one (21) days to review and consider this Agreement (“Consideration Period”), after which time this Agreement to provide you the Separation Benefits will expire. The Parties agree that modification of this Agreement, whether material or immaterial, shall not restart the running of the Consideration Period. If you decide not to use the full Consideration Period, you knowingly and voluntarily waive any claims that you were not given or did not use the full Consideration Period before signing this Agreement and acknowledge that you have signed this Agreement knowingly and voluntarily. You may revoke this Agreement at any time within the 7-day period following the date you sign this Agreement (“Revocation Period”) by providing written notice of revocation via email to the Legal Department (</w:t>
      </w:r>
      <w:r>
        <w:rPr>
          <w:rFonts w:ascii="Times New Roman;sans-serif" w:hAnsi="Times New Roman;sans-serif"/>
          <w:b w:val="false"/>
          <w:color w:val="0000FF"/>
          <w:sz w:val="24"/>
          <w:u w:val="single"/>
        </w:rPr>
        <w:t>legal@thehonestcompany.com</w:t>
      </w:r>
      <w:r>
        <w:rPr>
          <w:rFonts w:ascii="Times New Roman;sans-serif" w:hAnsi="Times New Roman;sans-serif"/>
          <w:b w:val="false"/>
          <w:color w:val="000000"/>
          <w:sz w:val="24"/>
        </w:rPr>
        <w:t>), so that such written notice is received before the Revocation Period expires. Subject also to Section 4 of this Agreement, the Company’s obligation to provide any payment under this Agreement does not become final and binding until after the expiration of the Revocation Period and only if you have not revoked this Agreement during such time period. If you exercise your right to revoke the Agreement during the Revocation Period, the Company reserves the right to treat the Agreement as void, in whole or in part, at its sole discretion.</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Your Protected Rights; Non-Interference</w:t>
      </w:r>
      <w:r>
        <w:rPr>
          <w:rFonts w:ascii="Times New Roman;sans-serif" w:hAnsi="Times New Roman;sans-serif"/>
          <w:b w:val="false"/>
          <w:color w:val="000000"/>
          <w:sz w:val="24"/>
        </w:rPr>
        <w:t xml:space="preserve">. Notwithstanding the above, the matters released in Section 6 do not include: (i) any rights to receive the Separation Benefits; (ii) any claim for vested and accrued benefits under any benefit plan governed by the Employment Retirement income Security Act of 1974, as amended; (iii) any claim for unemployment or state disability insurance benefits or worker compensation benefits; (iv) any claim of breach of the terms of this Agreement; or (v) any other claims that cannot lawfully be released as a matter of law or public policy. Additionally, nothing in this Agreement restricts or prevents you from disclosing or discussing allegations of discrimination, harassment, retaliation, wage and hour violations, or sexual assault, or conduct that is recognized as against a clear mandate of public policy or disclosing or discussing the settlement of such a claim or waives your right to file a charge, cooperate or participate in an investigation or proceeding conducted by an administrative or regulatory agency, such as the Equal Employment Opportunity Commission (“EEOC”); to bring a suit to challenge the validity of this Agreement as it applies to the claims seeking to enforce the ADEA; to file an unfair labor practice charge under the National Labor Relations Act; to make disclosures that are required by law; or to testify truthfully, when required or requested to attend the proceeding pursuant to a court order, subpoena, or written request from an administrative agency or the legislature. However, to the maximum extent permitted by applicable law, the consideration provided to you in this Agreement shall be the sole relief provided to you by the Releasees for the matters released in Section 6 and you agree to waive any monetary or other personal relief against the Releasees in connection with any such claim, charge, or proceeding. Nothing in this Agreement shall be interpreted to prohibit or prevent you from receiving a bounty or similar award for providing information to a government agency (such as the U.S. Securities and Exchange Commission) or filing or participating in any whistleblower complaint filed with the U.S. Securities and Exchange Commission.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Covenant Not to Sue; Representations</w:t>
      </w:r>
      <w:r>
        <w:rPr>
          <w:rFonts w:ascii="Times New Roman;sans-serif" w:hAnsi="Times New Roman;sans-serif"/>
          <w:b w:val="false"/>
          <w:color w:val="000000"/>
          <w:sz w:val="24"/>
        </w:rPr>
        <w:t xml:space="preserve">. You acknowledge and agree that you have not and will not directly or indirectly institute or assist in any legal action against the Releasees based upon, arising out of, or related to any Claims released herein. You further acknowledge and agree that (a) you have not sustained any workplace injury of any kind during your employment with the Company, and accordingly, you do not intend to file any claim for or seek any workers’ compensation benefits; (b) you are aware of no facts or evidence that would give rise to any governmental action against any of the Releasees; and (c) you have not made any claims or allegations to the Company related to discrimination, harassment, retaliation, wage and hour violations, or sexual assault, and that none of the payments set forth in this Agreement are related to alleged discrimination, harassment, retaliation, wage and hour violations, or sexual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assault. You agree that except for the Separation Benefits, you have been paid all wages and other compensation that you have earned or become entitled to during your employment with the Company, including but not limited to, all wages, salary, bonuses and commissions, vacation and paid time off, and reimbursable expenses.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Confidentiality and Non-Disparagement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rPr>
        <w:t>You agree that the terms and conditions of this Agreement are confidential, including, but not limited to, the amounts paid to you under this Agreement. You will not disclose or publicize the existence of this Agreement or any of its terms to any person, or in any manner,</w:t>
      </w:r>
      <w:r>
        <w:rPr>
          <w:color w:val="000000"/>
        </w:rPr>
        <w:t xml:space="preserve"> </w:t>
      </w:r>
      <w:r>
        <w:rPr>
          <w:rFonts w:ascii="Times New Roman;sans-serif" w:hAnsi="Times New Roman;sans-serif"/>
          <w:b w:val="false"/>
          <w:color w:val="000000"/>
          <w:sz w:val="24"/>
        </w:rPr>
        <w:t>except to your spouse, legal counsel, or accounting advisors and then only after securing the agreement of each such individual to maintain the confidentiality of this Agreement. Notwithstanding, this Agreement does not prohibit or restrict you from initiating communications directly with, or responding to any inquiry from, or providing testimony before, any self-regulatory organization or state or federal regulatory authority, regarding this Agreement or its underlying facts or circumstances.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rPr>
        <w:t>You further acknowledge that, during the term of your employment by the Company, you have had access to and possession of Confidential Information (defined below), and that following the Separation Date, you must continue to comply with the terms of the CIIAA. For the purposes of this Agreement,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shall have the meaning ascribed to such term in the CIIAA.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rPr>
        <w:t>In addition, you and the Company agree that, at all times following the Separation Date each will not make any voluntary statements, written or oral, or cause or encourage others to make any such statements that defame, disparage or in any way criticize the personal and/or business reputations, practices or conduct of the other, including the Releasees.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rPr>
        <w:t>Notwithstanding any of the foregoing, nothing in this Agreement prevents you from (i) disclosing either (x) the underlying facts or circumstances regarding conduct that you reasonably believe to be illegal discrimination, harassment, retaliation, a wage and hour violation, or sexual assault, or that is recognized as against a clear mandate of public policy or (y) the existence of a settlement involving such conduct; (ii) testifying truthfully in any legal proceeding, including, but not limited to, responding to any inquiries made by the EEOC or any government agency; or (iii) engaging in activity protected by the National Labor Relations Act, including the right to discuss terms and conditions of employment with current or former co-workers.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11.</w:t>
      </w:r>
      <w:r>
        <w:rPr>
          <w:color w:val="000000"/>
        </w:rPr>
        <w:t xml:space="preserve"> </w:t>
      </w:r>
      <w:r>
        <w:rPr>
          <w:rFonts w:ascii="Times New Roman;sans-serif" w:hAnsi="Times New Roman;sans-serif"/>
          <w:b w:val="false"/>
          <w:color w:val="000000"/>
          <w:sz w:val="24"/>
          <w:u w:val="single"/>
        </w:rPr>
        <w:t>Surrender and Return of Company Property</w:t>
      </w:r>
      <w:r>
        <w:rPr>
          <w:rFonts w:ascii="Times New Roman;sans-serif" w:hAnsi="Times New Roman;sans-serif"/>
          <w:b w:val="false"/>
          <w:color w:val="000000"/>
          <w:sz w:val="24"/>
        </w:rPr>
        <w:t xml:space="preserve">. You represent and warrant that proprietary items will be returned to an authorized officer of the Company, including but not limited to, any computer hardware or software, credit cards, key cards, cellular phones, any books or manuals issued by the Company and any other Confidential Information (including, without limitation, all copies or reproductions of such documents or materials, computer disks, backup copies, and other forms of electronic storage media) within thirty (30) days of the end of the Consulting Period, and that you will not retain any copies thereof.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Cooperation Agreement</w:t>
      </w:r>
      <w:r>
        <w:rPr>
          <w:rFonts w:ascii="Times New Roman;sans-serif" w:hAnsi="Times New Roman;sans-serif"/>
          <w:b w:val="false"/>
          <w:color w:val="000000"/>
          <w:sz w:val="24"/>
        </w:rPr>
        <w:t xml:space="preserve">. Separate and apart from the post-separation consulting arrangement described in Section 3, you agree to cooperate fully with the Company in connection with any and all pending or future litigation or administrative claims, investigations, or proceedings involving the Company, including without limitation your meeting with the Company's counsel and/or advisors at reasonable times, upon their request, and providing written statements or live testimony (in court or at depositions) that is truthful, and complete in accordance with information known to you. To the extent any obligations under this Section require you to travel and/or incur expenses, the Company agrees to pay for any and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travel and/or expenses, with such travel and/or expenses to be pre-approved by the Company before they are incurred.</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shd w:fill="FFFFFF" w:val="clear"/>
        </w:rPr>
        <w:t>Tax Matters</w:t>
      </w:r>
      <w:r>
        <w:rPr>
          <w:rFonts w:ascii="Times New Roman;sans-serif" w:hAnsi="Times New Roman;sans-serif"/>
          <w:b w:val="false"/>
          <w:color w:val="000000"/>
          <w:sz w:val="24"/>
          <w:shd w:fill="FFFFFF" w:val="clear"/>
        </w:rPr>
        <w:t>.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you on account of non-compliance with Section 409A. You acknowledge that any and all federal, state, or local tax liability that may be due or become due because of the Separation Benefits are your sole responsibility, and you further agree to hold the Company harmless and indemnify it for any and all liabilities, penalties, interest, costs, attorneys’ fees and expenses relating to any tax or contribution that may be incurred or demanded as a result of your receipt of the Separation Benefits.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If any provision of this Agreement is held to be void, null or unenforceable, the remaining portions will remain in full force and effect. To the extent any provision of the general release of claims is deemed to be invalid or unenforceable, the Parties agree to enter into a full and general release of all claims by you that is not invalid.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Governing Law; Dispute Resolution</w:t>
      </w:r>
      <w:r>
        <w:rPr>
          <w:rFonts w:ascii="Times New Roman;sans-serif" w:hAnsi="Times New Roman;sans-serif"/>
          <w:b w:val="false"/>
          <w:color w:val="000000"/>
          <w:sz w:val="24"/>
        </w:rPr>
        <w:t xml:space="preserve">. This Agreement shall be deemed to have been executed and delivered within the State of Washington, and the rights and obligations of the parties hereunder shall be construed and enforced in accordance with, and governed by, the laws of the State of Washington, without regard to principles of conflict of laws. Any and all disputes arising out of or in connection with this Agreement, or the breach thereof, shall be construed, arbitrated and finally resolved by and in accordance with Section 11 of the Employment Agreement.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No Admission</w:t>
      </w:r>
      <w:r>
        <w:rPr>
          <w:rFonts w:ascii="Times New Roman;sans-serif" w:hAnsi="Times New Roman;sans-serif"/>
          <w:b w:val="false"/>
          <w:color w:val="000000"/>
          <w:sz w:val="24"/>
        </w:rPr>
        <w:t xml:space="preserve">. Neither this Agreement nor the furnishing of the consideration for this Agreement will be deemed or construed as an admission of liability or wrongdoing on the part of the Releasees, nor will it be admissible as evidence in any proceeding other than for the enforcement of this Agreement.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Execution; Counterparts</w:t>
      </w:r>
      <w:r>
        <w:rPr>
          <w:rFonts w:ascii="Times New Roman;sans-serif" w:hAnsi="Times New Roman;sans-serif"/>
          <w:b w:val="false"/>
          <w:color w:val="000000"/>
          <w:sz w:val="24"/>
        </w:rPr>
        <w:t>. You shall not execute this Agreement before the Separation Date, and the Company has no obligation to countersign this Agreement you execute this Agreement before the Separation Date. This Agreement may be executed in counterparts, and each counterpart, when executed, shall have the efficacy of a signed original. Photographic or facsimile copies of such signed counterparts may be used in lieu of the originals for any purpose.</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Acknowledgment</w:t>
      </w:r>
      <w:r>
        <w:rPr>
          <w:rFonts w:ascii="Times New Roman;sans-serif" w:hAnsi="Times New Roman;sans-serif"/>
          <w:b w:val="false"/>
          <w:color w:val="000000"/>
          <w:sz w:val="24"/>
        </w:rPr>
        <w:t xml:space="preserve">. You acknowledge that you have read this Agreement, fully understand the contents of this Agreement, freely, voluntarily and without coercion enter into this Agreement, and are signing it with full knowledge that it is intended, to the maximum extent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permitted by law, as a complete release and waiver of any and all claims you may have against the Company.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all of the terms, conditions, promises, representations and understandings between the Parties, and supersedes any previous written or oral agreements between the Parties, except that any provisions of the CIIAA, your previous indemnification agreement with the Company, and the Employment Agreement that survive the termination of your employment will remain in full force and effect. This Agreement cannot be modified except by a writing signed by you and an authorized officer of the Company. The Company’s failure to insist upon your strict adherence to any term or obligation of this Agreement shall neither be considered a waiver nor deprive the Company of the right to thereafter expect or insist upon strict adherence to that term or obligation, or any other term or obligation, of this Agreement.</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This Agreement shall not become effective or enforceable until 12:01 a.m. on the 8</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after you sign and date this Agreement (referred to hereafter as the “Effective Date”). </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 xml:space="preserve">YOU ACKNOWLEDGE AND UNDERSTAND THAT THIS AGREEMENT INCLUDES A RELEASE OF ALL CLAIMS. YOU ACKNOWLEDGE THAT YOU HAVE READ THIS AGREEMENT CAREFULLY, UNDERSTAND ALL OF ITS TERMS AND AGREE TO THOSE TERMS KNOWINGLY, VOLUNTARILY, AND WITHOUT DURESS. YOU ARE ADVISED TO CONSULT WITH COUNSEL ABOUT THE TERMS AND LEGAL EFFECT OF THIS AGREEMENT. </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color w:val="000000"/>
          <w:sz w:val="24"/>
        </w:rPr>
        <w:t>EMPLOYEE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Dated: </w:t>
      </w:r>
      <w:r>
        <w:rPr>
          <w:color w:val="000000"/>
          <w:u w:val="single"/>
        </w:rPr>
        <w:t>        </w:t>
      </w:r>
      <w:r>
        <w:rPr>
          <w:rFonts w:ascii="Times New Roman;sans-serif" w:hAnsi="Times New Roman;sans-serif"/>
          <w:b w:val="false"/>
          <w:color w:val="000000"/>
          <w:sz w:val="24"/>
          <w:u w:val="single"/>
        </w:rPr>
        <w:t>10/17/2023    </w:t>
      </w:r>
      <w:r>
        <w:rPr>
          <w:color w:val="000000"/>
        </w:rPr>
        <w:t>        </w:t>
      </w:r>
      <w:r>
        <w:rPr>
          <w:rFonts w:ascii="Times New Roman;sans-serif" w:hAnsi="Times New Roman;sans-serif"/>
          <w:b w:val="false"/>
          <w:color w:val="000000"/>
          <w:sz w:val="24"/>
          <w:u w:val="single"/>
        </w:rPr>
        <w:t>/s/ Kelly Kennedy_____________            </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4"/>
        </w:rPr>
        <w:t>Kelly Kennedy</w:t>
      </w:r>
    </w:p>
    <w:p>
      <w:pPr>
        <w:pStyle w:val="TextBody"/>
        <w:bidi w:val="0"/>
        <w:spacing w:lineRule="auto" w:line="240" w:before="0" w:after="240"/>
        <w:jc w:val="left"/>
        <w:rPr>
          <w:color w:val="000000"/>
        </w:rPr>
      </w:pPr>
      <w:r>
        <w:rPr>
          <w:color w:val="000000"/>
        </w:rPr>
        <w:t>    </w:t>
      </w:r>
    </w:p>
    <w:p>
      <w:pPr>
        <w:pStyle w:val="TextBody"/>
        <w:bidi w:val="0"/>
        <w:spacing w:lineRule="auto" w:line="240" w:before="0" w:after="24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THE HONEST COMPANY, INC.</w:t>
      </w:r>
    </w:p>
    <w:p>
      <w:pPr>
        <w:pStyle w:val="TextBody"/>
        <w:bidi w:val="0"/>
        <w:spacing w:before="0" w:after="0"/>
        <w:ind w:left="0" w:right="0" w:firstLine="72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 xml:space="preserve">Dated: </w:t>
      </w:r>
      <w:r>
        <w:rPr>
          <w:color w:val="000000"/>
          <w:u w:val="single"/>
        </w:rPr>
        <w:t>        </w:t>
      </w:r>
      <w:r>
        <w:rPr>
          <w:rFonts w:ascii="Times New Roman;sans-serif" w:hAnsi="Times New Roman;sans-serif"/>
          <w:b w:val="false"/>
          <w:color w:val="000000"/>
          <w:sz w:val="24"/>
          <w:u w:val="single"/>
        </w:rPr>
        <w:t>10/17/2023    </w:t>
      </w:r>
      <w:r>
        <w:rPr>
          <w:color w:val="000000"/>
        </w:rPr>
        <w:t>        </w:t>
      </w: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Brendan Sheehey            </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Title: G</w:t>
      </w:r>
      <w:r>
        <w:rPr>
          <w:rFonts w:ascii="Times New Roman;sans-serif" w:hAnsi="Times New Roman;sans-serif"/>
          <w:b w:val="false"/>
          <w:color w:val="000000"/>
          <w:sz w:val="24"/>
          <w:u w:val="single"/>
        </w:rPr>
        <w:t xml:space="preserve">eneral Counsel &amp; Corporate Secretary </w:t>
      </w:r>
      <w:r>
        <w:rPr>
          <w:color w:val="000000"/>
        </w:rPr>
        <w:t>        </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78" w:after="283"/>
        <w:jc w:val="right"/>
        <w:rPr>
          <w:rFonts w:ascii="Times New Roman;sans-serif" w:hAnsi="Times New Roman;sans-serif"/>
          <w:b/>
          <w:color w:val="000000"/>
          <w:sz w:val="24"/>
        </w:rPr>
      </w:pPr>
      <w:r>
        <w:rPr>
          <w:rFonts w:ascii="Times New Roman;sans-serif" w:hAnsi="Times New Roman;sans-serif"/>
          <w:b/>
          <w:color w:val="000000"/>
          <w:sz w:val="24"/>
        </w:rPr>
        <w:t>Exhibit 10.3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0" w:after="283"/>
        <w:jc w:val="center"/>
        <w:rPr>
          <w:rFonts w:ascii="Times New Roman;sans-serif" w:hAnsi="Times New Roman;sans-serif"/>
          <w:b/>
          <w:color w:val="151515"/>
          <w:sz w:val="24"/>
        </w:rPr>
      </w:pPr>
      <w:r>
        <w:rPr>
          <w:rFonts w:ascii="Times New Roman;sans-serif" w:hAnsi="Times New Roman;sans-serif"/>
          <w:b/>
          <w:color w:val="151515"/>
          <w:sz w:val="24"/>
        </w:rPr>
        <w:t>AMENDMENT TWENTY–SIX</w:t>
      </w:r>
    </w:p>
    <w:p>
      <w:pPr>
        <w:pStyle w:val="TextBody"/>
        <w:bidi w:val="0"/>
        <w:spacing w:lineRule="auto" w:line="240" w:before="0" w:after="0"/>
        <w:jc w:val="center"/>
        <w:rPr>
          <w:rFonts w:ascii="Times New Roman;sans-serif" w:hAnsi="Times New Roman;sans-serif"/>
          <w:b/>
          <w:color w:val="151515"/>
          <w:sz w:val="24"/>
        </w:rPr>
      </w:pPr>
      <w:r>
        <w:rPr>
          <w:rFonts w:ascii="Times New Roman;sans-serif" w:hAnsi="Times New Roman;sans-serif"/>
          <w:b/>
          <w:color w:val="151515"/>
          <w:sz w:val="24"/>
        </w:rPr>
        <w:t>TO THE LOGISTICS SERVICES AGREEMENT</w:t>
      </w:r>
    </w:p>
    <w:p>
      <w:pPr>
        <w:pStyle w:val="TextBody"/>
        <w:bidi w:val="0"/>
        <w:spacing w:before="7" w:after="283"/>
        <w:jc w:val="left"/>
        <w:rPr/>
      </w:pPr>
      <w:r>
        <w:rPr/>
      </w:r>
    </w:p>
    <w:p>
      <w:pPr>
        <w:pStyle w:val="TextBody"/>
        <w:bidi w:val="0"/>
        <w:spacing w:lineRule="auto" w:line="240" w:before="0" w:after="0"/>
        <w:jc w:val="left"/>
        <w:rPr/>
      </w:pPr>
      <w:r>
        <w:rPr>
          <w:rFonts w:ascii="Times New Roman;sans-serif" w:hAnsi="Times New Roman;sans-serif"/>
          <w:b w:val="false"/>
          <w:color w:val="151515"/>
          <w:sz w:val="24"/>
        </w:rPr>
        <w:t>This    </w:t>
      </w:r>
      <w:r>
        <w:rPr>
          <w:rFonts w:ascii="Times New Roman;sans-serif" w:hAnsi="Times New Roman;sans-serif"/>
          <w:b/>
          <w:color w:val="151515"/>
          <w:sz w:val="24"/>
        </w:rPr>
        <w:t>AMENDMENT    TWENTY–SIX    TO    THE    LOGISTICS    SERVICES</w:t>
      </w:r>
    </w:p>
    <w:p>
      <w:pPr>
        <w:pStyle w:val="TextBody"/>
        <w:bidi w:val="0"/>
        <w:spacing w:lineRule="auto" w:line="240" w:before="0" w:after="0"/>
        <w:jc w:val="both"/>
        <w:rPr/>
      </w:pPr>
      <w:r>
        <w:rPr>
          <w:rFonts w:ascii="Times New Roman;sans-serif" w:hAnsi="Times New Roman;sans-serif"/>
          <w:b/>
          <w:color w:val="151515"/>
          <w:sz w:val="24"/>
        </w:rPr>
        <w:t xml:space="preserve">AGREEMENT </w:t>
      </w:r>
      <w:r>
        <w:rPr>
          <w:rFonts w:ascii="Times New Roman;sans-serif" w:hAnsi="Times New Roman;sans-serif"/>
          <w:b w:val="false"/>
          <w:color w:val="151515"/>
          <w:sz w:val="24"/>
        </w:rPr>
        <w:t>(the “</w:t>
      </w:r>
      <w:r>
        <w:rPr>
          <w:rFonts w:ascii="Times New Roman;sans-serif" w:hAnsi="Times New Roman;sans-serif"/>
          <w:b/>
          <w:color w:val="151515"/>
          <w:sz w:val="24"/>
        </w:rPr>
        <w:t>Amendment</w:t>
      </w:r>
      <w:r>
        <w:rPr>
          <w:color w:val="151515"/>
        </w:rPr>
        <w:t>”</w:t>
      </w:r>
      <w:r>
        <w:rPr>
          <w:rFonts w:ascii="Times New Roman;sans-serif" w:hAnsi="Times New Roman;sans-serif"/>
          <w:b w:val="false"/>
          <w:color w:val="151515"/>
          <w:sz w:val="24"/>
        </w:rPr>
        <w:t>) is entered into as of August 31, 2023 (the “</w:t>
      </w:r>
      <w:r>
        <w:rPr>
          <w:rFonts w:ascii="Times New Roman;sans-serif" w:hAnsi="Times New Roman;sans-serif"/>
          <w:b/>
          <w:color w:val="151515"/>
          <w:sz w:val="24"/>
        </w:rPr>
        <w:t>Amendment Date</w:t>
      </w:r>
      <w:r>
        <w:rPr>
          <w:color w:val="151515"/>
        </w:rPr>
        <w:t>”</w:t>
      </w:r>
      <w:r>
        <w:rPr>
          <w:rFonts w:ascii="Times New Roman;sans-serif" w:hAnsi="Times New Roman;sans-serif"/>
          <w:b w:val="false"/>
          <w:color w:val="151515"/>
          <w:sz w:val="24"/>
        </w:rPr>
        <w:t>), by and between The Honest Company, Inc. (“</w:t>
      </w:r>
      <w:r>
        <w:rPr>
          <w:rFonts w:ascii="Times New Roman;sans-serif" w:hAnsi="Times New Roman;sans-serif"/>
          <w:b/>
          <w:color w:val="151515"/>
          <w:sz w:val="24"/>
        </w:rPr>
        <w:t>CLIENT</w:t>
      </w:r>
      <w:r>
        <w:rPr>
          <w:color w:val="151515"/>
        </w:rPr>
        <w:t>”</w:t>
      </w:r>
      <w:r>
        <w:rPr>
          <w:rFonts w:ascii="Times New Roman;sans-serif" w:hAnsi="Times New Roman;sans-serif"/>
          <w:b w:val="false"/>
          <w:color w:val="151515"/>
          <w:sz w:val="24"/>
        </w:rPr>
        <w:t>) and GEODIS Logistics LLC (“</w:t>
      </w:r>
      <w:r>
        <w:rPr>
          <w:rFonts w:ascii="Times New Roman;sans-serif" w:hAnsi="Times New Roman;sans-serif"/>
          <w:b/>
          <w:color w:val="151515"/>
          <w:sz w:val="24"/>
        </w:rPr>
        <w:t>GEODIS</w:t>
      </w:r>
      <w:r>
        <w:rPr>
          <w:rFonts w:ascii="Times New Roman;sans-serif" w:hAnsi="Times New Roman;sans-serif"/>
          <w:b w:val="false"/>
          <w:color w:val="151515"/>
          <w:sz w:val="24"/>
        </w:rPr>
        <w:t>,” collectively referred to as the “</w:t>
      </w:r>
      <w:r>
        <w:rPr>
          <w:rFonts w:ascii="Times New Roman;sans-serif" w:hAnsi="Times New Roman;sans-serif"/>
          <w:b/>
          <w:color w:val="151515"/>
          <w:sz w:val="24"/>
        </w:rPr>
        <w:t>Parties</w:t>
      </w:r>
      <w:r>
        <w:rPr>
          <w:rFonts w:ascii="Times New Roman;sans-serif" w:hAnsi="Times New Roman;sans-serif"/>
          <w:b w:val="false"/>
          <w:color w:val="151515"/>
          <w:sz w:val="24"/>
        </w:rPr>
        <w:t>,” and each a “</w:t>
      </w:r>
      <w:r>
        <w:rPr>
          <w:rFonts w:ascii="Times New Roman;sans-serif" w:hAnsi="Times New Roman;sans-serif"/>
          <w:b/>
          <w:color w:val="151515"/>
          <w:sz w:val="24"/>
        </w:rPr>
        <w:t>Party</w:t>
      </w:r>
      <w:r>
        <w:rPr>
          <w:color w:val="151515"/>
        </w:rPr>
        <w:t>”</w:t>
      </w:r>
      <w:r>
        <w:rPr>
          <w:rFonts w:ascii="Times New Roman;sans-serif" w:hAnsi="Times New Roman;sans-serif"/>
          <w:b w:val="false"/>
          <w:color w:val="151515"/>
          <w:sz w:val="24"/>
        </w:rPr>
        <w:t>).</w:t>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color w:val="151515"/>
          <w:sz w:val="24"/>
        </w:rPr>
      </w:pPr>
      <w:r>
        <w:rPr>
          <w:rFonts w:ascii="Times New Roman;sans-serif" w:hAnsi="Times New Roman;sans-serif"/>
          <w:b/>
          <w:color w:val="151515"/>
          <w:sz w:val="24"/>
        </w:rPr>
        <w:t>RECITALS:</w:t>
      </w:r>
    </w:p>
    <w:p>
      <w:pPr>
        <w:pStyle w:val="TextBody"/>
        <w:bidi w:val="0"/>
        <w:spacing w:before="7" w:after="283"/>
        <w:jc w:val="left"/>
        <w:rPr/>
      </w:pPr>
      <w:r>
        <w:rPr/>
      </w:r>
    </w:p>
    <w:p>
      <w:pPr>
        <w:pStyle w:val="TextBody"/>
        <w:bidi w:val="0"/>
        <w:spacing w:lineRule="auto" w:line="240" w:before="0" w:after="0"/>
        <w:ind w:left="0" w:right="0" w:hanging="360"/>
        <w:jc w:val="both"/>
        <w:rPr/>
      </w:pPr>
      <w:r>
        <w:rPr>
          <w:rFonts w:ascii="Times New Roman;sans-serif" w:hAnsi="Times New Roman;sans-serif"/>
          <w:b/>
          <w:color w:val="151515"/>
          <w:sz w:val="24"/>
        </w:rPr>
        <w:t>A.</w:t>
      </w:r>
      <w:r>
        <w:rPr>
          <w:rFonts w:ascii="Times New Roman;sans-serif" w:hAnsi="Times New Roman;sans-serif"/>
          <w:b w:val="false"/>
          <w:color w:val="151515"/>
          <w:sz w:val="24"/>
        </w:rPr>
        <w:t>The Parties entered into that certain Logistics Services Agreement dated January 27, 2014, as amended from time-to-time (the “</w:t>
      </w:r>
      <w:r>
        <w:rPr>
          <w:rFonts w:ascii="Times New Roman;sans-serif" w:hAnsi="Times New Roman;sans-serif"/>
          <w:b/>
          <w:color w:val="151515"/>
          <w:sz w:val="24"/>
        </w:rPr>
        <w:t>Agreement</w:t>
      </w:r>
      <w:r>
        <w:rPr>
          <w:color w:val="151515"/>
        </w:rPr>
        <w:t>”</w:t>
      </w:r>
      <w:r>
        <w:rPr>
          <w:rFonts w:ascii="Times New Roman;sans-serif" w:hAnsi="Times New Roman;sans-serif"/>
          <w:b w:val="false"/>
          <w:color w:val="151515"/>
          <w:sz w:val="24"/>
        </w:rPr>
        <w:t>);</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color w:val="151515"/>
          <w:sz w:val="24"/>
        </w:rPr>
        <w:t>B.</w:t>
      </w:r>
      <w:r>
        <w:rPr>
          <w:rFonts w:ascii="Times New Roman;sans-serif" w:hAnsi="Times New Roman;sans-serif"/>
          <w:b w:val="false"/>
          <w:color w:val="151515"/>
          <w:sz w:val="24"/>
        </w:rPr>
        <w:t>Pursuant to the Agreement, GEODIS provides logistics and warehousing services for CLIENT at the facility located at 5550 Donovan Way, Las Vegas, NV 89081(the “</w:t>
      </w:r>
      <w:r>
        <w:rPr>
          <w:rFonts w:ascii="Times New Roman;sans-serif" w:hAnsi="Times New Roman;sans-serif"/>
          <w:b/>
          <w:color w:val="151515"/>
          <w:sz w:val="24"/>
        </w:rPr>
        <w:t>Las Vegas Facility</w:t>
      </w:r>
      <w:r>
        <w:rPr>
          <w:color w:val="151515"/>
        </w:rPr>
        <w:t>”</w:t>
      </w:r>
      <w:r>
        <w:rPr>
          <w:rFonts w:ascii="Times New Roman;sans-serif" w:hAnsi="Times New Roman;sans-serif"/>
          <w:b w:val="false"/>
          <w:color w:val="151515"/>
          <w:sz w:val="24"/>
        </w:rPr>
        <w:t>) and the facility located at 651 Boulder Drive, Breinigsville, PA 18031 in approximately 350,000 square feet of space (the “</w:t>
      </w:r>
      <w:r>
        <w:rPr>
          <w:rFonts w:ascii="Times New Roman;sans-serif" w:hAnsi="Times New Roman;sans-serif"/>
          <w:b/>
          <w:color w:val="151515"/>
          <w:sz w:val="24"/>
        </w:rPr>
        <w:t>PA Facility</w:t>
      </w:r>
      <w:r>
        <w:rPr>
          <w:color w:val="151515"/>
        </w:rPr>
        <w:t>”</w:t>
      </w:r>
      <w:r>
        <w:rPr>
          <w:rFonts w:ascii="Times New Roman;sans-serif" w:hAnsi="Times New Roman;sans-serif"/>
          <w:b w:val="false"/>
          <w:color w:val="151515"/>
          <w:sz w:val="24"/>
        </w:rPr>
        <w:t>);</w:t>
      </w:r>
    </w:p>
    <w:p>
      <w:pPr>
        <w:pStyle w:val="TextBody"/>
        <w:bidi w:val="0"/>
        <w:spacing w:before="0" w:after="0"/>
        <w:jc w:val="left"/>
        <w:rPr/>
      </w:pPr>
      <w:r>
        <w:rPr/>
      </w:r>
    </w:p>
    <w:p>
      <w:pPr>
        <w:pStyle w:val="TextBody"/>
        <w:bidi w:val="0"/>
        <w:spacing w:lineRule="auto" w:line="240" w:before="1" w:after="283"/>
        <w:ind w:left="0" w:right="0" w:hanging="360"/>
        <w:jc w:val="both"/>
        <w:rPr/>
      </w:pPr>
      <w:r>
        <w:rPr>
          <w:rFonts w:ascii="Times New Roman;sans-serif" w:hAnsi="Times New Roman;sans-serif"/>
          <w:b/>
          <w:color w:val="151515"/>
          <w:sz w:val="24"/>
        </w:rPr>
        <w:t>C.</w:t>
      </w:r>
      <w:r>
        <w:rPr>
          <w:rFonts w:ascii="Times New Roman;sans-serif" w:hAnsi="Times New Roman;sans-serif"/>
          <w:b w:val="false"/>
          <w:color w:val="151515"/>
          <w:sz w:val="24"/>
        </w:rPr>
        <w:t>The Parties are currently using good faith efforts to negotiate and enter into a mutually acceptable Master Logistic Services Agreement (the “</w:t>
      </w:r>
      <w:r>
        <w:rPr>
          <w:rFonts w:ascii="Times New Roman;sans-serif" w:hAnsi="Times New Roman;sans-serif"/>
          <w:b/>
          <w:color w:val="151515"/>
          <w:sz w:val="24"/>
        </w:rPr>
        <w:t>MSA</w:t>
      </w:r>
      <w:r>
        <w:rPr>
          <w:color w:val="151515"/>
        </w:rPr>
        <w:t>”</w:t>
      </w:r>
      <w:r>
        <w:rPr>
          <w:rFonts w:ascii="Times New Roman;sans-serif" w:hAnsi="Times New Roman;sans-serif"/>
          <w:b w:val="false"/>
          <w:color w:val="151515"/>
          <w:sz w:val="24"/>
        </w:rPr>
        <w:t xml:space="preserve">) which shall, at minimum, extend the term of the PA Facility services for a term up through and including December 31, 2027 (the </w:t>
      </w:r>
      <w:r>
        <w:rPr>
          <w:color w:val="151515"/>
        </w:rPr>
        <w:t>“</w:t>
      </w:r>
      <w:r>
        <w:rPr>
          <w:rFonts w:ascii="Times New Roman;sans-serif" w:hAnsi="Times New Roman;sans-serif"/>
          <w:b/>
          <w:color w:val="151515"/>
          <w:sz w:val="24"/>
        </w:rPr>
        <w:t>Extended PA Term”</w:t>
      </w:r>
      <w:r>
        <w:rPr>
          <w:rFonts w:ascii="Times New Roman;sans-serif" w:hAnsi="Times New Roman;sans-serif"/>
          <w:b w:val="false"/>
          <w:color w:val="151515"/>
          <w:sz w:val="24"/>
        </w:rPr>
        <w:t>);</w:t>
      </w:r>
    </w:p>
    <w:p>
      <w:pPr>
        <w:pStyle w:val="TextBody"/>
        <w:bidi w:val="0"/>
        <w:spacing w:before="11" w:after="283"/>
        <w:jc w:val="left"/>
        <w:rPr/>
      </w:pPr>
      <w:r>
        <w:rPr/>
      </w:r>
    </w:p>
    <w:p>
      <w:pPr>
        <w:pStyle w:val="TextBody"/>
        <w:bidi w:val="0"/>
        <w:spacing w:lineRule="auto" w:line="240" w:before="0" w:after="0"/>
        <w:ind w:left="0" w:right="0" w:hanging="360"/>
        <w:jc w:val="both"/>
        <w:rPr/>
      </w:pPr>
      <w:r>
        <w:rPr>
          <w:rFonts w:ascii="Times New Roman;sans-serif" w:hAnsi="Times New Roman;sans-serif"/>
          <w:b/>
          <w:color w:val="151515"/>
          <w:sz w:val="24"/>
        </w:rPr>
        <w:t>D.</w:t>
      </w:r>
      <w:r>
        <w:rPr>
          <w:rFonts w:ascii="Times New Roman;sans-serif" w:hAnsi="Times New Roman;sans-serif"/>
          <w:b w:val="false"/>
          <w:color w:val="151515"/>
          <w:sz w:val="24"/>
        </w:rPr>
        <w:t>The Parties will endeavor to complete the MSA on or before November 1, 2023 (the “</w:t>
      </w:r>
      <w:r>
        <w:rPr>
          <w:rFonts w:ascii="Times New Roman;sans-serif" w:hAnsi="Times New Roman;sans-serif"/>
          <w:b/>
          <w:color w:val="151515"/>
          <w:sz w:val="24"/>
        </w:rPr>
        <w:t>Negotiation Period</w:t>
      </w:r>
      <w:r>
        <w:rPr>
          <w:color w:val="151515"/>
        </w:rPr>
        <w:t>”</w:t>
      </w:r>
      <w:r>
        <w:rPr>
          <w:rFonts w:ascii="Times New Roman;sans-serif" w:hAnsi="Times New Roman;sans-serif"/>
          <w:b w:val="false"/>
          <w:color w:val="151515"/>
          <w:sz w:val="24"/>
        </w:rPr>
        <w:t>), which may be extended upon mutual agreement by the Parties (email being acceptable); and,</w:t>
      </w:r>
    </w:p>
    <w:p>
      <w:pPr>
        <w:pStyle w:val="TextBody"/>
        <w:bidi w:val="0"/>
        <w:spacing w:before="0" w:after="0"/>
        <w:jc w:val="left"/>
        <w:rPr/>
      </w:pPr>
      <w:r>
        <w:rPr/>
      </w:r>
    </w:p>
    <w:p>
      <w:pPr>
        <w:pStyle w:val="TextBody"/>
        <w:bidi w:val="0"/>
        <w:spacing w:lineRule="auto" w:line="240" w:before="1" w:after="283"/>
        <w:ind w:left="0" w:right="0" w:hanging="359"/>
        <w:jc w:val="left"/>
        <w:rPr/>
      </w:pPr>
      <w:r>
        <w:rPr>
          <w:rFonts w:ascii="Times New Roman;sans-serif" w:hAnsi="Times New Roman;sans-serif"/>
          <w:b/>
          <w:color w:val="151515"/>
          <w:sz w:val="24"/>
        </w:rPr>
        <w:t>E.</w:t>
      </w:r>
      <w:r>
        <w:rPr>
          <w:rFonts w:ascii="Times New Roman;sans-serif" w:hAnsi="Times New Roman;sans-serif"/>
          <w:b w:val="false"/>
          <w:color w:val="151515"/>
          <w:sz w:val="24"/>
        </w:rPr>
        <w:t>The Parties desire to amend Agreement as set forth herein.</w:t>
      </w:r>
    </w:p>
    <w:p>
      <w:pPr>
        <w:pStyle w:val="TextBody"/>
        <w:bidi w:val="0"/>
        <w:spacing w:before="0" w:after="0"/>
        <w:jc w:val="left"/>
        <w:rPr/>
      </w:pPr>
      <w:r>
        <w:rPr/>
      </w:r>
    </w:p>
    <w:p>
      <w:pPr>
        <w:pStyle w:val="TextBody"/>
        <w:bidi w:val="0"/>
        <w:spacing w:lineRule="auto" w:line="240" w:before="0" w:after="0"/>
        <w:ind w:left="0" w:right="0" w:firstLine="719"/>
        <w:jc w:val="left"/>
        <w:rPr/>
      </w:pPr>
      <w:r>
        <w:rPr>
          <w:rFonts w:ascii="Times New Roman;sans-serif" w:hAnsi="Times New Roman;sans-serif"/>
          <w:b/>
          <w:color w:val="151515"/>
          <w:sz w:val="24"/>
        </w:rPr>
        <w:t>NOW THEREFORE</w:t>
      </w:r>
      <w:r>
        <w:rPr>
          <w:rFonts w:ascii="Times New Roman;sans-serif" w:hAnsi="Times New Roman;sans-serif"/>
          <w:b w:val="false"/>
          <w:color w:val="151515"/>
          <w:sz w:val="24"/>
        </w:rPr>
        <w:t>, for good and valuable consideration, the receipt and sufficiency of which are hereby acknowledged, the Parties agree to amend the Agreement as follows: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151515"/>
          <w:sz w:val="24"/>
        </w:rPr>
      </w:pPr>
      <w:r>
        <w:rPr>
          <w:rFonts w:ascii="Times New Roman;sans-serif" w:hAnsi="Times New Roman;sans-serif"/>
          <w:b w:val="false"/>
          <w:color w:val="151515"/>
          <w:sz w:val="24"/>
        </w:rPr>
        <w:t>1.The Las Vegas Term and the PA Term shall both be extended until October 31, 2023.</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151515"/>
          <w:sz w:val="24"/>
        </w:rPr>
        <w:t>2.Should the Parties fail to enter into the MSA by the end of the Negotiation Period (or any mutual extension thereof, not to be unreasonably withheld), then in addition to CLIENT’s current PA Facility Warehouse Costs (as defined in Paragraph 1 of Amendment 25) (the “</w:t>
      </w:r>
      <w:r>
        <w:rPr>
          <w:rFonts w:ascii="Times New Roman;sans-serif" w:hAnsi="Times New Roman;sans-serif"/>
          <w:b/>
          <w:color w:val="151515"/>
          <w:sz w:val="24"/>
        </w:rPr>
        <w:t>PA Warehouse Costs</w:t>
      </w:r>
      <w:r>
        <w:rPr>
          <w:color w:val="151515"/>
        </w:rPr>
        <w:t>”</w:t>
      </w:r>
      <w:r>
        <w:rPr>
          <w:rFonts w:ascii="Times New Roman;sans-serif" w:hAnsi="Times New Roman;sans-serif"/>
          <w:b w:val="false"/>
          <w:color w:val="151515"/>
          <w:sz w:val="24"/>
        </w:rPr>
        <w:t>), GEODIS shall retroactively and going forward charge, and CLIENT shall pay, a Management Margin of 6% and G&amp;A Margin of 5% on the PA Warehouse Costs for the timeframe beginning September 1, 2023, thru the end of the PA Term.</w:t>
      </w:r>
    </w:p>
    <w:p>
      <w:pPr>
        <w:pStyle w:val="TextBody"/>
        <w:bidi w:val="0"/>
        <w:spacing w:before="0" w:after="0"/>
        <w:jc w:val="left"/>
        <w:rPr/>
      </w:pPr>
      <w:r>
        <w:rPr/>
      </w:r>
    </w:p>
    <w:p>
      <w:pPr>
        <w:pStyle w:val="TextBody"/>
        <w:bidi w:val="0"/>
        <w:spacing w:lineRule="auto" w:line="240" w:before="1" w:after="283"/>
        <w:ind w:left="0" w:right="0" w:hanging="360"/>
        <w:jc w:val="both"/>
        <w:rPr>
          <w:rFonts w:ascii="Times New Roman;sans-serif" w:hAnsi="Times New Roman;sans-serif"/>
          <w:b w:val="false"/>
          <w:color w:val="151515"/>
          <w:sz w:val="24"/>
        </w:rPr>
      </w:pPr>
      <w:r>
        <w:rPr>
          <w:rFonts w:ascii="Times New Roman;sans-serif" w:hAnsi="Times New Roman;sans-serif"/>
          <w:b w:val="false"/>
          <w:color w:val="151515"/>
          <w:sz w:val="24"/>
        </w:rPr>
        <w:t>3.Any capitalized terms not defined herein shall have the meanings set forth in the Agreement, as amended. Except as provided herein, the Agreement shall remain unchanged and in full force and effect in accordance with its terms. It is specifically understood and agreed that the foregoing shall not be deemed to be a waiver or amendment of any other provision of the Agreement or either Party’s rights or remedies under the Agreement.</w:t>
      </w:r>
    </w:p>
    <w:p>
      <w:pPr>
        <w:pStyle w:val="TextBody"/>
        <w:bidi w:val="0"/>
        <w:spacing w:before="2" w:after="283"/>
        <w:jc w:val="left"/>
        <w:rPr/>
      </w:pPr>
      <w:r>
        <w:rPr/>
      </w:r>
    </w:p>
    <w:p>
      <w:pPr>
        <w:pStyle w:val="TextBody"/>
        <w:bidi w:val="0"/>
        <w:spacing w:lineRule="auto" w:line="240" w:before="90" w:after="283"/>
        <w:jc w:val="center"/>
        <w:rPr>
          <w:rFonts w:ascii="Times New Roman;sans-serif" w:hAnsi="Times New Roman;sans-serif"/>
          <w:b w:val="false"/>
          <w:color w:val="151515"/>
          <w:sz w:val="24"/>
        </w:rPr>
      </w:pPr>
      <w:r>
        <w:rPr>
          <w:rFonts w:ascii="Times New Roman;sans-serif" w:hAnsi="Times New Roman;sans-serif"/>
          <w:b w:val="false"/>
          <w:color w:val="151515"/>
          <w:sz w:val="24"/>
        </w:rPr>
        <w:t>[Signature Page to Follow]</w:t>
      </w:r>
    </w:p>
    <w:p>
      <w:pPr>
        <w:pStyle w:val="TextBody"/>
        <w:bidi w:val="0"/>
        <w:spacing w:lineRule="auto" w:line="240" w:before="168" w:after="283"/>
        <w:jc w:val="right"/>
        <w:rPr/>
      </w:pPr>
      <w:r>
        <w:rPr>
          <w:rFonts w:ascii="Times New Roman;sans-serif" w:hAnsi="Times New Roman;sans-serif"/>
          <w:b w:val="false"/>
          <w:color w:val="151515"/>
          <w:sz w:val="24"/>
        </w:rPr>
        <w:t xml:space="preserve">Page </w:t>
      </w:r>
      <w:r>
        <w:rPr>
          <w:rFonts w:ascii="Times New Roman;sans-serif" w:hAnsi="Times New Roman;sans-serif"/>
          <w:b/>
          <w:color w:val="151515"/>
          <w:sz w:val="24"/>
        </w:rPr>
        <w:t xml:space="preserve">1 </w:t>
      </w:r>
      <w:r>
        <w:rPr>
          <w:rFonts w:ascii="Times New Roman;sans-serif" w:hAnsi="Times New Roman;sans-serif"/>
          <w:b w:val="false"/>
          <w:color w:val="151515"/>
          <w:sz w:val="24"/>
        </w:rPr>
        <w:t xml:space="preserve">of </w:t>
      </w:r>
      <w:r>
        <w:rPr>
          <w:rFonts w:ascii="Times New Roman;sans-serif" w:hAnsi="Times New Roman;sans-serif"/>
          <w:b/>
          <w:color w:val="151515"/>
          <w:sz w:val="24"/>
        </w:rPr>
        <w:t>2</w:t>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7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40" w:before="90" w:after="283"/>
        <w:ind w:left="0" w:right="0" w:firstLine="719"/>
        <w:jc w:val="left"/>
        <w:rPr/>
      </w:pPr>
      <w:r>
        <w:rPr>
          <w:rFonts w:ascii="Times New Roman;sans-serif" w:hAnsi="Times New Roman;sans-serif"/>
          <w:b/>
          <w:color w:val="151515"/>
          <w:sz w:val="24"/>
        </w:rPr>
        <w:t>IN WITNESS WHEREOF</w:t>
      </w:r>
      <w:r>
        <w:rPr>
          <w:rFonts w:ascii="Times New Roman;sans-serif" w:hAnsi="Times New Roman;sans-serif"/>
          <w:b w:val="false"/>
          <w:color w:val="151515"/>
          <w:sz w:val="24"/>
        </w:rPr>
        <w:t>, the Parties have caused this Amendment to be executed by their duly authorized representatives as of the Amendment Date set forth above.</w:t>
      </w:r>
    </w:p>
    <w:p>
      <w:pPr>
        <w:pStyle w:val="TextBody"/>
        <w:bidi w:val="0"/>
        <w:spacing w:before="5" w:after="283"/>
        <w:jc w:val="left"/>
        <w:rPr/>
      </w:pPr>
      <w:r>
        <w:rPr/>
      </w:r>
    </w:p>
    <w:p>
      <w:pPr>
        <w:pStyle w:val="TextBody"/>
        <w:bidi w:val="0"/>
        <w:spacing w:before="0" w:after="0"/>
        <w:jc w:val="center"/>
        <w:rPr/>
      </w:pPr>
      <w:r>
        <w:rPr/>
      </w:r>
    </w:p>
    <w:tbl>
      <w:tblPr>
        <w:tblW w:w="6686" w:type="dxa"/>
        <w:jc w:val="center"/>
        <w:tblInd w:w="0" w:type="dxa"/>
        <w:tblLayout w:type="fixed"/>
        <w:tblCellMar>
          <w:top w:w="28" w:type="dxa"/>
          <w:left w:w="28" w:type="dxa"/>
          <w:bottom w:w="28" w:type="dxa"/>
          <w:right w:w="28" w:type="dxa"/>
        </w:tblCellMar>
      </w:tblPr>
      <w:tblGrid>
        <w:gridCol w:w="1249"/>
        <w:gridCol w:w="1099"/>
        <w:gridCol w:w="1102"/>
        <w:gridCol w:w="109"/>
        <w:gridCol w:w="109"/>
        <w:gridCol w:w="109"/>
        <w:gridCol w:w="850"/>
        <w:gridCol w:w="850"/>
        <w:gridCol w:w="1209"/>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215" w:after="283"/>
              <w:ind w:left="0" w:right="0" w:hanging="4"/>
              <w:jc w:val="left"/>
              <w:rPr>
                <w:rFonts w:ascii="Times New Roman;sans-serif" w:hAnsi="Times New Roman;sans-serif"/>
                <w:b/>
                <w:color w:val="000000"/>
                <w:sz w:val="22"/>
              </w:rPr>
            </w:pPr>
            <w:r>
              <w:rPr>
                <w:rFonts w:ascii="Times New Roman;sans-serif" w:hAnsi="Times New Roman;sans-serif"/>
                <w:b/>
                <w:color w:val="000000"/>
                <w:sz w:val="22"/>
              </w:rPr>
              <w:t>THE HONEST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215" w:after="283"/>
              <w:ind w:left="0" w:right="0" w:hanging="4"/>
              <w:jc w:val="left"/>
              <w:rPr>
                <w:rFonts w:ascii="Times New Roman;sans-serif" w:hAnsi="Times New Roman;sans-serif"/>
                <w:b/>
                <w:color w:val="000000"/>
                <w:sz w:val="22"/>
              </w:rPr>
            </w:pPr>
            <w:r>
              <w:rPr>
                <w:rFonts w:ascii="Times New Roman;sans-serif" w:hAnsi="Times New Roman;sans-serif"/>
                <w:b/>
                <w:color w:val="000000"/>
                <w:sz w:val="22"/>
              </w:rPr>
              <w:t>GEODIS LOGISTICS LLC</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Kelly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Anthony Jordan</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Kelly Kennedy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Anthony Jordan</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Operating Officer</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8/31/2023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8/31/2023</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18" w:after="283"/>
        <w:jc w:val="right"/>
        <w:rPr/>
      </w:pPr>
      <w:r>
        <w:rPr>
          <w:rFonts w:ascii="Times New Roman;sans-serif" w:hAnsi="Times New Roman;sans-serif"/>
          <w:b w:val="false"/>
          <w:color w:val="151515"/>
          <w:sz w:val="24"/>
        </w:rPr>
        <w:t xml:space="preserve">Page </w:t>
      </w:r>
      <w:r>
        <w:rPr>
          <w:rFonts w:ascii="Times New Roman;sans-serif" w:hAnsi="Times New Roman;sans-serif"/>
          <w:b/>
          <w:color w:val="151515"/>
          <w:sz w:val="24"/>
        </w:rPr>
        <w:t xml:space="preserve">2 </w:t>
      </w:r>
      <w:r>
        <w:rPr>
          <w:rFonts w:ascii="Times New Roman;sans-serif" w:hAnsi="Times New Roman;sans-serif"/>
          <w:b w:val="false"/>
          <w:color w:val="151515"/>
          <w:sz w:val="24"/>
        </w:rPr>
        <w:t xml:space="preserve">of </w:t>
      </w:r>
      <w:r>
        <w:rPr>
          <w:rFonts w:ascii="Times New Roman;sans-serif" w:hAnsi="Times New Roman;sans-serif"/>
          <w:b/>
          <w:color w:val="151515"/>
          <w:sz w:val="24"/>
        </w:rPr>
        <w:t>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4" w:after="283"/>
        <w:jc w:val="right"/>
        <w:rPr>
          <w:rFonts w:ascii="Times New Roman;sans-serif" w:hAnsi="Times New Roman;sans-serif"/>
          <w:b/>
          <w:color w:val="000000"/>
          <w:sz w:val="24"/>
        </w:rPr>
      </w:pPr>
      <w:r>
        <w:rPr>
          <w:rFonts w:ascii="Times New Roman;sans-serif" w:hAnsi="Times New Roman;sans-serif"/>
          <w:b/>
          <w:color w:val="000000"/>
          <w:sz w:val="24"/>
        </w:rPr>
        <w:t>Exhibit 10.4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0" w:after="283"/>
        <w:jc w:val="center"/>
        <w:rPr>
          <w:rFonts w:ascii="Times New Roman;sans-serif" w:hAnsi="Times New Roman;sans-serif"/>
          <w:b/>
          <w:color w:val="141414"/>
          <w:sz w:val="24"/>
        </w:rPr>
      </w:pPr>
      <w:r>
        <w:rPr>
          <w:rFonts w:ascii="Times New Roman;sans-serif" w:hAnsi="Times New Roman;sans-serif"/>
          <w:b/>
          <w:color w:val="141414"/>
          <w:sz w:val="24"/>
        </w:rPr>
        <w:t>AMENDMENT TWENTY–SEVEN</w:t>
      </w:r>
    </w:p>
    <w:p>
      <w:pPr>
        <w:pStyle w:val="TextBody"/>
        <w:bidi w:val="0"/>
        <w:spacing w:lineRule="auto" w:line="240" w:before="1" w:after="283"/>
        <w:jc w:val="center"/>
        <w:rPr>
          <w:rFonts w:ascii="Times New Roman;sans-serif" w:hAnsi="Times New Roman;sans-serif"/>
          <w:b/>
          <w:color w:val="141414"/>
          <w:sz w:val="24"/>
        </w:rPr>
      </w:pPr>
      <w:r>
        <w:rPr>
          <w:rFonts w:ascii="Times New Roman;sans-serif" w:hAnsi="Times New Roman;sans-serif"/>
          <w:b/>
          <w:color w:val="141414"/>
          <w:sz w:val="24"/>
        </w:rPr>
        <w:t>TO THE LOGISTICS SERVICES AGREEMENT</w:t>
      </w:r>
    </w:p>
    <w:p>
      <w:pPr>
        <w:pStyle w:val="TextBody"/>
        <w:bidi w:val="0"/>
        <w:spacing w:before="6" w:after="283"/>
        <w:jc w:val="left"/>
        <w:rPr/>
      </w:pPr>
      <w:r>
        <w:rPr/>
      </w:r>
    </w:p>
    <w:p>
      <w:pPr>
        <w:pStyle w:val="TextBody"/>
        <w:bidi w:val="0"/>
        <w:spacing w:lineRule="auto" w:line="240" w:before="0" w:after="0"/>
        <w:jc w:val="left"/>
        <w:rPr/>
      </w:pPr>
      <w:r>
        <w:rPr>
          <w:rFonts w:ascii="Times New Roman;sans-serif" w:hAnsi="Times New Roman;sans-serif"/>
          <w:b w:val="false"/>
          <w:color w:val="141414"/>
          <w:sz w:val="24"/>
        </w:rPr>
        <w:t>This    </w:t>
      </w:r>
      <w:r>
        <w:rPr>
          <w:rFonts w:ascii="Times New Roman;sans-serif" w:hAnsi="Times New Roman;sans-serif"/>
          <w:b/>
          <w:color w:val="141414"/>
          <w:sz w:val="24"/>
        </w:rPr>
        <w:t xml:space="preserve">AMENDMENT    TWENTY–SEVEN    TO    THE    LOGISTICS    SERVICES AGREEMENT </w:t>
      </w:r>
      <w:r>
        <w:rPr>
          <w:rFonts w:ascii="Times New Roman;sans-serif" w:hAnsi="Times New Roman;sans-serif"/>
          <w:b w:val="false"/>
          <w:color w:val="141414"/>
          <w:sz w:val="24"/>
        </w:rPr>
        <w:t>(the “</w:t>
      </w:r>
      <w:r>
        <w:rPr>
          <w:rFonts w:ascii="Times New Roman;sans-serif" w:hAnsi="Times New Roman;sans-serif"/>
          <w:b/>
          <w:color w:val="141414"/>
          <w:sz w:val="24"/>
        </w:rPr>
        <w:t>Amendment</w:t>
      </w:r>
      <w:r>
        <w:rPr>
          <w:color w:val="141414"/>
        </w:rPr>
        <w:t>”</w:t>
      </w:r>
      <w:r>
        <w:rPr>
          <w:rFonts w:ascii="Times New Roman;sans-serif" w:hAnsi="Times New Roman;sans-serif"/>
          <w:b w:val="false"/>
          <w:color w:val="141414"/>
          <w:sz w:val="24"/>
        </w:rPr>
        <w:t>) is entered into as of October 26, 2023 (the “</w:t>
      </w:r>
      <w:r>
        <w:rPr>
          <w:rFonts w:ascii="Times New Roman;sans-serif" w:hAnsi="Times New Roman;sans-serif"/>
          <w:b/>
          <w:color w:val="141414"/>
          <w:sz w:val="24"/>
        </w:rPr>
        <w:t>Amendment Date</w:t>
      </w:r>
      <w:r>
        <w:rPr>
          <w:color w:val="141414"/>
        </w:rPr>
        <w:t>”</w:t>
      </w:r>
      <w:r>
        <w:rPr>
          <w:rFonts w:ascii="Times New Roman;sans-serif" w:hAnsi="Times New Roman;sans-serif"/>
          <w:b w:val="false"/>
          <w:color w:val="141414"/>
          <w:sz w:val="24"/>
        </w:rPr>
        <w:t>), by and between The Honest Company, Inc. (“</w:t>
      </w:r>
      <w:r>
        <w:rPr>
          <w:rFonts w:ascii="Times New Roman;sans-serif" w:hAnsi="Times New Roman;sans-serif"/>
          <w:b/>
          <w:color w:val="141414"/>
          <w:sz w:val="24"/>
        </w:rPr>
        <w:t>CLIENT</w:t>
      </w:r>
      <w:r>
        <w:rPr>
          <w:color w:val="141414"/>
        </w:rPr>
        <w:t>”</w:t>
      </w:r>
      <w:r>
        <w:rPr>
          <w:rFonts w:ascii="Times New Roman;sans-serif" w:hAnsi="Times New Roman;sans-serif"/>
          <w:b w:val="false"/>
          <w:color w:val="141414"/>
          <w:sz w:val="24"/>
        </w:rPr>
        <w:t>) and GEODIS Logistics LLC (“</w:t>
      </w:r>
      <w:r>
        <w:rPr>
          <w:rFonts w:ascii="Times New Roman;sans-serif" w:hAnsi="Times New Roman;sans-serif"/>
          <w:b/>
          <w:color w:val="141414"/>
          <w:sz w:val="24"/>
        </w:rPr>
        <w:t>GEODIS</w:t>
      </w:r>
      <w:r>
        <w:rPr>
          <w:rFonts w:ascii="Times New Roman;sans-serif" w:hAnsi="Times New Roman;sans-serif"/>
          <w:b w:val="false"/>
          <w:color w:val="141414"/>
          <w:sz w:val="24"/>
        </w:rPr>
        <w:t>,” collectively referred to as the “</w:t>
      </w:r>
      <w:r>
        <w:rPr>
          <w:rFonts w:ascii="Times New Roman;sans-serif" w:hAnsi="Times New Roman;sans-serif"/>
          <w:b/>
          <w:color w:val="141414"/>
          <w:sz w:val="24"/>
        </w:rPr>
        <w:t>Parties</w:t>
      </w:r>
      <w:r>
        <w:rPr>
          <w:rFonts w:ascii="Times New Roman;sans-serif" w:hAnsi="Times New Roman;sans-serif"/>
          <w:b w:val="false"/>
          <w:color w:val="141414"/>
          <w:sz w:val="24"/>
        </w:rPr>
        <w:t>,” and each a “</w:t>
      </w:r>
      <w:r>
        <w:rPr>
          <w:rFonts w:ascii="Times New Roman;sans-serif" w:hAnsi="Times New Roman;sans-serif"/>
          <w:b/>
          <w:color w:val="141414"/>
          <w:sz w:val="24"/>
        </w:rPr>
        <w:t>Party</w:t>
      </w:r>
      <w:r>
        <w:rPr>
          <w:color w:val="141414"/>
        </w:rPr>
        <w:t>”</w:t>
      </w:r>
      <w:r>
        <w:rPr>
          <w:rFonts w:ascii="Times New Roman;sans-serif" w:hAnsi="Times New Roman;sans-serif"/>
          <w:b w:val="false"/>
          <w:color w:val="141414"/>
          <w:sz w:val="24"/>
        </w:rPr>
        <w:t>).</w:t>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color w:val="141414"/>
          <w:sz w:val="24"/>
        </w:rPr>
      </w:pPr>
      <w:r>
        <w:rPr>
          <w:rFonts w:ascii="Times New Roman;sans-serif" w:hAnsi="Times New Roman;sans-serif"/>
          <w:b/>
          <w:color w:val="141414"/>
          <w:sz w:val="24"/>
        </w:rPr>
        <w:t>RECITALS:</w:t>
      </w:r>
    </w:p>
    <w:p>
      <w:pPr>
        <w:pStyle w:val="TextBody"/>
        <w:bidi w:val="0"/>
        <w:spacing w:before="7"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141414"/>
          <w:sz w:val="24"/>
        </w:rPr>
        <w:t>A.</w:t>
      </w:r>
      <w:r>
        <w:rPr>
          <w:rFonts w:ascii="Times New Roman;sans-serif" w:hAnsi="Times New Roman;sans-serif"/>
          <w:b w:val="false"/>
          <w:color w:val="141414"/>
          <w:sz w:val="24"/>
        </w:rPr>
        <w:t>The Parties entered into that certain Logistics Services Agreement dated January 27, 2014, as amended from time-to-time (the “</w:t>
      </w:r>
      <w:r>
        <w:rPr>
          <w:rFonts w:ascii="Times New Roman;sans-serif" w:hAnsi="Times New Roman;sans-serif"/>
          <w:b/>
          <w:color w:val="141414"/>
          <w:sz w:val="24"/>
        </w:rPr>
        <w:t>Agreement</w:t>
      </w:r>
      <w:r>
        <w:rPr>
          <w:color w:val="141414"/>
        </w:rPr>
        <w:t>”</w:t>
      </w:r>
      <w:r>
        <w:rPr>
          <w:rFonts w:ascii="Times New Roman;sans-serif" w:hAnsi="Times New Roman;sans-serif"/>
          <w:b w:val="false"/>
          <w:color w:val="141414"/>
          <w:sz w:val="24"/>
        </w:rPr>
        <w:t>); and</w:t>
      </w:r>
    </w:p>
    <w:p>
      <w:pPr>
        <w:pStyle w:val="TextBody"/>
        <w:bidi w:val="0"/>
        <w:spacing w:before="1" w:after="283"/>
        <w:jc w:val="left"/>
        <w:rPr/>
      </w:pPr>
      <w:r>
        <w:rPr/>
      </w:r>
    </w:p>
    <w:p>
      <w:pPr>
        <w:pStyle w:val="TextBody"/>
        <w:bidi w:val="0"/>
        <w:spacing w:lineRule="auto" w:line="240" w:before="0" w:after="0"/>
        <w:ind w:left="0" w:right="0" w:hanging="359"/>
        <w:jc w:val="left"/>
        <w:rPr/>
      </w:pPr>
      <w:r>
        <w:rPr>
          <w:rFonts w:ascii="Times New Roman;sans-serif" w:hAnsi="Times New Roman;sans-serif"/>
          <w:b/>
          <w:color w:val="141414"/>
          <w:sz w:val="24"/>
        </w:rPr>
        <w:t>B.</w:t>
      </w:r>
      <w:r>
        <w:rPr>
          <w:rFonts w:ascii="Times New Roman;sans-serif" w:hAnsi="Times New Roman;sans-serif"/>
          <w:b w:val="false"/>
          <w:color w:val="141414"/>
          <w:sz w:val="24"/>
        </w:rPr>
        <w:t>The Parties desire to amend Agreement as set forth herein.</w:t>
      </w:r>
    </w:p>
    <w:p>
      <w:pPr>
        <w:pStyle w:val="TextBody"/>
        <w:bidi w:val="0"/>
        <w:spacing w:before="0" w:after="0"/>
        <w:jc w:val="left"/>
        <w:rPr/>
      </w:pPr>
      <w:r>
        <w:rPr/>
      </w:r>
    </w:p>
    <w:p>
      <w:pPr>
        <w:pStyle w:val="TextBody"/>
        <w:bidi w:val="0"/>
        <w:spacing w:lineRule="auto" w:line="240" w:before="0" w:after="0"/>
        <w:ind w:left="0" w:right="0" w:firstLine="719"/>
        <w:jc w:val="left"/>
        <w:rPr/>
      </w:pPr>
      <w:r>
        <w:rPr>
          <w:rFonts w:ascii="Times New Roman;sans-serif" w:hAnsi="Times New Roman;sans-serif"/>
          <w:b/>
          <w:color w:val="141414"/>
          <w:sz w:val="24"/>
        </w:rPr>
        <w:t>NOW THEREFORE</w:t>
      </w:r>
      <w:r>
        <w:rPr>
          <w:rFonts w:ascii="Times New Roman;sans-serif" w:hAnsi="Times New Roman;sans-serif"/>
          <w:b w:val="false"/>
          <w:color w:val="141414"/>
          <w:sz w:val="24"/>
        </w:rPr>
        <w:t>, for good and valuable consideration, the receipt and sufficiency of which are hereby acknowledged, the Parties agree to amend the Agreement as follows:</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141414"/>
          <w:sz w:val="24"/>
        </w:rPr>
      </w:pPr>
      <w:r>
        <w:rPr>
          <w:rFonts w:ascii="Times New Roman;sans-serif" w:hAnsi="Times New Roman;sans-serif"/>
          <w:b w:val="false"/>
          <w:color w:val="141414"/>
          <w:sz w:val="24"/>
        </w:rPr>
        <w:t>1.The Las Vegas Term shall be extended until November 13, 2023, and the PA Term shall be extended until November 30, 2023.</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141414"/>
          <w:sz w:val="24"/>
        </w:rPr>
      </w:pPr>
      <w:r>
        <w:rPr>
          <w:rFonts w:ascii="Times New Roman;sans-serif" w:hAnsi="Times New Roman;sans-serif"/>
          <w:b w:val="false"/>
          <w:color w:val="141414"/>
          <w:sz w:val="24"/>
        </w:rPr>
        <w:t>2.The Negotiation Period as set forth in the Amendment 26 to the Logistics Services Agreement, dated August 31, 2023, shall be extended until November 30, 2023.</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141414"/>
          <w:sz w:val="24"/>
        </w:rPr>
      </w:pPr>
      <w:r>
        <w:rPr>
          <w:rFonts w:ascii="Times New Roman;sans-serif" w:hAnsi="Times New Roman;sans-serif"/>
          <w:b w:val="false"/>
          <w:color w:val="141414"/>
          <w:sz w:val="24"/>
        </w:rPr>
        <w:t>3.Any capitalized terms not defined herein shall have the meanings set forth in the Agreement, as amended. Except as provided herein, the Agreement shall remain unchanged and in full force and effect in accordance with its terms. It is specifically understood and agreed that the foregoing shall not be deemed to be a waiver or amendment of any other provision of the Agreement or either Party’s rights or remedies under the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 w:after="283"/>
        <w:ind w:left="0" w:right="0" w:firstLine="719"/>
        <w:jc w:val="left"/>
        <w:rPr/>
      </w:pPr>
      <w:r>
        <w:rPr>
          <w:rFonts w:ascii="Times New Roman;sans-serif" w:hAnsi="Times New Roman;sans-serif"/>
          <w:b/>
          <w:color w:val="141414"/>
          <w:sz w:val="24"/>
        </w:rPr>
        <w:t>IN WITNESS WHEREOF</w:t>
      </w:r>
      <w:r>
        <w:rPr>
          <w:rFonts w:ascii="Times New Roman;sans-serif" w:hAnsi="Times New Roman;sans-serif"/>
          <w:b w:val="false"/>
          <w:color w:val="141414"/>
          <w:sz w:val="24"/>
        </w:rPr>
        <w:t>, the Parties have caused this Amendment to be executed by their duly authorized representatives as of the Amendment Date set forth above.</w:t>
      </w:r>
    </w:p>
    <w:p>
      <w:pPr>
        <w:pStyle w:val="TextBody"/>
        <w:bidi w:val="0"/>
        <w:spacing w:before="0" w:after="0"/>
        <w:jc w:val="left"/>
        <w:rPr/>
      </w:pPr>
      <w:r>
        <w:rPr/>
      </w:r>
    </w:p>
    <w:tbl>
      <w:tblPr>
        <w:tblW w:w="6760" w:type="dxa"/>
        <w:jc w:val="left"/>
        <w:tblInd w:w="0" w:type="dxa"/>
        <w:tblLayout w:type="fixed"/>
        <w:tblCellMar>
          <w:top w:w="28" w:type="dxa"/>
          <w:left w:w="28" w:type="dxa"/>
          <w:bottom w:w="28" w:type="dxa"/>
          <w:right w:w="28" w:type="dxa"/>
        </w:tblCellMar>
      </w:tblPr>
      <w:tblGrid>
        <w:gridCol w:w="1277"/>
        <w:gridCol w:w="1122"/>
        <w:gridCol w:w="1125"/>
        <w:gridCol w:w="109"/>
        <w:gridCol w:w="109"/>
        <w:gridCol w:w="109"/>
        <w:gridCol w:w="852"/>
        <w:gridCol w:w="852"/>
        <w:gridCol w:w="1205"/>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215" w:after="283"/>
              <w:jc w:val="left"/>
              <w:rPr>
                <w:rFonts w:ascii="Times New Roman;sans-serif" w:hAnsi="Times New Roman;sans-serif"/>
                <w:b/>
                <w:color w:val="000000"/>
                <w:sz w:val="22"/>
              </w:rPr>
            </w:pPr>
            <w:r>
              <w:rPr>
                <w:rFonts w:ascii="Times New Roman;sans-serif" w:hAnsi="Times New Roman;sans-serif"/>
                <w:b/>
                <w:color w:val="000000"/>
                <w:sz w:val="22"/>
              </w:rPr>
              <w:t>THE HONEST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215" w:after="283"/>
              <w:jc w:val="left"/>
              <w:rPr>
                <w:rFonts w:ascii="Times New Roman;sans-serif" w:hAnsi="Times New Roman;sans-serif"/>
                <w:b/>
                <w:color w:val="000000"/>
                <w:sz w:val="22"/>
              </w:rPr>
            </w:pPr>
            <w:r>
              <w:rPr>
                <w:rFonts w:ascii="Times New Roman;sans-serif" w:hAnsi="Times New Roman;sans-serif"/>
                <w:b/>
                <w:color w:val="000000"/>
                <w:sz w:val="22"/>
              </w:rPr>
              <w:t>GEODIS LOGISTICS LLC</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Dave Loretta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Anthony Jordan</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Dave Loretta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Anthony Jordan</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EVP &amp;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Operating Officer</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10/26/2023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10/26/2023</w:t>
            </w:r>
          </w:p>
        </w:tc>
      </w:tr>
    </w:tbl>
    <w:p>
      <w:pPr>
        <w:pStyle w:val="TextBody"/>
        <w:bidi w:val="0"/>
        <w:spacing w:before="0" w:after="0"/>
        <w:ind w:left="0" w:right="0" w:firstLine="12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jc w:val="right"/>
        <w:rPr/>
      </w:pPr>
      <w:r>
        <w:rPr>
          <w:rFonts w:ascii="Times New Roman;sans-serif" w:hAnsi="Times New Roman;sans-serif"/>
          <w:b w:val="false"/>
          <w:color w:val="141414"/>
          <w:sz w:val="24"/>
        </w:rPr>
        <w:t xml:space="preserve">Page </w:t>
      </w:r>
      <w:r>
        <w:rPr>
          <w:rFonts w:ascii="Times New Roman;sans-serif" w:hAnsi="Times New Roman;sans-serif"/>
          <w:b/>
          <w:color w:val="141414"/>
          <w:sz w:val="24"/>
        </w:rPr>
        <w:t xml:space="preserve">1 </w:t>
      </w:r>
      <w:r>
        <w:rPr>
          <w:rFonts w:ascii="Times New Roman;sans-serif" w:hAnsi="Times New Roman;sans-serif"/>
          <w:b w:val="false"/>
          <w:color w:val="141414"/>
          <w:sz w:val="24"/>
        </w:rPr>
        <w:t xml:space="preserve">of </w:t>
      </w:r>
      <w:r>
        <w:rPr>
          <w:rFonts w:ascii="Times New Roman;sans-serif" w:hAnsi="Times New Roman;sans-serif"/>
          <w:b/>
          <w:color w:val="141414"/>
          <w:sz w:val="24"/>
        </w:rPr>
        <w:t>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Carla Vernón, certify that: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p>
      <w:pPr>
        <w:pStyle w:val="TextBody"/>
        <w:bidi w:val="0"/>
        <w:spacing w:before="0" w:after="0"/>
        <w:jc w:val="left"/>
        <w:rPr/>
      </w:pPr>
      <w:r>
        <w:rPr/>
      </w:r>
    </w:p>
    <w:tbl>
      <w:tblPr>
        <w:tblW w:w="562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14"/>
        <w:gridCol w:w="914"/>
        <w:gridCol w:w="129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Carla Vernón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David Loretta, certify that: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tbl>
      <w:tblPr>
        <w:tblW w:w="8110" w:type="dxa"/>
        <w:jc w:val="left"/>
        <w:tblInd w:w="0" w:type="dxa"/>
        <w:tblLayout w:type="fixed"/>
        <w:tblCellMar>
          <w:top w:w="28" w:type="dxa"/>
          <w:left w:w="28" w:type="dxa"/>
          <w:bottom w:w="28" w:type="dxa"/>
          <w:right w:w="28" w:type="dxa"/>
        </w:tblCellMar>
      </w:tblPr>
      <w:tblGrid>
        <w:gridCol w:w="759"/>
        <w:gridCol w:w="668"/>
        <w:gridCol w:w="672"/>
        <w:gridCol w:w="267"/>
        <w:gridCol w:w="267"/>
        <w:gridCol w:w="272"/>
        <w:gridCol w:w="1519"/>
        <w:gridCol w:w="1519"/>
        <w:gridCol w:w="216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David Loretta </w:t>
            </w:r>
          </w:p>
        </w:tc>
      </w:tr>
      <w:tr>
        <w:trPr/>
        <w:tc>
          <w:tcPr>
            <w:tcW w:w="2099"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David Loretta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September 30, 2023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62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13"/>
        <w:gridCol w:w="913"/>
        <w:gridCol w:w="129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Carla Vernón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Carla Vernón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September 30, 2023 as filed with the Securities and Exchange Commission on the date hereof (the “Report”), I, David Loretta,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988"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1309"/>
        <w:gridCol w:w="1309"/>
        <w:gridCol w:w="186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Loretta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David Loretta</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3000038/honestcoq4-22exhibit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36143</Words>
  <Characters>200830</Characters>
  <CharactersWithSpaces>235709</CharactersWithSpaces>
  <Paragraphs>2789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