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before="0" w:after="0"/>
        <w:jc w:val="center"/>
        <w:rPr/>
      </w:pPr>
      <w:r>
        <w:rPr/>
      </w:r>
    </w:p>
    <w:p>
      <w:pPr>
        <w:pStyle w:val="TextBody"/>
        <w:bidi w:val="0"/>
        <w:spacing w:lineRule="auto" w:line="326"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19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QUARTERLY REPORT PURSUANT TO SECTION 13 OR 15(d) OF THE SECURITIES EXCHANGE ACT OF 1934 </w:t>
            </w:r>
          </w:p>
        </w:tc>
      </w:tr>
    </w:tbl>
    <w:p>
      <w:pPr>
        <w:pStyle w:val="TextBody"/>
        <w:bidi w:val="0"/>
        <w:spacing w:lineRule="auto" w:line="196"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For the transition period from</w:t>
      </w:r>
      <w:r>
        <w:rPr>
          <w:color w:val="000000"/>
        </w:rPr>
        <w:t>    </w:t>
      </w:r>
      <w:r>
        <w:rPr>
          <w:rFonts w:ascii="Times New Roman;sans-serif" w:hAnsi="Times New Roman;sans-serif"/>
          <w:b/>
          <w:color w:val="000000"/>
          <w:sz w:val="20"/>
        </w:rPr>
        <w:t>to</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Commission File Number: 001-40378</w:t>
      </w:r>
    </w:p>
    <w:p>
      <w:pPr>
        <w:pStyle w:val="TextBody"/>
        <w:bidi w:val="0"/>
        <w:spacing w:before="0" w:after="0"/>
        <w:jc w:val="center"/>
        <w:rPr/>
      </w:pPr>
      <w:r>
        <w:rPr/>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00025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0" cy="37147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The Honest Company, Inc.</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6502" w:type="dxa"/>
        <w:jc w:val="center"/>
        <w:tblInd w:w="0" w:type="dxa"/>
        <w:tblLayout w:type="fixed"/>
        <w:tblCellMar>
          <w:top w:w="28" w:type="dxa"/>
          <w:left w:w="28" w:type="dxa"/>
          <w:bottom w:w="28" w:type="dxa"/>
          <w:right w:w="28" w:type="dxa"/>
        </w:tblCellMar>
      </w:tblPr>
      <w:tblGrid>
        <w:gridCol w:w="1090"/>
        <w:gridCol w:w="956"/>
        <w:gridCol w:w="968"/>
        <w:gridCol w:w="109"/>
        <w:gridCol w:w="109"/>
        <w:gridCol w:w="109"/>
        <w:gridCol w:w="459"/>
        <w:gridCol w:w="459"/>
        <w:gridCol w:w="462"/>
        <w:gridCol w:w="109"/>
        <w:gridCol w:w="109"/>
        <w:gridCol w:w="109"/>
        <w:gridCol w:w="424"/>
        <w:gridCol w:w="424"/>
        <w:gridCol w:w="606"/>
      </w:tblGrid>
      <w:tr>
        <w:trPr/>
        <w:tc>
          <w:tcPr>
            <w:tcW w:w="109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90-0750205</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12130 Millennium Drive, #500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Los Angeles,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90094</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(888) 862-8818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tc>
      </w:tr>
      <w:tr>
        <w:trP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bl>
    <w:tbl>
      <w:tblPr>
        <w:tblW w:w="9128" w:type="dxa"/>
        <w:jc w:val="center"/>
        <w:tblInd w:w="0" w:type="dxa"/>
        <w:tblLayout w:type="fixed"/>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Trading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HNST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0"/>
        <w:jc w:val="left"/>
        <w:rPr/>
      </w:pPr>
      <w:r>
        <w:rPr/>
      </w:r>
    </w:p>
    <w:p>
      <w:pPr>
        <w:pStyle w:val="TextBody"/>
        <w:bidi w:val="0"/>
        <w:spacing w:lineRule="auto" w:line="211" w:before="0" w:after="0"/>
        <w:ind w:left="0" w:right="0" w:firstLine="599"/>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11"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 ☒    No ☐</w:t>
      </w:r>
    </w:p>
    <w:p>
      <w:pPr>
        <w:pStyle w:val="TextBody"/>
        <w:bidi w:val="0"/>
        <w:spacing w:before="0" w:after="0"/>
        <w:jc w:val="left"/>
        <w:rPr/>
      </w:pPr>
      <w:r>
        <w:rPr/>
      </w:r>
    </w:p>
    <w:p>
      <w:pPr>
        <w:pStyle w:val="TextBody"/>
        <w:bidi w:val="0"/>
        <w:spacing w:lineRule="auto" w:line="211" w:before="0" w:after="0"/>
        <w:ind w:left="0" w:right="0" w:firstLine="599"/>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lineRule="auto" w:line="211" w:before="0" w:after="0"/>
        <w:ind w:left="0" w:right="0" w:firstLine="599"/>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11" w:before="0" w:after="0"/>
        <w:ind w:left="0" w:right="0" w:firstLine="599"/>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lineRule="auto" w:line="300" w:before="0" w:after="0"/>
        <w:ind w:left="0" w:right="0" w:firstLine="599"/>
        <w:jc w:val="left"/>
        <w:rPr>
          <w:rFonts w:ascii="Times New Roman;sans-serif" w:hAnsi="Times New Roman;sans-serif"/>
          <w:b w:val="false"/>
          <w:color w:val="000000"/>
          <w:sz w:val="20"/>
        </w:rPr>
      </w:pPr>
      <w:r>
        <w:rPr>
          <w:rFonts w:ascii="Times New Roman;sans-serif" w:hAnsi="Times New Roman;sans-serif"/>
          <w:b w:val="false"/>
          <w:color w:val="000000"/>
          <w:sz w:val="20"/>
        </w:rPr>
        <w:t>As of May 6, 2024, the registrant had 98,637,688 shares of common stock, $0.0001 par value per share outstanding.</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Table of Contents </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11"/>
        <w:gridCol w:w="273"/>
        <w:gridCol w:w="275"/>
        <w:gridCol w:w="2909"/>
        <w:gridCol w:w="2909"/>
        <w:gridCol w:w="2914"/>
        <w:gridCol w:w="178"/>
        <w:gridCol w:w="178"/>
        <w:gridCol w:w="258"/>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Page </w:t>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03d6b747e7e46fda609730efad8f5da_13">
              <w:r>
                <w:rPr>
                  <w:rStyle w:val="InternetLink"/>
                  <w:rFonts w:ascii="Times New Roman;sans-serif" w:hAnsi="Times New Roman;sans-serif"/>
                  <w:b w:val="false"/>
                  <w:strike w:val="false"/>
                  <w:dstrike w:val="false"/>
                  <w:color w:val="000000"/>
                  <w:sz w:val="20"/>
                  <w:u w:val="none"/>
                  <w:effect w:val="none"/>
                </w:rPr>
                <w:t>FINANCIAL INFORMATION</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03d6b747e7e46fda609730efad8f5da_13">
              <w:r>
                <w:rPr>
                  <w:rStyle w:val="InternetLink"/>
                  <w:rFonts w:ascii="Times New Roman;sans-serif" w:hAnsi="Times New Roman;sans-serif"/>
                  <w:b w:val="false"/>
                  <w:color w:val="0000FF"/>
                  <w:sz w:val="20"/>
                  <w:u w:val="single"/>
                </w:rPr>
                <w:t>1</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03d6b747e7e46fda609730efad8f5da_16">
              <w:r>
                <w:rPr>
                  <w:rStyle w:val="InternetLink"/>
                  <w:rFonts w:ascii="Times New Roman;sans-serif" w:hAnsi="Times New Roman;sans-serif"/>
                  <w:b w:val="false"/>
                  <w:strike w:val="false"/>
                  <w:dstrike w:val="false"/>
                  <w:color w:val="000000"/>
                  <w:sz w:val="20"/>
                  <w:u w:val="none"/>
                  <w:effect w:val="none"/>
                </w:rPr>
                <w:t>Condensed Consolidated Financial Statements (Unaudited)</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03d6b747e7e46fda609730efad8f5da_16">
              <w:r>
                <w:rPr>
                  <w:rStyle w:val="InternetLink"/>
                  <w:rFonts w:ascii="Times New Roman;sans-serif" w:hAnsi="Times New Roman;sans-serif"/>
                  <w:b w:val="false"/>
                  <w:color w:val="0000FF"/>
                  <w:sz w:val="20"/>
                  <w:u w:val="single"/>
                </w:rPr>
                <w:t>1</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03d6b747e7e46fda609730efad8f5da_19">
              <w:r>
                <w:rPr>
                  <w:rStyle w:val="InternetLink"/>
                  <w:rFonts w:ascii="Times New Roman;sans-serif" w:hAnsi="Times New Roman;sans-serif"/>
                  <w:b w:val="false"/>
                  <w:strike w:val="false"/>
                  <w:dstrike w:val="false"/>
                  <w:color w:val="000000"/>
                  <w:sz w:val="20"/>
                  <w:u w:val="none"/>
                  <w:effect w:val="none"/>
                </w:rPr>
                <w:t xml:space="preserve">Condensed Consolidated Balance Sheets </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03d6b747e7e46fda609730efad8f5da_19">
              <w:r>
                <w:rPr>
                  <w:rStyle w:val="InternetLink"/>
                  <w:rFonts w:ascii="Times New Roman;sans-serif" w:hAnsi="Times New Roman;sans-serif"/>
                  <w:b w:val="false"/>
                  <w:color w:val="0000FF"/>
                  <w:sz w:val="20"/>
                  <w:u w:val="single"/>
                </w:rPr>
                <w:t>1</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03d6b747e7e46fda609730efad8f5da_22">
              <w:r>
                <w:rPr>
                  <w:rStyle w:val="InternetLink"/>
                  <w:rFonts w:ascii="Times New Roman;sans-serif" w:hAnsi="Times New Roman;sans-serif"/>
                  <w:b w:val="false"/>
                  <w:strike w:val="false"/>
                  <w:dstrike w:val="false"/>
                  <w:color w:val="000000"/>
                  <w:sz w:val="20"/>
                  <w:u w:val="none"/>
                  <w:effect w:val="none"/>
                </w:rPr>
                <w:t xml:space="preserve">Condensed Consolidated Statements of Comprehensive Loss </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03d6b747e7e46fda609730efad8f5da_22">
              <w:r>
                <w:rPr>
                  <w:rStyle w:val="InternetLink"/>
                  <w:rFonts w:ascii="Times New Roman;sans-serif" w:hAnsi="Times New Roman;sans-serif"/>
                  <w:b w:val="false"/>
                  <w:color w:val="0000FF"/>
                  <w:sz w:val="20"/>
                  <w:u w:val="single"/>
                </w:rPr>
                <w:t>2</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03d6b747e7e46fda609730efad8f5da_25">
              <w:r>
                <w:rPr>
                  <w:rStyle w:val="InternetLink"/>
                  <w:rFonts w:ascii="Times New Roman;sans-serif" w:hAnsi="Times New Roman;sans-serif"/>
                  <w:b w:val="false"/>
                  <w:strike w:val="false"/>
                  <w:dstrike w:val="false"/>
                  <w:color w:val="000080"/>
                  <w:sz w:val="20"/>
                  <w:u w:val="single"/>
                  <w:effect w:val="none"/>
                </w:rPr>
                <w:t xml:space="preserve">Condensed Consolidated Statements of Redeemable Convertible Preferred Stock and Stockholders’ </w:t>
              </w:r>
            </w:hyperlink>
            <w:hyperlink w:anchor="i703d6b747e7e46fda609730efad8f5da_25">
              <w:r>
                <w:rPr>
                  <w:rStyle w:val="InternetLink"/>
                  <w:rFonts w:ascii="Times New Roman;sans-serif" w:hAnsi="Times New Roman;sans-serif"/>
                  <w:b w:val="false"/>
                  <w:strike w:val="false"/>
                  <w:dstrike w:val="false"/>
                  <w:color w:val="000080"/>
                  <w:sz w:val="20"/>
                  <w:u w:val="single"/>
                  <w:effect w:val="none"/>
                </w:rPr>
                <w:t>Equity (</w:t>
              </w:r>
            </w:hyperlink>
            <w:hyperlink w:anchor="i703d6b747e7e46fda609730efad8f5da_25">
              <w:r>
                <w:rPr>
                  <w:rStyle w:val="InternetLink"/>
                  <w:rFonts w:ascii="Times New Roman;sans-serif" w:hAnsi="Times New Roman;sans-serif"/>
                  <w:b w:val="false"/>
                  <w:strike w:val="false"/>
                  <w:dstrike w:val="false"/>
                  <w:color w:val="000080"/>
                  <w:sz w:val="20"/>
                  <w:u w:val="single"/>
                  <w:effect w:val="none"/>
                </w:rPr>
                <w:t>Deficit</w:t>
              </w:r>
            </w:hyperlink>
            <w:hyperlink w:anchor="i703d6b747e7e46fda609730efad8f5da_25">
              <w:r>
                <w:rPr>
                  <w:rStyle w:val="InternetLink"/>
                  <w:rFonts w:ascii="Times New Roman;sans-serif" w:hAnsi="Times New Roman;sans-serif"/>
                  <w:b w:val="false"/>
                  <w:strike w:val="false"/>
                  <w:dstrike w:val="false"/>
                  <w:color w:val="000080"/>
                  <w:sz w:val="20"/>
                  <w:u w:val="single"/>
                  <w:effect w:val="none"/>
                </w:rPr>
                <w:t>)</w:t>
              </w:r>
            </w:hyperlink>
            <w:hyperlink w:anchor="i703d6b747e7e46fda609730efad8f5da_25">
              <w:r>
                <w:rPr>
                  <w:rStyle w:val="InternetLink"/>
                  <w:rFonts w:ascii="Times New Roman;sans-serif" w:hAnsi="Times New Roman;sans-serif"/>
                  <w:b w:val="false"/>
                  <w:strike w:val="false"/>
                  <w:dstrike w:val="false"/>
                  <w:color w:val="000080"/>
                  <w:sz w:val="20"/>
                  <w:u w:val="single"/>
                  <w:effect w:val="none"/>
                </w:rPr>
                <w:t xml:space="preserve"> </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03d6b747e7e46fda609730efad8f5da_25">
              <w:r>
                <w:rPr>
                  <w:rStyle w:val="InternetLink"/>
                  <w:rFonts w:ascii="Times New Roman;sans-serif" w:hAnsi="Times New Roman;sans-serif"/>
                  <w:b w:val="false"/>
                  <w:color w:val="0000FF"/>
                  <w:sz w:val="20"/>
                  <w:u w:val="single"/>
                </w:rPr>
                <w:t>3</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03d6b747e7e46fda609730efad8f5da_31">
              <w:r>
                <w:rPr>
                  <w:rStyle w:val="InternetLink"/>
                  <w:rFonts w:ascii="Times New Roman;sans-serif" w:hAnsi="Times New Roman;sans-serif"/>
                  <w:b w:val="false"/>
                  <w:strike w:val="false"/>
                  <w:dstrike w:val="false"/>
                  <w:color w:val="000000"/>
                  <w:sz w:val="20"/>
                  <w:u w:val="none"/>
                  <w:effect w:val="none"/>
                </w:rPr>
                <w:t xml:space="preserve">Condensed Consolidated Statements of Cash Flows </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03d6b747e7e46fda609730efad8f5da_31">
              <w:r>
                <w:rPr>
                  <w:rStyle w:val="InternetLink"/>
                  <w:rFonts w:ascii="Times New Roman;sans-serif" w:hAnsi="Times New Roman;sans-serif"/>
                  <w:b w:val="false"/>
                  <w:color w:val="0000FF"/>
                  <w:sz w:val="20"/>
                  <w:u w:val="single"/>
                </w:rPr>
                <w:t>4</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03d6b747e7e46fda609730efad8f5da_34">
              <w:r>
                <w:rPr>
                  <w:rStyle w:val="InternetLink"/>
                  <w:rFonts w:ascii="Times New Roman;sans-serif" w:hAnsi="Times New Roman;sans-serif"/>
                  <w:b w:val="false"/>
                  <w:strike w:val="false"/>
                  <w:dstrike w:val="false"/>
                  <w:color w:val="000000"/>
                  <w:sz w:val="20"/>
                  <w:u w:val="none"/>
                  <w:effect w:val="none"/>
                </w:rPr>
                <w:t>Notes to Condensed Consolidated Financial Statements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03d6b747e7e46fda609730efad8f5da_34">
              <w:r>
                <w:rPr>
                  <w:rStyle w:val="InternetLink"/>
                  <w:rFonts w:ascii="Times New Roman;sans-serif" w:hAnsi="Times New Roman;sans-serif"/>
                  <w:b w:val="false"/>
                  <w:color w:val="0000FF"/>
                  <w:sz w:val="20"/>
                  <w:u w:val="single"/>
                </w:rPr>
                <w:t>5</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03d6b747e7e46fda609730efad8f5da_91">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03d6b747e7e46fda609730efad8f5da_91">
              <w:r>
                <w:rPr>
                  <w:rStyle w:val="InternetLink"/>
                  <w:rFonts w:ascii="Times New Roman;sans-serif" w:hAnsi="Times New Roman;sans-serif"/>
                  <w:b w:val="false"/>
                  <w:color w:val="0000FF"/>
                  <w:sz w:val="20"/>
                  <w:u w:val="single"/>
                </w:rPr>
                <w:t>15</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03d6b747e7e46fda609730efad8f5da_97">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03d6b747e7e46fda609730efad8f5da_97">
              <w:r>
                <w:rPr>
                  <w:rStyle w:val="InternetLink"/>
                  <w:rFonts w:ascii="Times New Roman;sans-serif" w:hAnsi="Times New Roman;sans-serif"/>
                  <w:b w:val="false"/>
                  <w:color w:val="0000FF"/>
                  <w:sz w:val="20"/>
                  <w:u w:val="single"/>
                </w:rPr>
                <w:t>26</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03d6b747e7e46fda609730efad8f5da_103">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03d6b747e7e46fda609730efad8f5da_103">
              <w:r>
                <w:rPr>
                  <w:rStyle w:val="InternetLink"/>
                  <w:rFonts w:ascii="Times New Roman;sans-serif" w:hAnsi="Times New Roman;sans-serif"/>
                  <w:b w:val="false"/>
                  <w:color w:val="0000FF"/>
                  <w:sz w:val="20"/>
                  <w:u w:val="single"/>
                </w:rPr>
                <w:t>26</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03d6b747e7e46fda609730efad8f5da_106">
              <w:r>
                <w:rPr>
                  <w:rStyle w:val="InternetLink"/>
                  <w:rFonts w:ascii="Times New Roman;sans-serif" w:hAnsi="Times New Roman;sans-serif"/>
                  <w:b w:val="false"/>
                  <w:strike w:val="false"/>
                  <w:dstrike w:val="false"/>
                  <w:color w:val="000000"/>
                  <w:sz w:val="20"/>
                  <w:u w:val="none"/>
                  <w:effect w:val="none"/>
                </w:rPr>
                <w:t>OTHER INFORMATION</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03d6b747e7e46fda609730efad8f5da_109">
              <w:r>
                <w:rPr>
                  <w:rStyle w:val="InternetLink"/>
                  <w:rFonts w:ascii="Times New Roman;sans-serif" w:hAnsi="Times New Roman;sans-serif"/>
                  <w:b w:val="false"/>
                  <w:color w:val="0000FF"/>
                  <w:sz w:val="20"/>
                  <w:u w:val="single"/>
                </w:rPr>
                <w:t>27</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03d6b747e7e46fda609730efad8f5da_109">
              <w:r>
                <w:rPr>
                  <w:rStyle w:val="InternetLink"/>
                  <w:rFonts w:ascii="Times New Roman;sans-serif" w:hAnsi="Times New Roman;sans-serif"/>
                  <w:b w:val="false"/>
                  <w:strike w:val="false"/>
                  <w:dstrike w:val="false"/>
                  <w:color w:val="000000"/>
                  <w:sz w:val="20"/>
                  <w:u w:val="none"/>
                  <w:effect w:val="none"/>
                </w:rPr>
                <w:t>Legal Proceedings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03d6b747e7e46fda609730efad8f5da_109">
              <w:r>
                <w:rPr>
                  <w:rStyle w:val="InternetLink"/>
                  <w:rFonts w:ascii="Times New Roman;sans-serif" w:hAnsi="Times New Roman;sans-serif"/>
                  <w:b w:val="false"/>
                  <w:color w:val="0000FF"/>
                  <w:sz w:val="20"/>
                  <w:u w:val="single"/>
                </w:rPr>
                <w:t>27</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03d6b747e7e46fda609730efad8f5da_112">
              <w:r>
                <w:rPr>
                  <w:rStyle w:val="InternetLink"/>
                  <w:rFonts w:ascii="Times New Roman;sans-serif" w:hAnsi="Times New Roman;sans-serif"/>
                  <w:b w:val="false"/>
                  <w:strike w:val="false"/>
                  <w:dstrike w:val="false"/>
                  <w:color w:val="000000"/>
                  <w:sz w:val="20"/>
                  <w:u w:val="none"/>
                  <w:effect w:val="none"/>
                </w:rPr>
                <w:t>Risk Factors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03d6b747e7e46fda609730efad8f5da_112">
              <w:r>
                <w:rPr>
                  <w:rStyle w:val="InternetLink"/>
                  <w:rFonts w:ascii="Times New Roman;sans-serif" w:hAnsi="Times New Roman;sans-serif"/>
                  <w:b w:val="false"/>
                  <w:color w:val="0000FF"/>
                  <w:sz w:val="20"/>
                  <w:u w:val="single"/>
                </w:rPr>
                <w:t>27</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03d6b747e7e46fda609730efad8f5da_115">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03d6b747e7e46fda609730efad8f5da_115">
              <w:r>
                <w:rPr>
                  <w:rStyle w:val="InternetLink"/>
                  <w:rFonts w:ascii="Times New Roman;sans-serif" w:hAnsi="Times New Roman;sans-serif"/>
                  <w:b w:val="false"/>
                  <w:color w:val="0000FF"/>
                  <w:sz w:val="20"/>
                  <w:u w:val="single"/>
                </w:rPr>
                <w:t>29</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03d6b747e7e46fda609730efad8f5da_118">
              <w:r>
                <w:rPr>
                  <w:rStyle w:val="InternetLink"/>
                  <w:rFonts w:ascii="Times New Roman;sans-serif" w:hAnsi="Times New Roman;sans-serif"/>
                  <w:b w:val="false"/>
                  <w:strike w:val="false"/>
                  <w:dstrike w:val="false"/>
                  <w:color w:val="000000"/>
                  <w:sz w:val="20"/>
                  <w:u w:val="none"/>
                  <w:effect w:val="none"/>
                </w:rPr>
                <w:t>Defaults Under Senior Securities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03d6b747e7e46fda609730efad8f5da_118">
              <w:r>
                <w:rPr>
                  <w:rStyle w:val="InternetLink"/>
                  <w:rFonts w:ascii="Times New Roman;sans-serif" w:hAnsi="Times New Roman;sans-serif"/>
                  <w:b w:val="false"/>
                  <w:color w:val="0000FF"/>
                  <w:sz w:val="20"/>
                  <w:u w:val="single"/>
                </w:rPr>
                <w:t>29</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03d6b747e7e46fda609730efad8f5da_121">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03d6b747e7e46fda609730efad8f5da_121">
              <w:r>
                <w:rPr>
                  <w:rStyle w:val="InternetLink"/>
                  <w:rFonts w:ascii="Times New Roman;sans-serif" w:hAnsi="Times New Roman;sans-serif"/>
                  <w:b w:val="false"/>
                  <w:color w:val="0000FF"/>
                  <w:sz w:val="20"/>
                  <w:u w:val="single"/>
                </w:rPr>
                <w:t>29</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03d6b747e7e46fda609730efad8f5da_124">
              <w:r>
                <w:rPr>
                  <w:rStyle w:val="InternetLink"/>
                  <w:rFonts w:ascii="Times New Roman;sans-serif" w:hAnsi="Times New Roman;sans-serif"/>
                  <w:b w:val="false"/>
                  <w:strike w:val="false"/>
                  <w:dstrike w:val="false"/>
                  <w:color w:val="000000"/>
                  <w:sz w:val="20"/>
                  <w:u w:val="none"/>
                  <w:effect w:val="none"/>
                </w:rPr>
                <w:t>Other Information</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03d6b747e7e46fda609730efad8f5da_124">
              <w:r>
                <w:rPr>
                  <w:rStyle w:val="InternetLink"/>
                  <w:rFonts w:ascii="Times New Roman;sans-serif" w:hAnsi="Times New Roman;sans-serif"/>
                  <w:b w:val="false"/>
                  <w:color w:val="0000FF"/>
                  <w:sz w:val="20"/>
                  <w:u w:val="single"/>
                </w:rPr>
                <w:t>29</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03d6b747e7e46fda609730efad8f5da_127">
              <w:r>
                <w:rPr>
                  <w:rStyle w:val="InternetLink"/>
                  <w:rFonts w:ascii="Times New Roman;sans-serif" w:hAnsi="Times New Roman;sans-serif"/>
                  <w:b w:val="false"/>
                  <w:strike w:val="false"/>
                  <w:dstrike w:val="false"/>
                  <w:color w:val="000000"/>
                  <w:sz w:val="20"/>
                  <w:u w:val="none"/>
                  <w:effect w:val="none"/>
                </w:rPr>
                <w:t>Exhibits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03d6b747e7e46fda609730efad8f5da_127">
              <w:r>
                <w:rPr>
                  <w:rStyle w:val="InternetLink"/>
                  <w:rFonts w:ascii="Times New Roman;sans-serif" w:hAnsi="Times New Roman;sans-serif"/>
                  <w:b w:val="false"/>
                  <w:color w:val="0000FF"/>
                  <w:sz w:val="20"/>
                  <w:u w:val="single"/>
                </w:rPr>
                <w:t>30</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03d6b747e7e46fda609730efad8f5da_130">
              <w:r>
                <w:rPr>
                  <w:rStyle w:val="InternetLink"/>
                  <w:rFonts w:ascii="Times New Roman;sans-serif" w:hAnsi="Times New Roman;sans-serif"/>
                  <w:b w:val="false"/>
                  <w:strike w:val="false"/>
                  <w:dstrike w:val="false"/>
                  <w:color w:val="000000"/>
                  <w:sz w:val="20"/>
                  <w:u w:val="none"/>
                  <w:effect w:val="none"/>
                </w:rPr>
                <w:t>Signatures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03d6b747e7e46fda609730efad8f5da_130">
              <w:r>
                <w:rPr>
                  <w:rStyle w:val="InternetLink"/>
                  <w:rFonts w:ascii="Times New Roman;sans-serif" w:hAnsi="Times New Roman;sans-serif"/>
                  <w:b w:val="false"/>
                  <w:color w:val="0000FF"/>
                  <w:sz w:val="20"/>
                  <w:u w:val="single"/>
                </w:rPr>
                <w:t>31</w:t>
              </w:r>
            </w:hyperlink>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67665"/>
                <wp:effectExtent l="0" t="0" r="0" b="0"/>
                <wp:wrapNone/>
                <wp:docPr id="3" name="Frame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This Quarterly Report on Form 10-Q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w:t>
      </w:r>
      <w:r>
        <w:rPr>
          <w:rFonts w:ascii="Times New Roman;sans-serif" w:hAnsi="Times New Roman;sans-serif"/>
          <w:b w:val="false"/>
          <w:color w:val="000000"/>
          <w:sz w:val="20"/>
          <w:shd w:fill="FFFFFF" w:val="clear"/>
        </w:rPr>
        <w:t>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w:t>
      </w:r>
      <w:r>
        <w:rPr>
          <w:rFonts w:ascii="Times New Roman;sans-serif" w:hAnsi="Times New Roman;sans-serif"/>
          <w:b w:val="false"/>
          <w:color w:val="000000"/>
          <w:sz w:val="20"/>
        </w:rPr>
        <w:t xml:space="preserve">, those set forth in Part II, Item 1A, “Risk Factors,” if any, and other factors set forth in other parts of this Quarterly Report on Form 10-Q as well as in Part I, Item 1A, “Risk Factors” in our Annual Report on Form 10-K for the fiscal year ended December 31, 2023 (the “Annual Report”), filed with the Securities and Exchange Commission (“SEC”) on March 8, 2024. Furthermore, such forward-looking statements speak only as of the date of this report. Except as required by law, we undertake no obligation to update any forward-looking statements to reflect events or circumstances after the date of such statements. These forward-looking statements include, but are not limited to, statements concerning our expectations regarding our future results of operations and financial condition, including our ability to achieve or sustain profitability; our ability to continue to launch new products; momentum in our business; our ability to attract and retain customers; our ability to execute on and to continue driving benefits from our Transformation Pillars of Brand Maximization, Margin Enhancement, and Operating Discipline; our marketing strategies; our continued focus on research, development and innovation; our expectations regarding consumer demand and the timing and amount of orders from key customers; the effect of macroeconomic factors, including supply chain disruptions and inflationary pressures; anticipated trends, growth rates, and challenges in our business and in the markets in which we operate; and our ability to execute on other business strategies, plans and objectives of management for future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4"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738"/>
        <w:gridCol w:w="2286"/>
        <w:gridCol w:w="2217"/>
        <w:gridCol w:w="229"/>
        <w:gridCol w:w="898"/>
        <w:gridCol w:w="118"/>
        <w:gridCol w:w="109"/>
        <w:gridCol w:w="109"/>
        <w:gridCol w:w="109"/>
        <w:gridCol w:w="245"/>
        <w:gridCol w:w="963"/>
        <w:gridCol w:w="184"/>
      </w:tblGrid>
      <w:tr>
        <w:trPr/>
        <w:tc>
          <w:tcPr>
            <w:tcW w:w="2738"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7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43,084 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73,490 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156,364 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157,772 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13,486 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198,071 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201,621 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Liabilities and Stockholders’ Equity </w:t>
            </w:r>
          </w:p>
        </w:tc>
        <w:tc>
          <w:tcPr>
            <w:tcW w:w="12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53,662 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56,710 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liabilities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21,738 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73,304 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78,482 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Commitments and contingencies (Note </w:t>
            </w:r>
            <w:r>
              <w:rPr>
                <w:rFonts w:ascii="Times New Roman;sans-serif" w:hAnsi="Times New Roman;sans-serif"/>
                <w:b w:val="false"/>
                <w:color w:val="000000"/>
                <w:sz w:val="22"/>
              </w:rPr>
              <w:t>7</w:t>
            </w:r>
            <w:r>
              <w:rPr>
                <w:rFonts w:ascii="Times New Roman;sans-serif" w:hAnsi="Times New Roman;sans-serif"/>
                <w:b w:val="false"/>
                <w:color w:val="000000"/>
                <w:sz w:val="20"/>
              </w:rPr>
              <w:t>)</w:t>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equity </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20,000,000 shares authorized at March 31, 2024 and December 31, 2023, none issued or outstanding as of March 31, 2024 and December 31, 2023</w:t>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1,000,000,000 shares authorized at March 31, 2024 and December 31, 2023; 97,168,703 and 95,868,421 shares issued and outstanding as of March 31, 2024 and December 31, 2023, respectively</w:t>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605,229 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602,198 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(480,471)</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(479,068)</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stockholders’ equity </w:t>
            </w:r>
          </w:p>
        </w:tc>
        <w:tc>
          <w:tcPr>
            <w:tcW w:w="11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124,767 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123,139 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198,071 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201,621 </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64"/>
        <w:gridCol w:w="2062"/>
        <w:gridCol w:w="2040"/>
        <w:gridCol w:w="281"/>
        <w:gridCol w:w="920"/>
        <w:gridCol w:w="135"/>
        <w:gridCol w:w="135"/>
        <w:gridCol w:w="135"/>
        <w:gridCol w:w="135"/>
        <w:gridCol w:w="281"/>
        <w:gridCol w:w="995"/>
        <w:gridCol w:w="135"/>
        <w:gridCol w:w="109"/>
        <w:gridCol w:w="109"/>
        <w:gridCol w:w="109"/>
        <w:gridCol w:w="160"/>
      </w:tblGrid>
      <w:tr>
        <w:trPr/>
        <w:tc>
          <w:tcPr>
            <w:tcW w:w="2464"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8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86,217 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2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63,186 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2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31,882 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20,202 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2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25,817 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12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9,096 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w:t>
            </w:r>
          </w:p>
        </w:tc>
        <w:tc>
          <w:tcPr>
            <w:tcW w:w="120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2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2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33,197 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38,860 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2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(18,658)</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2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2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(18,847)</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2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w:t>
            </w:r>
          </w:p>
        </w:tc>
        <w:tc>
          <w:tcPr>
            <w:tcW w:w="13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8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shares used in computing net loss per share attributable to common stockholders: </w:t>
            </w:r>
          </w:p>
        </w:tc>
        <w:tc>
          <w:tcPr>
            <w:tcW w:w="13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2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96,273,168 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93,106,075 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short-term investments, net of taxes</w:t>
            </w:r>
          </w:p>
        </w:tc>
        <w:tc>
          <w:tcPr>
            <w:tcW w:w="120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(18,848)</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Redeemable Convertible Preferred Stock and Stockholders’ Equity (Deficit) </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p>
      <w:pPr>
        <w:pStyle w:val="TextBody"/>
        <w:bidi w:val="0"/>
        <w:spacing w:lineRule="auto" w:line="288" w:before="0" w:after="0"/>
        <w:ind w:left="0" w:right="0" w:firstLine="720"/>
        <w:jc w:val="center"/>
        <w:rPr/>
      </w:pPr>
      <w:r>
        <w:rPr>
          <w:rFonts w:ascii="Times New Roman;sans-serif" w:hAnsi="Times New Roman;sans-serif"/>
          <w:b w:val="false"/>
          <w:i/>
          <w:color w:val="000000"/>
          <w:sz w:val="18"/>
        </w:rPr>
        <w:t>(in thousands, except share amounts)</w:t>
      </w:r>
      <w:r>
        <w:rPr>
          <w:color w:val="000000"/>
        </w:rPr>
        <w:t xml:space="preserve"> </w:t>
      </w:r>
    </w:p>
    <w:tbl>
      <w:tblPr>
        <w:tblW w:w="11901" w:type="dxa"/>
        <w:jc w:val="center"/>
        <w:tblInd w:w="0" w:type="dxa"/>
        <w:tblLayout w:type="fixed"/>
        <w:tblCellMar>
          <w:top w:w="28" w:type="dxa"/>
          <w:left w:w="28" w:type="dxa"/>
          <w:bottom w:w="28" w:type="dxa"/>
          <w:right w:w="28" w:type="dxa"/>
        </w:tblCellMar>
      </w:tblPr>
      <w:tblGrid>
        <w:gridCol w:w="621"/>
        <w:gridCol w:w="282"/>
        <w:gridCol w:w="283"/>
        <w:gridCol w:w="257"/>
        <w:gridCol w:w="257"/>
        <w:gridCol w:w="117"/>
        <w:gridCol w:w="109"/>
        <w:gridCol w:w="109"/>
        <w:gridCol w:w="109"/>
        <w:gridCol w:w="296"/>
        <w:gridCol w:w="406"/>
        <w:gridCol w:w="109"/>
        <w:gridCol w:w="109"/>
        <w:gridCol w:w="109"/>
        <w:gridCol w:w="109"/>
        <w:gridCol w:w="109"/>
        <w:gridCol w:w="109"/>
        <w:gridCol w:w="109"/>
        <w:gridCol w:w="480"/>
        <w:gridCol w:w="481"/>
        <w:gridCol w:w="211"/>
        <w:gridCol w:w="109"/>
        <w:gridCol w:w="109"/>
        <w:gridCol w:w="109"/>
        <w:gridCol w:w="291"/>
        <w:gridCol w:w="357"/>
        <w:gridCol w:w="163"/>
        <w:gridCol w:w="109"/>
        <w:gridCol w:w="109"/>
        <w:gridCol w:w="109"/>
        <w:gridCol w:w="196"/>
        <w:gridCol w:w="736"/>
        <w:gridCol w:w="109"/>
        <w:gridCol w:w="109"/>
        <w:gridCol w:w="109"/>
        <w:gridCol w:w="109"/>
        <w:gridCol w:w="208"/>
        <w:gridCol w:w="800"/>
        <w:gridCol w:w="118"/>
        <w:gridCol w:w="109"/>
        <w:gridCol w:w="109"/>
        <w:gridCol w:w="109"/>
        <w:gridCol w:w="393"/>
        <w:gridCol w:w="694"/>
        <w:gridCol w:w="219"/>
        <w:gridCol w:w="109"/>
        <w:gridCol w:w="109"/>
        <w:gridCol w:w="109"/>
        <w:gridCol w:w="216"/>
        <w:gridCol w:w="813"/>
        <w:gridCol w:w="172"/>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Other Comprehensive 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 (Deficit)</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18"/>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18"/>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Balances at December 31, 2022</w:t>
            </w:r>
          </w:p>
        </w:tc>
        <w:tc>
          <w:tcPr>
            <w:tcW w:w="5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92,907,351 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586,213 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(439,830)</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146,360 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(18,867)</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(18,867)</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restricted stock units</w:t>
            </w:r>
          </w:p>
        </w:tc>
        <w:tc>
          <w:tcPr>
            <w:tcW w:w="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549,484 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Balances at March 31, 2023</w:t>
            </w:r>
          </w:p>
        </w:tc>
        <w:tc>
          <w:tcPr>
            <w:tcW w:w="51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93,456,835 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589,985 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(458,697)</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131,284 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889" w:type="dxa"/>
        <w:jc w:val="center"/>
        <w:tblInd w:w="0" w:type="dxa"/>
        <w:tblLayout w:type="fixed"/>
        <w:tblCellMar>
          <w:top w:w="28" w:type="dxa"/>
          <w:left w:w="28" w:type="dxa"/>
          <w:bottom w:w="28" w:type="dxa"/>
          <w:right w:w="28" w:type="dxa"/>
        </w:tblCellMar>
      </w:tblPr>
      <w:tblGrid>
        <w:gridCol w:w="419"/>
        <w:gridCol w:w="368"/>
        <w:gridCol w:w="369"/>
        <w:gridCol w:w="358"/>
        <w:gridCol w:w="158"/>
        <w:gridCol w:w="115"/>
        <w:gridCol w:w="115"/>
        <w:gridCol w:w="115"/>
        <w:gridCol w:w="115"/>
        <w:gridCol w:w="358"/>
        <w:gridCol w:w="337"/>
        <w:gridCol w:w="116"/>
        <w:gridCol w:w="109"/>
        <w:gridCol w:w="109"/>
        <w:gridCol w:w="109"/>
        <w:gridCol w:w="109"/>
        <w:gridCol w:w="109"/>
        <w:gridCol w:w="109"/>
        <w:gridCol w:w="480"/>
        <w:gridCol w:w="481"/>
        <w:gridCol w:w="211"/>
        <w:gridCol w:w="109"/>
        <w:gridCol w:w="109"/>
        <w:gridCol w:w="109"/>
        <w:gridCol w:w="291"/>
        <w:gridCol w:w="357"/>
        <w:gridCol w:w="163"/>
        <w:gridCol w:w="109"/>
        <w:gridCol w:w="109"/>
        <w:gridCol w:w="109"/>
        <w:gridCol w:w="196"/>
        <w:gridCol w:w="736"/>
        <w:gridCol w:w="109"/>
        <w:gridCol w:w="109"/>
        <w:gridCol w:w="109"/>
        <w:gridCol w:w="109"/>
        <w:gridCol w:w="208"/>
        <w:gridCol w:w="800"/>
        <w:gridCol w:w="118"/>
        <w:gridCol w:w="109"/>
        <w:gridCol w:w="109"/>
        <w:gridCol w:w="109"/>
        <w:gridCol w:w="360"/>
        <w:gridCol w:w="745"/>
        <w:gridCol w:w="201"/>
        <w:gridCol w:w="109"/>
        <w:gridCol w:w="109"/>
        <w:gridCol w:w="109"/>
        <w:gridCol w:w="216"/>
        <w:gridCol w:w="813"/>
        <w:gridCol w:w="172"/>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Other Comprehensive 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 (Deficit)</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18"/>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18"/>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Balances at December 31, 2023</w:t>
            </w:r>
          </w:p>
        </w:tc>
        <w:tc>
          <w:tcPr>
            <w:tcW w:w="5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95,868,421 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602,198 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(479,068)</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123,139 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exercised</w:t>
            </w:r>
          </w:p>
        </w:tc>
        <w:tc>
          <w:tcPr>
            <w:tcW w:w="5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126,000 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5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restricted stock units</w:t>
            </w:r>
          </w:p>
        </w:tc>
        <w:tc>
          <w:tcPr>
            <w:tcW w:w="5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1,174,282 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Balances at March 31, 2024</w:t>
            </w:r>
          </w:p>
        </w:tc>
        <w:tc>
          <w:tcPr>
            <w:tcW w:w="5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97,168,703 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605,229 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(480,471)</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124,767 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502"/>
        <w:gridCol w:w="2188"/>
        <w:gridCol w:w="2203"/>
        <w:gridCol w:w="276"/>
        <w:gridCol w:w="946"/>
        <w:gridCol w:w="142"/>
        <w:gridCol w:w="142"/>
        <w:gridCol w:w="142"/>
        <w:gridCol w:w="142"/>
        <w:gridCol w:w="276"/>
        <w:gridCol w:w="1041"/>
        <w:gridCol w:w="205"/>
      </w:tblGrid>
      <w:tr>
        <w:trPr/>
        <w:tc>
          <w:tcPr>
            <w:tcW w:w="2502"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r>
      <w:tr>
        <w:trPr/>
        <w:tc>
          <w:tcPr>
            <w:tcW w:w="6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7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(used in) operating activities:</w:t>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2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17,191 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2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long-term liabilities</w:t>
            </w:r>
          </w:p>
        </w:tc>
        <w:tc>
          <w:tcPr>
            <w:tcW w:w="12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(10,845)</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liabilities </w:t>
            </w:r>
          </w:p>
        </w:tc>
        <w:tc>
          <w:tcPr>
            <w:tcW w:w="12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short-term investments</w:t>
            </w:r>
          </w:p>
        </w:tc>
        <w:tc>
          <w:tcPr>
            <w:tcW w:w="12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2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2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finance lease liabilities</w:t>
            </w:r>
          </w:p>
        </w:tc>
        <w:tc>
          <w:tcPr>
            <w:tcW w:w="12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the period</w:t>
            </w:r>
          </w:p>
        </w:tc>
        <w:tc>
          <w:tcPr>
            <w:tcW w:w="12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32,827 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9,517 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the period</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33,585 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activities</w:t>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included in accounts payable and accrued expenses</w:t>
            </w:r>
          </w:p>
        </w:tc>
        <w:tc>
          <w:tcPr>
            <w:tcW w:w="27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March 31, 2024</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 percentages and as otherwise indicated)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1.     Nature of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Honest Company, Inc. (the “Company”) was incorporated in the State of California on July 19, 2011 and on May 23, 2012 was re-incorporated in the State of Delaware under the same name. The Company is a personal care company dedicated to creating clean- and sustainably-designed products.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left"/>
        <w:rPr/>
      </w:pPr>
      <w:r>
        <w:rPr/>
      </w:r>
    </w:p>
    <w:p>
      <w:pPr>
        <w:pStyle w:val="TextBody"/>
        <w:bidi w:val="0"/>
        <w:spacing w:lineRule="auto" w:line="26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the audited consolidated financial statements and related notes for the year ended December 31, 2023. The condensed consolidated financial statements are unaudited. The unaudited interim condensed consolidated financial statements have been prepared on a basis consistent with that used to prepare the audited annual consolidated financial statements and include, in the opinion of management, all adjustments, consisting of normal recurring items, necessary for the fair statement of the condensed consolidated financial statements. The consolidated balance sheet as of December 31, 2023 has been derived from the audited financial statements at that date but does not include all of the disclosures required by GAAP.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and its wholly owned subsidiaries after elimination of intercompany transactions and balances.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Segment Reporting and Geographic Information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Chief Executive Officer, as the chief operating decision maker, organizes the Company, manages resource allocations, and measures performance on the basis of one operating segment. All of the Company’s long-lived assets are located in the United States and substantially all of the Company’s revenue is from customers located in the United States.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GAAP requires management to make estimates and assumptions that affect the reported amounts of assets and liabilities, the disclosure of contingent assets and contingent liabilities at the date of the condensed consolidated financial statements and the reported amounts of revenues and expenses during the reporting period. Actual results could differ from those estimates. The Company’s estimates, which are subject to varying degrees of judgment, include the valuation of inventories, sales returns and allowances, allowances for credit losses, valuation of short-term investments, capitalized software, useful lives associated with long-lived assets, incremental borrowing rates associated with leases, valuation allowances with respect to deferred tax assets, accruals and contingencies, recoverability of non-cash marketing credits, recoverability of goodwill and long-lived assets, and the valuation and assumptions underlying stock-based compensation. On an ongoing basis, the Company evaluates its estimates compared to historical experience and trends, which form the basis for making judgments about the carrying value of assets and liabilities.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assessed certain accounting matters and estimates that generally require consideration of forecasted information in context with the information reasonably available to the Company as of March 31, 2024 and through the date these condensed consolidated financial statements were issued.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consolidated financial statements in future periods.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equivalents consist of short-term, highly liquid investments with stated maturities of three months or less from the date of purchase. Cash equivalents comprise amounts invested in money market funds.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Accounts Receivable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is presented as net of allowance for credit losses. The Company does not accrue interest on its trade receivables. The Company evaluates accounts receivable estimated to be uncollectible by considering the lifetime expected credit losses of the Company's accounts receivable at time of inception, and records an allowance for credit losses, as necessary, with the balance of the Company's accounts receivable presented at the net realizable value. The Company considers factors in its allowance for credit losses such as historical analysis, credit quality of customers, the age of the accounts receivable balances and macroeconomic conditions that may impact on the Company's customers' ability to pay. The allowance for credit losses was $0.4 million and $0.4 million as of March 31, 2024 and December 31, 2023, respectively.</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Fair Value Measurements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The Company uses the following hierarchy in measuring the fair value of the Company’s assets and liabilities, focusing on the most observable inputs when available:</w:t>
      </w:r>
    </w:p>
    <w:p>
      <w:pPr>
        <w:pStyle w:val="TextBody"/>
        <w:bidi w:val="0"/>
        <w:spacing w:lineRule="auto" w:line="268" w:before="0" w:after="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1 - Quoted prices in active markets for identical assets or liabilities. </w:t>
      </w:r>
    </w:p>
    <w:p>
      <w:pPr>
        <w:pStyle w:val="TextBody"/>
        <w:bidi w:val="0"/>
        <w:spacing w:lineRule="auto" w:line="268" w:before="0" w:after="0"/>
        <w:ind w:left="0" w:right="0" w:hanging="81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 </w:t>
      </w:r>
    </w:p>
    <w:p>
      <w:pPr>
        <w:pStyle w:val="TextBody"/>
        <w:bidi w:val="0"/>
        <w:spacing w:lineRule="auto" w:line="268" w:before="0" w:after="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Level 3 -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0" w:after="0"/>
        <w:jc w:val="left"/>
        <w:rPr/>
      </w:pPr>
      <w:r>
        <w:rPr/>
      </w:r>
    </w:p>
    <w:p>
      <w:pPr>
        <w:pStyle w:val="TextBody"/>
        <w:bidi w:val="0"/>
        <w:spacing w:lineRule="auto" w:line="26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based on quoted market prices, if available. If listed prices or quotes are not available, fair value is based on internally developed models that primarily use market-based or independently sourced market parameters as inputs. Cash equivalents, consisting primarily of money market funds, represent highly liquid investments with maturities of three months or less at purchase. Market prices, which are Level 1 in the fair value hierarchy, are used to determine the fair value of the money market funds. Investments in debt securities are measured using broker provided indicative prices developed using observable market data, which are considered Level 2 in the fair value hierarchy. Certain assets, including long-lived assets, goodwill and intangible assets are also subject to measurement at fair value on a non-recurring basis if they are deemed to be impaired as a result of an impairment review. The fair value is measured using Level 3 inputs in the fair value hierarchy.</w:t>
      </w:r>
    </w:p>
    <w:p>
      <w:pPr>
        <w:pStyle w:val="TextBody"/>
        <w:bidi w:val="0"/>
        <w:spacing w:lineRule="auto" w:line="268" w:before="0" w:after="0"/>
        <w:jc w:val="both"/>
        <w:rPr/>
      </w:pPr>
      <w:r>
        <w:rPr>
          <w:rFonts w:ascii="Times New Roman;sans-serif" w:hAnsi="Times New Roman;sans-serif"/>
          <w:b/>
          <w:color w:val="000000"/>
          <w:sz w:val="20"/>
        </w:rPr>
        <w:t>Recent Accounting Pronouncements</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 – Not Yet Adopted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which expands reportable segment disclosure requirements, primarily through enhanced disclosures about significant segment expenses. The amendments in the ASU require that a public entity discloses, on an annual and interim basis, significant segment expenses that are regularly provided to an entity's chief operating decision maker (“CODM”), a description of other segment items by reportable segment, and any additional measures of a segment's profit or loss used by the CODM when deciding how to allocate resources. The amendments in this ASU are effective for fiscal years beginning after December 15, 2023, and interim periods within fiscal years beginning after December 15, 2024. Retrospective application is required for all prior periods presented, and early adoption is permitted. The Company does not expect the adoption of ASU No. 2023-07 to have a material impact on the Company’s consolidated financial statements or disclosures.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Income Taxes: Improvements to Income Tax Disclosures. This guidance requires consistent categories and greater disaggregation of information in the rate reconciliation and disclosures of income taxes paid by jurisdiction. For public business entities, the amendments in this update are effective for annual periods beginning after December 15, 2024. The Company does not expect the adoption of ASU No. 2023-09 to have a material impact on the Company’s consolidated financial statements or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333333"/>
          <w:sz w:val="20"/>
        </w:rPr>
      </w:pPr>
      <w:r>
        <w:rPr>
          <w:rFonts w:ascii="Times New Roman;sans-serif" w:hAnsi="Times New Roman;sans-serif"/>
          <w:b/>
          <w:color w:val="333333"/>
          <w:sz w:val="20"/>
        </w:rPr>
        <w:t xml:space="preserve">3.Revenue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The Company had previously presented its revenue by sales channel of Digital and Retail and by product category of Diapers and Wipes, Skin and Personal Care and Household and Wellness. In determining the appropriate categories to use to disaggregate revenue in accordance with the requirements of Accounting Standards Codification Topic 606,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 xml:space="preserve">the Company had considered the information regularly reviewed by its CODM for evaluating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performance and making resource allocation decisions and the guidance to disaggregate revenue from contracts with customers into categories that depict how the nature, amount, timing, and uncertainty of revenue and cash flows are affected by economic factors. In 2023, the Company executed a broad-based Transformation Initiative with Brand Maximization as one of the Pillars designed to leverage the strength of the Honest brand. As part of its strategy to build the Honest brand, the Company’s CODM is now evaluating the Company’s financial performance and making resource allocation decisions across the Company’s products as one brand of a portfolio of multiple products. As a result, in the first quarter of 2024, the Company decided to remove the disaggregation of revenue by product category to align with changes made to the Company’s long-term strategy. The Company is now disaggregating revenue by direct-to-consumer and retail and third-party ecommerce customers. The change had no effect on the Company's results of operations or timing of revenue recognition.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Direct-to-Consumer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direct sales to the consumer through the Company's website, Honest.com, the Company's performance obligation consists of the sale of finished goods to the consumer. Consumers may purchase products at any time or enter into subscription arrangements. Consumers place orders online in accordance with the Company's standard terms and conditions and authorize payment when the order is placed. Credit cards are charged at the time of shipment and payments are typically processed within two to three business days. For subscription arrangements, consumers sign up to receive products on a periodic basis. Subscriptions are cancellable at any time without penalty, and no amounts are collected from the consumer until products are shipped. Revenue is recognized when transfer of control to the consumer takes place, which is when the product is delivered to the carrier. Sales taxes collected from consumers are accounted for on a net basis and are excluded from revenue. During the three months ended March 31, 2024 and 2023, 15% and 18% of the Company's revenue was generated from Honest.com, respectively.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Retail and Third-Party Ecommerce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retail and third-party ecommerce sales, the Company's performance obligation consists of the sale of finished goods to retailers and third-party ecommerce customers. Revenue is recognized when control of the promised goods is transferred to those customers at time of shipment or delivery, depending on the contract terms. After the completion of the performance obligation, the Company has the right to consideration as outlined in the contract. Payment terms vary among the retail and third-party ecommerce customers although terms generally include a requirement of payment within 30 to 45 days of product shipment.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Non-Monetary Transactions</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in the past and may in the future enter into trade agreements with a vendor to exchange excess inventory for future marketing and transportation credits. The Company recognizes revenue reflecting the fair value of the marketing and transportation credits upon delivery of goods, with the corresponding short and long-term asset included in prepaid expenses and other current assets and other assets in the accompanying condensed consolidated balance sheets. The Company may use the marketing and transportation credits over four years from the date of the respective agreement, with an option to extend for another two years if agreed upon by both parties. For the three months ended March 31, 2024, the Company did not enter into any new trade agreements.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For the three months ended March 31, 2024 and 2023, the Company did not recognize any revenue or associated cost of revenue related to these marketing and transportation credits. The Company assesses the recoverability of the marketing and transportation credits periodically. Factors considered in evaluating the recoverability include management’s history of credit usage and future plans with respect to advertising, freight and other services for which these credits can be used. Any impairment losses are charged to operations as they become determinable. For the three months ended March 31, 2024, the Company recorded no impairment losses related to these credits and used an aggregate of $19 thousand</w:t>
      </w:r>
      <w:r>
        <w:rPr>
          <w:color w:val="000000"/>
        </w:rPr>
        <w:t xml:space="preserve"> </w:t>
      </w:r>
      <w:r>
        <w:rPr>
          <w:rFonts w:ascii="Times New Roman;sans-serif" w:hAnsi="Times New Roman;sans-serif"/>
          <w:b w:val="false"/>
          <w:color w:val="000000"/>
          <w:sz w:val="20"/>
        </w:rPr>
        <w:t xml:space="preserve">of credits.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4.     Fair Value Measurements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measured and recorded at fair value on a recurring basis consist of the following as of:</w:t>
      </w:r>
    </w:p>
    <w:tbl>
      <w:tblPr>
        <w:tblW w:w="6316" w:type="dxa"/>
        <w:jc w:val="left"/>
        <w:tblInd w:w="0" w:type="dxa"/>
        <w:tblLayout w:type="fixed"/>
        <w:tblCellMar>
          <w:top w:w="28" w:type="dxa"/>
          <w:left w:w="28" w:type="dxa"/>
          <w:bottom w:w="28" w:type="dxa"/>
          <w:right w:w="28" w:type="dxa"/>
        </w:tblCellMar>
      </w:tblPr>
      <w:tblGrid>
        <w:gridCol w:w="706"/>
        <w:gridCol w:w="621"/>
        <w:gridCol w:w="623"/>
        <w:gridCol w:w="211"/>
        <w:gridCol w:w="616"/>
        <w:gridCol w:w="109"/>
        <w:gridCol w:w="109"/>
        <w:gridCol w:w="109"/>
        <w:gridCol w:w="109"/>
        <w:gridCol w:w="213"/>
        <w:gridCol w:w="411"/>
        <w:gridCol w:w="110"/>
        <w:gridCol w:w="109"/>
        <w:gridCol w:w="109"/>
        <w:gridCol w:w="109"/>
        <w:gridCol w:w="213"/>
        <w:gridCol w:w="411"/>
        <w:gridCol w:w="110"/>
        <w:gridCol w:w="109"/>
        <w:gridCol w:w="109"/>
        <w:gridCol w:w="109"/>
        <w:gridCol w:w="211"/>
        <w:gridCol w:w="61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before="0" w:after="0"/>
        <w:jc w:val="left"/>
        <w:rPr/>
      </w:pPr>
      <w:r>
        <w:rPr/>
      </w:r>
    </w:p>
    <w:tbl>
      <w:tblPr>
        <w:tblW w:w="6316" w:type="dxa"/>
        <w:jc w:val="left"/>
        <w:tblInd w:w="0" w:type="dxa"/>
        <w:tblLayout w:type="fixed"/>
        <w:tblCellMar>
          <w:top w:w="28" w:type="dxa"/>
          <w:left w:w="28" w:type="dxa"/>
          <w:bottom w:w="28" w:type="dxa"/>
          <w:right w:w="28" w:type="dxa"/>
        </w:tblCellMar>
      </w:tblPr>
      <w:tblGrid>
        <w:gridCol w:w="706"/>
        <w:gridCol w:w="621"/>
        <w:gridCol w:w="623"/>
        <w:gridCol w:w="211"/>
        <w:gridCol w:w="616"/>
        <w:gridCol w:w="109"/>
        <w:gridCol w:w="109"/>
        <w:gridCol w:w="109"/>
        <w:gridCol w:w="109"/>
        <w:gridCol w:w="213"/>
        <w:gridCol w:w="411"/>
        <w:gridCol w:w="110"/>
        <w:gridCol w:w="109"/>
        <w:gridCol w:w="109"/>
        <w:gridCol w:w="109"/>
        <w:gridCol w:w="213"/>
        <w:gridCol w:w="411"/>
        <w:gridCol w:w="110"/>
        <w:gridCol w:w="109"/>
        <w:gridCol w:w="109"/>
        <w:gridCol w:w="109"/>
        <w:gridCol w:w="211"/>
        <w:gridCol w:w="61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for the Company’s cash equivalents, accounts receivable, accounts payable, and accrued expenses approximate fair value due to their short maturities.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5.     Credit Facilities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the Company entered into a first lien credit agreement (the “2023 Credit Facility”), with JPMorgan Chase Bank, N.A., as administrative agent and lender, and the other lenders party thereto, which provides for a $35.0 million revolving credit facility that matures on April 30, 2026. The 2023 Credit Facility includes a sub-facility that provides for the issuance of letters of credit in an amount of up to $15.0 million at any time outstanding. Availability of the 2023 Credit Facility is based upon a borrowing base formula and periodic borrowing base certifications valuing certain of the Company’s accounts receivable and inventory as reduced by an availability block and certain reserves, if any. The 2023 Credit Facility includes an uncommitted accordion feature that allows for increases in the revolving commitment to as much as an additional $35.0 million, for up to $70.0 million in potential revolving commitment. The 2023 Credit Facility is subject to customary fees for loan facilities of this type, including a commitment fee based on the average daily undrawn portion of the 2023 Credit Facility. The Company recognizes the commitment fee as incurred in interest and other income (expense), net in the condensed consolidated statements of comprehensive loss. For the three months ended March 31, 2024 and 2023, the commitment fee incurred was immaterial. As of March 31, 2024, there were $3.7 million outstanding letters of credit and $17.7 million available to be drawn upon. As of March 31, 2024, there was no outstanding balance under the 2023 Credit Facility.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interest rate applicable to the 2023 Credit Facility is, at the Company’s option, either (a) the Adjusted Term SOFR rate (subject to a 0.00% floor), plus a margin ranging from 1.50% to 2.25% or (b) the CB floating rate, (i) plus a margin of 0.25% or (ii) minus a margin ranging from 0.25% to 0.50%. The margin is based upon the Company’s fixed charge coverage ratio. The CB floating rate is the higher of (a) the Wall Street Journal prime rate and (b) 2.50%.</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2023 Credit Facility will terminate and borrowings thereunder, if any, would be due in full on April 30, 2026. Debt under the 2023 Credit Facility is guaranteed by substantially all of the Company’s material domestic subsidiaries and is secured by substantially all of the Company’s and such subsidiaries’ assets.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2023 Credit Facility contains covenants that restrict, among other things, the Company's ability to sell assets, make investments and acquisitions, grant liens, change the Company’s lines of business, pay dividends and make certain other restricted payments. The Company is subject to certain affirmative and negative covenants including the requirement that it maintains a minimum total fixed charge coverage ratio during the periods set forth in the 2023 Credit Facility. Failure to do so, unless waived by the lenders under the 2023 Credit Facility pursuant to its terms, as amended, would result in an event of default under the 2023 Credit Facility. As of March 31, 2024, the Company is in compliance with all covenants under the 2023 Credit Facility.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5"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6.     Accrued Expenses </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consisted of the following:</w:t>
      </w:r>
    </w:p>
    <w:tbl>
      <w:tblPr>
        <w:tblW w:w="6761" w:type="dxa"/>
        <w:jc w:val="left"/>
        <w:tblInd w:w="0" w:type="dxa"/>
        <w:tblLayout w:type="fixed"/>
        <w:tblCellMar>
          <w:top w:w="28" w:type="dxa"/>
          <w:left w:w="28" w:type="dxa"/>
          <w:bottom w:w="28" w:type="dxa"/>
          <w:right w:w="28" w:type="dxa"/>
        </w:tblCellMar>
      </w:tblPr>
      <w:tblGrid>
        <w:gridCol w:w="1167"/>
        <w:gridCol w:w="1027"/>
        <w:gridCol w:w="1030"/>
        <w:gridCol w:w="292"/>
        <w:gridCol w:w="998"/>
        <w:gridCol w:w="150"/>
        <w:gridCol w:w="109"/>
        <w:gridCol w:w="109"/>
        <w:gridCol w:w="109"/>
        <w:gridCol w:w="344"/>
        <w:gridCol w:w="1175"/>
        <w:gridCol w:w="251"/>
      </w:tblGrid>
      <w:tr>
        <w:trPr/>
        <w:tc>
          <w:tcPr>
            <w:tcW w:w="116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Payroll and payroll related expenses</w:t>
            </w:r>
            <w:r>
              <w:rPr>
                <w:rFonts w:ascii="Times New Roman;sans-serif" w:hAnsi="Times New Roman;sans-serif"/>
                <w:b w:val="false"/>
                <w:color w:val="000000"/>
                <w:sz w:val="13"/>
              </w:rPr>
              <w:t>(1)</w:t>
            </w:r>
          </w:p>
        </w:tc>
        <w:tc>
          <w:tcPr>
            <w:tcW w:w="29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inventory purchases</w:t>
            </w:r>
          </w:p>
        </w:tc>
        <w:tc>
          <w:tcPr>
            <w:tcW w:w="12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9,368 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returns</w:t>
            </w:r>
          </w:p>
        </w:tc>
        <w:tc>
          <w:tcPr>
            <w:tcW w:w="12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Accrued rent</w:t>
            </w:r>
            <w:r>
              <w:rPr>
                <w:rFonts w:ascii="Times New Roman;sans-serif" w:hAnsi="Times New Roman;sans-serif"/>
                <w:b w:val="false"/>
                <w:color w:val="000000"/>
                <w:sz w:val="13"/>
              </w:rPr>
              <w:t>(2)</w:t>
            </w:r>
          </w:p>
        </w:tc>
        <w:tc>
          <w:tcPr>
            <w:tcW w:w="12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8,212 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Accrued restructuring</w:t>
            </w:r>
            <w:r>
              <w:rPr>
                <w:rFonts w:ascii="Times New Roman;sans-serif" w:hAnsi="Times New Roman;sans-serif"/>
                <w:b w:val="false"/>
                <w:color w:val="000000"/>
                <w:sz w:val="13"/>
              </w:rPr>
              <w:t>(3)</w:t>
            </w:r>
          </w:p>
        </w:tc>
        <w:tc>
          <w:tcPr>
            <w:tcW w:w="12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2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6,104 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26,416 </w:t>
            </w:r>
          </w:p>
        </w:tc>
        <w:tc>
          <w:tcPr>
            <w:tcW w:w="1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32,209 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(1) Includes $0.9 million and $1.2 million of Chief Executive Officer and Chief Financial Officer executive transition related expenses as of March 31, 2024 and December 31, 2023, respectively. </w:t>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(2) Represents short-term operating lease liabilities. Refer to Note 12, "Leases" included in these condensed consolidated financial statements for more information on leases. </w:t>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(3) Refer to Note 13, "Restructuring" included in these condensed consolidated financial statements for more information on the Company's restructuring.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pPr>
      <w:r>
        <w:rPr>
          <w:rFonts w:ascii="Times New Roman;sans-serif" w:hAnsi="Times New Roman;sans-serif"/>
          <w:b/>
          <w:color w:val="000000"/>
          <w:sz w:val="20"/>
        </w:rPr>
        <w:t>7.    Commitments and Contingencies</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is subject to various claims and contingencies which are in the scope of ordinary and routine litigation incidental to its business, including those related to regulation, business transactions, employee-related matters and taxes, among others. When the Company becomes aware of a claim or potential claim, the likelihood of any loss or exposure is assessed. If it is probable that a loss will result and the amount or range of the loss can be reasonably estimated, the Company records a liability for the loss and discloses the possible loss in the consolidated financial statements. Legal costs are expensed as incurred.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23, 2020, the Center for Advanced Public Awareness (“CAPA”) served a 60-Day Notice of Violation on the Company, alleging that the Company violated California’s Health and Safety Code (“Prop 65”) because of the amount of lead in the Company’s Diaper Rash Cream and seeking statutory penalties and product warnings available under Prop 65. On October 22, 2021, CAPA filed a complaint in California Superior Court in the County of San Francisco (the “Court”) for the alleged Prop 65 violations contained in its 60-Day Notice of Violation. The Company filed its answer and notice of related cases against Prestige Consumer Healthcare, Inc., Burt's Bees, Inc., and Hain Celestial Group, Inc. on January 7, 2022 and has stipulated to relate these cases and transfer them to the Court's Complex Division. On April 30, 2024, the Company filed its motion for summary judgment. The Company intends to vigorously defend itself in this matter. The matter’s outcome and materiality are uncertain at this time. Therefore, the Company cannot estimate the probability of loss or make an estimate of the loss or range of loss in this matter.</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On September 15, 2021, Cody Dixon filed a putative class action complaint in the U.S. District Court for the Central District of California alleging federal securities law violations by the Company, certain current officers and directors, and certain underwriters in connection with the Company’s initial public offering (“IPO”). A second putative class action complaint containing similar allegations against the Company and certain current officers and directors was filed by Stephen Gambino on October 8, 2021 in the U.S. District Court for the Central District of California. These related complaints have been transferred to the same court and a Lead Plaintiff has been appointed in the matter, and a putative consolidated class action complaint was filed by the Lead Plaintiff on February 21, 2022, alleging claims and seeking relief under Sections 11 and 15 of the Securities Act of 1933 relating to the Company’s IPO. Defendants’ motion to dismiss the putative consolidated class action complaint was filed on March 14, 2022. On July 18, 2022, the Company's motion to dismiss was granted in part and denied in part. On May 1, 2023, the Lead Plaintiff’s motion for class certification in the consolidated class action was granted in part and denied in part, with the U.S. District Court for the Central District of California limiting the certified class to only those persons and entities that purchased or otherwise acquired the Company’s publicly traded common stock pursuant and traceable to the Company’s IPO offering documents prior to August 19, 2021, as well as all persons and entities that acquired ownership of a trading account, retirement account, or any other similar investment account or portfolio containing the Company’s publicly traded common stock that was purchased or otherwise acquired pursuant and traceable to the IPO offering documents prior to August 19, 2021, and were damaged thereby. On August 14, 2023 the Lead Plaintiff filed an amended consolidated class action complaint naming as additional defendants Catterton Management Company L.L.C., L Catterton VIII, L.P., L. Catterton VIII Offshore, L.P., THC Shared Abacus, LP, Catterton Managing Partner VIII, L.L.C., and C8 Management, L.L.C. On October 16, 2023, those additional defendants filed a motion to dismiss the Second Amended Complaint with respect to the claims against them. On January 31, 2024, that motion to dismiss was granted by the court to the extent those additional defendants challenged the claims as untimely. The court granted Lead Plaintiff leave to amend within fourteen days of that order. On February 14, 2024, the Lead Plaintiff filed a further amended Second Amended Complaint against the additional defendants. The additional defendants filed a motion to dismiss the further amended Second Amended Complaint, which was denied by the court on April 22, 2024. A derivative complaint was filed by Hayato Ono on behalf of the Company on November 29, 2021 in the U.S. District Court for the Central District of California, alleging breach of fiduciary duties, unjust enrichment, waste, gross mismanagement, and federal securities law violations by the Company’s directors and certain officers. On December 17, 2021, a second derivative complaint containing similar allegations against the Company’s directors and certain officers was filed by Mike Wang in the U.S. District Court for the Central District of California. These two federal derivative cases have been transferred to the same judge who is presiding over the securities class action complaints. A third derivative complaint was filed by Leah Bisch and Raluca Corobana in California Superior Court for the County of Los Angeles on January 3, 2022 with similar allegations. A fourth derivative complaint was filed by David Butler in the U.S. District Court for the District of Delaware on October 19, 2022 with similar allegations. Each of these federal and state court derivative cases have been stayed pending the outcome of a motion for summary judgment in the securities class action. These matters are in the preliminary stages of litigation with uncertain outcomes at this time. Therefore, the Company cannot estimate the probability of loss or make an estimate of the loss or range of loss in these matters.</w:t>
      </w:r>
      <w:r>
        <w:rPr>
          <w:color w:val="FF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10, 2022, Catrice Sida and Kris Yerby filed a putative class action complaint in the U.S. District Court for the Northern District of California alleging violations of California’s Unfair Competition Law, False Advertising Law, Consumers Legal Remedies Act, breach of warranty, and unjust enrichment related to plant-based claims on certain of the Company’s wipes products and seeking declaratory relief, injunctive relief, monetary damages, punitive damages and statutory penalties, and attorneys’ fees and costs. The Company filed its motion to dismiss on October 17, 2022. On December 6, 2022, the Company's motion to dismiss was denied. The Company’s motion to stay pending the Ninth Circuit Court of Appeals’ review of the Central District of California’s decision in Whiteside v. Kimberly-Clark Corp., No. 5:22-cv-1988 JGB (SPx), 2023 WL 4328175 (C.D.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Cal. June 1, 2023) was denied on September 5, 2023. On February 20, 2024, the parties filed a Notice of Settlement to notify the court that the parties have agreed to settle the matter on an individual, non-class basis. The plaintiffs will file a Stipulation of Dismissal upon finalization of the settlement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and December 31, 2023, the Company was not subject to any other currently pending legal matters or claims that based on its current evaluation are expected to have a material adverse effect on its financial position, results of operations, or cash flows should such matters be resolved unfavorably.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Indemnifications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may provide indemnifications of varying scope and terms to investors, directors and officers with respect to certain matters, including, but not limited to, losses arising out of the Company’s breach of such agreements, services to be provided by the Company, or from intellectual property infringement claims made by third parties. These indemnifications may survive termination of the underlying agreement and the maximum potential number of future payments the Company could be required to make under these indemnification provisions may not be subject to maximum loss clauses. The maximum potential number of future payments the Company could be required to make under these indemnification provisions is indeterminable. The Company has never been involved in litigation in connection with these indemnification arrangements. As of March 31, 2024 and December 31, 2023, the Company has not accrued a liability for these guarantees as the likelihood of incurring a payment obligation, if any, in connection with these guarantees is not probable or reasonably estimable due to the unique facts and circumstances involved.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Stock-Based Compensation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stock option activity:</w:t>
      </w:r>
    </w:p>
    <w:p>
      <w:pPr>
        <w:pStyle w:val="TextBody"/>
        <w:bidi w:val="0"/>
        <w:spacing w:before="0" w:after="0"/>
        <w:jc w:val="left"/>
        <w:rPr/>
      </w:pPr>
      <w:r>
        <w:rPr/>
      </w:r>
    </w:p>
    <w:tbl>
      <w:tblPr>
        <w:tblW w:w="8065" w:type="dxa"/>
        <w:jc w:val="left"/>
        <w:tblInd w:w="0" w:type="dxa"/>
        <w:tblLayout w:type="fixed"/>
        <w:tblCellMar>
          <w:top w:w="28" w:type="dxa"/>
          <w:left w:w="28" w:type="dxa"/>
          <w:bottom w:w="28" w:type="dxa"/>
          <w:right w:w="28" w:type="dxa"/>
        </w:tblCellMar>
      </w:tblPr>
      <w:tblGrid>
        <w:gridCol w:w="1097"/>
        <w:gridCol w:w="964"/>
        <w:gridCol w:w="969"/>
        <w:gridCol w:w="569"/>
        <w:gridCol w:w="569"/>
        <w:gridCol w:w="571"/>
        <w:gridCol w:w="109"/>
        <w:gridCol w:w="109"/>
        <w:gridCol w:w="109"/>
        <w:gridCol w:w="721"/>
        <w:gridCol w:w="1748"/>
        <w:gridCol w:w="530"/>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December 31, 2023</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13,315,796 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(126,000)</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(28,541)</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March 31, 2024</w:t>
            </w:r>
          </w:p>
        </w:tc>
        <w:tc>
          <w:tcPr>
            <w:tcW w:w="11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13,161,255 </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2021 Equity Incentive Plan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2021, the Company’s board of directors adopted the Company’s 2021 Equity Incentive Plan (the “2021 Plan”), which became effective in connection with the IPO. All equity-based awards granted on or after the effectiveness of the 2021 Plan are granted under the 2021 Plan. The 2021 Plan provides for grants of incentive stock options (“ISOs”) within the meaning of Section 422 of the Internal Revenue Code of 1986, as amended (the “Code”), to the Company’s employees and its parent and subsidiary corporations’ employees, and for the grant of nonstatutory stock options (“NSOs”), stock appreciation rights, restricted stock awards, restricted stock units (“RSUs”) awards, performance awards and other forms of awards to the Company’s employees, directors and consultants and any of its affiliates’ employees and consultants. Initially, the maximum number of shares of the Company’s common stock that may be issued under its 2021 Plan will not exceed 25,025,580 shares of the Company’s common stock. In addition, the number of shares of the Company’s common stock reserved for issuance under its 2021 Plan will automatically increase on January 1 of each year for a period of ten years, beginning on January 1, 2022 and continuing through January 1, 2031, in an amount equal to (1) 4% of the total number of shares of the Company’s common stock outstanding on December 31 of the immediately preceding year, or (2) a lesser number of shares determined by the Company’s board of directors prior to the date of the increase. On January 1, 2024, 3,825,379 additional shares were reserved for issuance pursuant to this provision. The maximum number of shares of the Company’s common stock that may be issued on the exercise of ISOs under its 2021 Plan is 75,100,000 shares.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RSU activity:</w:t>
      </w:r>
    </w:p>
    <w:tbl>
      <w:tblPr>
        <w:tblW w:w="10205" w:type="dxa"/>
        <w:jc w:val="left"/>
        <w:tblInd w:w="0" w:type="dxa"/>
        <w:tblLayout w:type="fixed"/>
        <w:tblCellMar>
          <w:top w:w="28" w:type="dxa"/>
          <w:left w:w="28" w:type="dxa"/>
          <w:bottom w:w="28" w:type="dxa"/>
          <w:right w:w="28" w:type="dxa"/>
        </w:tblCellMar>
      </w:tblPr>
      <w:tblGrid>
        <w:gridCol w:w="704"/>
        <w:gridCol w:w="619"/>
        <w:gridCol w:w="622"/>
        <w:gridCol w:w="593"/>
        <w:gridCol w:w="549"/>
        <w:gridCol w:w="550"/>
        <w:gridCol w:w="133"/>
        <w:gridCol w:w="133"/>
        <w:gridCol w:w="133"/>
        <w:gridCol w:w="830"/>
        <w:gridCol w:w="571"/>
        <w:gridCol w:w="573"/>
        <w:gridCol w:w="109"/>
        <w:gridCol w:w="109"/>
        <w:gridCol w:w="109"/>
        <w:gridCol w:w="502"/>
        <w:gridCol w:w="978"/>
        <w:gridCol w:w="170"/>
        <w:gridCol w:w="154"/>
        <w:gridCol w:w="154"/>
        <w:gridCol w:w="154"/>
        <w:gridCol w:w="523"/>
        <w:gridCol w:w="940"/>
        <w:gridCol w:w="293"/>
      </w:tblGrid>
      <w:tr>
        <w:trPr/>
        <w:tc>
          <w:tcPr>
            <w:tcW w:w="70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 Per Share</w:t>
            </w:r>
          </w:p>
        </w:tc>
      </w:tr>
      <w:tr>
        <w:trPr/>
        <w:tc>
          <w:tcPr>
            <w:tcW w:w="1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Non-Employee Directors</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Directors, Officers and Employees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Non-Employee Directors</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Directors, Officers and Employees</w:t>
            </w:r>
          </w:p>
        </w:tc>
      </w:tr>
      <w:tr>
        <w:trPr/>
        <w:tc>
          <w:tcPr>
            <w:tcW w:w="19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Unvested RSUs at December 31, 2023</w:t>
            </w:r>
          </w:p>
        </w:tc>
        <w:tc>
          <w:tcPr>
            <w:tcW w:w="11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957,199 </w:t>
            </w:r>
          </w:p>
        </w:tc>
        <w:tc>
          <w:tcPr>
            <w:tcW w:w="5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7,299,254 </w:t>
            </w:r>
          </w:p>
        </w:tc>
        <w:tc>
          <w:tcPr>
            <w:tcW w:w="5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r>
      <w:tr>
        <w:trPr/>
        <w:tc>
          <w:tcPr>
            <w:tcW w:w="1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60,626 </w:t>
            </w:r>
          </w:p>
        </w:tc>
        <w:tc>
          <w:tcPr>
            <w:tcW w:w="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4,616,500 </w:t>
            </w:r>
          </w:p>
        </w:tc>
        <w:tc>
          <w:tcPr>
            <w:tcW w:w="5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(15,156)</w:t>
            </w:r>
          </w:p>
        </w:tc>
        <w:tc>
          <w:tcPr>
            <w:tcW w:w="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(1,159,126)</w:t>
            </w:r>
          </w:p>
        </w:tc>
        <w:tc>
          <w:tcPr>
            <w:tcW w:w="5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(41,074)</w:t>
            </w:r>
          </w:p>
        </w:tc>
        <w:tc>
          <w:tcPr>
            <w:tcW w:w="5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Unvested RSUs at March 31, 2024</w:t>
            </w:r>
          </w:p>
        </w:tc>
        <w:tc>
          <w:tcPr>
            <w:tcW w:w="114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1,002,669 </w:t>
            </w:r>
          </w:p>
        </w:tc>
        <w:tc>
          <w:tcPr>
            <w:tcW w:w="5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10,715,554 </w:t>
            </w:r>
          </w:p>
        </w:tc>
        <w:tc>
          <w:tcPr>
            <w:tcW w:w="5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there was $30.5 million of unrecognized stock-based compensation expense related to unvested RSUs, which is expected to be recognized over a weighted-average period of 3.1 years.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2021 Employee Stock Purchase Plan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2021, the Company’s board of directors adopted the Company’s 2021 Employee Stock Purchase Plan (the “2021 ESPP”). The Company authorized the issuance of 1,175,000 shares of common stock under the 2021 ESPP. In addition, the number of shares available for issuance under the 2021 ESPP will be annually increased on January 1 of each year for a period of ten years, beginning on January 1, 2022 and continuing through January 1, 2031 by the lesser of (i) 1% of the total number of shares of common stock outstanding on December 31 of the immediately preceding year; and (ii) 3,525,000 shares, except before the date of any such increase, the Company’s board of directors may determine that such increase will be less than the amount set forth in clauses (i) and (ii). On January 1, 2024, 956,344 additional shares were reserved for issuance pursuant to this provision. Subject to any limitations contained therein, the 2021 ESPP allows eligible employees to contribute (in the form of payroll deductions or otherwise to the extent permitted by the administrator) an amount established by the administrator from time to time in its discretion to purchase common stock at a discounted price per share.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2021 ESPP, eligible employees are granted the right to purchase shares of common stock at the lower of 85% of the fair value at the time of grant or 85% of the fair value at the time of exercise. The right to purchase shares of common stock is granted in May and November of each year for an offering period of approximately six months. For the three months ended March 31, 2024, no shares were purchased under the 2021 ESPP. As of March 31, 2024, the Company had 3,712,738 remaining authorized shares available for purchase.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key input assumptions used in the Black-Scholes option-pricing model to estimate the grant-date fair value of the 2021 ESPP:</w:t>
      </w:r>
    </w:p>
    <w:p>
      <w:pPr>
        <w:pStyle w:val="TextBody"/>
        <w:bidi w:val="0"/>
        <w:spacing w:before="0" w:after="0"/>
        <w:jc w:val="left"/>
        <w:rPr/>
      </w:pPr>
      <w:r>
        <w:rPr/>
      </w:r>
    </w:p>
    <w:tbl>
      <w:tblPr>
        <w:tblW w:w="9009" w:type="dxa"/>
        <w:jc w:val="left"/>
        <w:tblInd w:w="0" w:type="dxa"/>
        <w:tblLayout w:type="fixed"/>
        <w:tblCellMar>
          <w:top w:w="28" w:type="dxa"/>
          <w:left w:w="28" w:type="dxa"/>
          <w:bottom w:w="28" w:type="dxa"/>
          <w:right w:w="28" w:type="dxa"/>
        </w:tblCellMar>
      </w:tblPr>
      <w:tblGrid>
        <w:gridCol w:w="1478"/>
        <w:gridCol w:w="1299"/>
        <w:gridCol w:w="1303"/>
        <w:gridCol w:w="615"/>
        <w:gridCol w:w="1490"/>
        <w:gridCol w:w="790"/>
        <w:gridCol w:w="317"/>
        <w:gridCol w:w="317"/>
        <w:gridCol w:w="317"/>
        <w:gridCol w:w="317"/>
        <w:gridCol w:w="317"/>
        <w:gridCol w:w="449"/>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color w:val="000000"/>
                <w:sz w:val="20"/>
              </w:rPr>
              <w:t xml:space="preserve">For the </w:t>
            </w:r>
            <w:r>
              <w:rPr>
                <w:rFonts w:ascii="Times New Roman;sans-serif" w:hAnsi="Times New Roman;sans-serif"/>
                <w:b/>
                <w:color w:val="000000"/>
                <w:sz w:val="22"/>
              </w:rPr>
              <w:t>three months ended March 31, 2024</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of options (in years)</w:t>
            </w:r>
          </w:p>
        </w:tc>
        <w:tc>
          <w:tcPr>
            <w:tcW w:w="49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stock price volatility</w:t>
            </w:r>
          </w:p>
        </w:tc>
        <w:tc>
          <w:tcPr>
            <w:tcW w:w="2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69.20 </w:t>
            </w:r>
          </w:p>
        </w:tc>
        <w:tc>
          <w:tcPr>
            <w:tcW w:w="79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86.19%</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2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79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5.43%</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4929"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grant-date fair value per share </w:t>
            </w:r>
          </w:p>
        </w:tc>
        <w:tc>
          <w:tcPr>
            <w:tcW w:w="6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7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$0.67</w:t>
            </w:r>
          </w:p>
        </w:tc>
      </w:tr>
    </w:tbl>
    <w:p>
      <w:pPr>
        <w:pStyle w:val="TextBody"/>
        <w:bidi w:val="0"/>
        <w:spacing w:before="0" w:after="0"/>
        <w:ind w:left="0" w:right="0" w:firstLine="720"/>
        <w:jc w:val="left"/>
        <w:rPr/>
      </w:pPr>
      <w:r>
        <w:rPr/>
      </w:r>
    </w:p>
    <w:p>
      <w:pPr>
        <w:pStyle w:val="TextBody"/>
        <w:bidi w:val="0"/>
        <w:spacing w:lineRule="auto" w:line="268" w:before="0" w:after="240"/>
        <w:jc w:val="both"/>
        <w:rPr>
          <w:rFonts w:ascii="Times New Roman;sans-serif" w:hAnsi="Times New Roman;sans-serif"/>
          <w:b/>
          <w:color w:val="000000"/>
          <w:sz w:val="20"/>
        </w:rPr>
      </w:pPr>
      <w:r>
        <w:rPr>
          <w:rFonts w:ascii="Times New Roman;sans-serif" w:hAnsi="Times New Roman;sans-serif"/>
          <w:b/>
          <w:color w:val="000000"/>
          <w:sz w:val="20"/>
        </w:rPr>
        <w:t>2023 Inducement Plan</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the Company's Compensation Committee adopted the 2023 Inducement Plan (the “Inducement Plan”). The Inducement Plan reserved 4,000,000 shares of the Company’s common stock for issuance under the Inducement Plan to individuals who satisfy the standards for inducement grants under the relevant Nasdaq Stock Market rules. As of March 31, 2024, there were 275,083 shares available for future grant under the Inducement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Stock-Based Compensation Expense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RSU awards, 2021 ESPP purchases and stock options, as applicable, are as follows:</w:t>
      </w:r>
    </w:p>
    <w:p>
      <w:pPr>
        <w:pStyle w:val="TextBody"/>
        <w:bidi w:val="0"/>
        <w:spacing w:before="0" w:after="0"/>
        <w:jc w:val="left"/>
        <w:rPr/>
      </w:pPr>
      <w:r>
        <w:rPr/>
      </w:r>
    </w:p>
    <w:tbl>
      <w:tblPr>
        <w:tblW w:w="7242" w:type="dxa"/>
        <w:jc w:val="left"/>
        <w:tblInd w:w="0" w:type="dxa"/>
        <w:tblLayout w:type="fixed"/>
        <w:tblCellMar>
          <w:top w:w="28" w:type="dxa"/>
          <w:left w:w="28" w:type="dxa"/>
          <w:bottom w:w="28" w:type="dxa"/>
          <w:right w:w="28" w:type="dxa"/>
        </w:tblCellMar>
      </w:tblPr>
      <w:tblGrid>
        <w:gridCol w:w="1248"/>
        <w:gridCol w:w="1098"/>
        <w:gridCol w:w="1103"/>
        <w:gridCol w:w="318"/>
        <w:gridCol w:w="928"/>
        <w:gridCol w:w="164"/>
        <w:gridCol w:w="164"/>
        <w:gridCol w:w="164"/>
        <w:gridCol w:w="164"/>
        <w:gridCol w:w="318"/>
        <w:gridCol w:w="928"/>
        <w:gridCol w:w="164"/>
        <w:gridCol w:w="109"/>
        <w:gridCol w:w="109"/>
        <w:gridCol w:w="109"/>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1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firstLine="35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9.     Net Income (Loss) per Share Attributable to Common Stockholders</w:t>
      </w:r>
    </w:p>
    <w:p>
      <w:pPr>
        <w:pStyle w:val="TextBody"/>
        <w:bidi w:val="0"/>
        <w:spacing w:before="0" w:after="0"/>
        <w:ind w:left="0" w:right="0" w:hanging="47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computes net income (loss) per share using the two-class method required for participating securities. The two-class method requires net income be allocated between common stock and participating securities based upon their respective rights to receive dividends as if all income for the period had been distributed. In periods where the Company has net losses, losses are not allocated to participating securities as they are not required to fund the losses. </w:t>
      </w:r>
    </w:p>
    <w:p>
      <w:pPr>
        <w:pStyle w:val="TextBody"/>
        <w:bidi w:val="0"/>
        <w:spacing w:before="0" w:after="0"/>
        <w:jc w:val="left"/>
        <w:rPr/>
      </w:pPr>
      <w:r>
        <w:rPr/>
      </w:r>
    </w:p>
    <w:p>
      <w:pPr>
        <w:pStyle w:val="TextBody"/>
        <w:bidi w:val="0"/>
        <w:spacing w:lineRule="auto" w:line="26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(loss) attributable to common stockholders per share is calculated by dividing net income (loss) attributable to common stockholders by the weighted-average number of shares of common stock outstanding. The Company computes diluted net income per share under a two-class method where income is reallocated between common stock, potential common stock and participating securities. Diluted net income (loss) per share attributable to common stockholders adjusts the basic net income (loss) per share attributable to common stockholders and the weighted-average number of shares of common stock outstanding for the potentially dilutive impact of stock options using the treasury stock method.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the Company’s basic and diluted net loss per share attributable to common stockholders:</w:t>
      </w:r>
    </w:p>
    <w:tbl>
      <w:tblPr>
        <w:tblW w:w="9929" w:type="dxa"/>
        <w:jc w:val="left"/>
        <w:tblInd w:w="0" w:type="dxa"/>
        <w:tblLayout w:type="fixed"/>
        <w:tblCellMar>
          <w:top w:w="28" w:type="dxa"/>
          <w:left w:w="28" w:type="dxa"/>
          <w:bottom w:w="28" w:type="dxa"/>
          <w:right w:w="28" w:type="dxa"/>
        </w:tblCellMar>
      </w:tblPr>
      <w:tblGrid>
        <w:gridCol w:w="2220"/>
        <w:gridCol w:w="1951"/>
        <w:gridCol w:w="1964"/>
        <w:gridCol w:w="285"/>
        <w:gridCol w:w="933"/>
        <w:gridCol w:w="147"/>
        <w:gridCol w:w="147"/>
        <w:gridCol w:w="147"/>
        <w:gridCol w:w="147"/>
        <w:gridCol w:w="285"/>
        <w:gridCol w:w="1075"/>
        <w:gridCol w:w="147"/>
        <w:gridCol w:w="109"/>
        <w:gridCol w:w="109"/>
        <w:gridCol w:w="109"/>
        <w:gridCol w:w="154"/>
      </w:tblGrid>
      <w:tr>
        <w:trPr/>
        <w:tc>
          <w:tcPr>
            <w:tcW w:w="2220"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for share and per share values)</w:t>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8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 - basic and diluted</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 basic and diluted</w:t>
            </w:r>
          </w:p>
        </w:tc>
        <w:tc>
          <w:tcPr>
            <w:tcW w:w="12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96,273,168 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93,106,075 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0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shareholders:</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potentially dilutive shares were excluded from the computation of diluted net income (loss) per share because including them would have been antidilutive: </w:t>
      </w:r>
    </w:p>
    <w:tbl>
      <w:tblPr>
        <w:tblW w:w="8102" w:type="dxa"/>
        <w:jc w:val="left"/>
        <w:tblInd w:w="0" w:type="dxa"/>
        <w:tblLayout w:type="fixed"/>
        <w:tblCellMar>
          <w:top w:w="28" w:type="dxa"/>
          <w:left w:w="28" w:type="dxa"/>
          <w:bottom w:w="28" w:type="dxa"/>
          <w:right w:w="28" w:type="dxa"/>
        </w:tblCellMar>
      </w:tblPr>
      <w:tblGrid>
        <w:gridCol w:w="1247"/>
        <w:gridCol w:w="1099"/>
        <w:gridCol w:w="1103"/>
        <w:gridCol w:w="798"/>
        <w:gridCol w:w="368"/>
        <w:gridCol w:w="368"/>
        <w:gridCol w:w="368"/>
        <w:gridCol w:w="368"/>
        <w:gridCol w:w="368"/>
        <w:gridCol w:w="798"/>
        <w:gridCol w:w="368"/>
        <w:gridCol w:w="368"/>
        <w:gridCol w:w="109"/>
        <w:gridCol w:w="109"/>
        <w:gridCol w:w="109"/>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to purchase common stock</w:t>
            </w:r>
          </w:p>
        </w:tc>
        <w:tc>
          <w:tcPr>
            <w:tcW w:w="11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13,161,255 </w:t>
            </w:r>
          </w:p>
        </w:tc>
        <w:tc>
          <w:tcPr>
            <w:tcW w:w="3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14,784,486 </w:t>
            </w:r>
          </w:p>
        </w:tc>
        <w:tc>
          <w:tcPr>
            <w:tcW w:w="3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w:t>
            </w:r>
          </w:p>
        </w:tc>
        <w:tc>
          <w:tcPr>
            <w:tcW w:w="11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11,718,223 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7,603,414 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1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71,142 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39,157 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24,950,620 </w:t>
            </w:r>
          </w:p>
        </w:tc>
        <w:tc>
          <w:tcPr>
            <w:tcW w:w="3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22,427,057 </w:t>
            </w:r>
          </w:p>
        </w:tc>
        <w:tc>
          <w:tcPr>
            <w:tcW w:w="3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quarterly provisions for income taxes, the Company uses the annual estimated effective tax rate applied to the actual year-to-date loss, adjusted for discrete items arising in that quarter. The Company’s annual estimated effective tax rate differs from the U.S. federal statutory rate of 21% primarily as a result of a valuation allowance against net deferred tax assets, stock-based compensation, state taxes, nondeductible executive compensation and other permanent differences.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evaluated the available positive and negative evidence supporting the realization of its gross deferred tax assets, including cumulative losses, and the amount and timing of future taxable income, and has determined it is more likely than not that the assets will not be realized. Accordingly, the Company has recorded a full valuation allowance against the U.S. federal and state deferred tax assets as of each balance sheet date presented.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and 2023, the Company has not recorded any uncertain tax positions and has not recognized interest or penalties in the condensed consolidated statements of comprehensive loss.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11.     Related Party Transactions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2020, the Company engaged Summit House Studios LLC, a third-party consultant, to provide digital ad production services. Summit House Studios LLC is owned by a major shareholder of the Company. Based on services provided, the Company did not incur any advertising costs for this related party during the three months ended March 31, 2024 and incurred an immaterial amount in the three months ended March 31, 2023, which is reported as marketing expense in the Company’s condensed consolidated statements of comprehensive loss.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2022, the Company engaged, Vault Co., a third-party consultant, to develop and deliver an ongoing brand tracker for the Company. Vault Co. is owned by a major shareholder of the Company. Based on services provided, the Company did not incur any advertising costs for this related party during the three months ended March 31, 2024 and incurred an immaterial amount in the three months ended March 31, 2023, which is reported as marketing expense in the Company’s condensed consolidated statements of comprehensive loss.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12.    Leases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lease portfolio includes both real estate and non-real estate type leases which are accounted for as either finance or operating leases. Real estate leases generally include office and warehouse facilities and non-real estate leases generally include office equipment and machinery. The Company determines if a contract is or contains a lease at inception. The Company’s leases have remaining lease terms of less than one to 6.5 years.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 (in thousands):</w:t>
      </w:r>
    </w:p>
    <w:tbl>
      <w:tblPr>
        <w:tblW w:w="6042" w:type="dxa"/>
        <w:jc w:val="left"/>
        <w:tblInd w:w="0" w:type="dxa"/>
        <w:tblLayout w:type="fixed"/>
        <w:tblCellMar>
          <w:top w:w="28" w:type="dxa"/>
          <w:left w:w="28" w:type="dxa"/>
          <w:bottom w:w="28" w:type="dxa"/>
          <w:right w:w="28" w:type="dxa"/>
        </w:tblCellMar>
      </w:tblPr>
      <w:tblGrid>
        <w:gridCol w:w="815"/>
        <w:gridCol w:w="714"/>
        <w:gridCol w:w="720"/>
        <w:gridCol w:w="318"/>
        <w:gridCol w:w="928"/>
        <w:gridCol w:w="164"/>
        <w:gridCol w:w="164"/>
        <w:gridCol w:w="164"/>
        <w:gridCol w:w="164"/>
        <w:gridCol w:w="318"/>
        <w:gridCol w:w="928"/>
        <w:gridCol w:w="164"/>
        <w:gridCol w:w="109"/>
        <w:gridCol w:w="109"/>
        <w:gridCol w:w="109"/>
        <w:gridCol w:w="154"/>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expense:</w:t>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31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Operating lease expense</w:t>
            </w:r>
            <w:r>
              <w:rPr>
                <w:rFonts w:ascii="Times New Roman;sans-serif" w:hAnsi="Times New Roman;sans-serif"/>
                <w:b w:val="false"/>
                <w:color w:val="000000"/>
                <w:sz w:val="13"/>
              </w:rPr>
              <w:t>(1)</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 net</w:t>
            </w:r>
          </w:p>
        </w:tc>
        <w:tc>
          <w:tcPr>
            <w:tcW w:w="3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w:t>
      </w:r>
    </w:p>
    <w:p>
      <w:pPr>
        <w:pStyle w:val="TextBody"/>
        <w:bidi w:val="0"/>
        <w:spacing w:before="0" w:after="0"/>
        <w:jc w:val="left"/>
        <w:rPr/>
      </w:pPr>
      <w:r>
        <w:rPr/>
      </w:r>
    </w:p>
    <w:p>
      <w:pPr>
        <w:pStyle w:val="TextBody"/>
        <w:bidi w:val="0"/>
        <w:spacing w:lineRule="auto" w:line="288" w:before="1" w:after="1"/>
        <w:ind w:left="0" w:right="0" w:hanging="720"/>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(1)     Represents the straight-line lease expense of operating leases, inclusive of amortization of ROU assets and the interest component of operating lease liabilities.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nature of the Right-Of-Use (“ROU”) assets, amortization of finance leases and amortization of operating ROU assets, operating lease expense and other lease expense are recorded within either cost of revenue or selling, general and administrative expenses and interest on finance lease liabilities is recorded within interest and other expense, net in the condensed consolidated statements of comprehensive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amount of lease assets and lease liabilities included in the Company’s condensed consolidated balance sheets (in thousands):</w:t>
      </w:r>
    </w:p>
    <w:p>
      <w:pPr>
        <w:pStyle w:val="TextBody"/>
        <w:bidi w:val="0"/>
        <w:spacing w:before="0" w:after="0"/>
        <w:ind w:left="0" w:right="0" w:firstLine="720"/>
        <w:jc w:val="left"/>
        <w:rPr/>
      </w:pPr>
      <w:r>
        <w:rPr/>
      </w:r>
    </w:p>
    <w:tbl>
      <w:tblPr>
        <w:tblW w:w="8346" w:type="dxa"/>
        <w:jc w:val="left"/>
        <w:tblInd w:w="0" w:type="dxa"/>
        <w:tblLayout w:type="fixed"/>
        <w:tblCellMar>
          <w:top w:w="28" w:type="dxa"/>
          <w:left w:w="28" w:type="dxa"/>
          <w:bottom w:w="28" w:type="dxa"/>
          <w:right w:w="28" w:type="dxa"/>
        </w:tblCellMar>
      </w:tblPr>
      <w:tblGrid>
        <w:gridCol w:w="794"/>
        <w:gridCol w:w="702"/>
        <w:gridCol w:w="708"/>
        <w:gridCol w:w="109"/>
        <w:gridCol w:w="109"/>
        <w:gridCol w:w="109"/>
        <w:gridCol w:w="1333"/>
        <w:gridCol w:w="1333"/>
        <w:gridCol w:w="1338"/>
        <w:gridCol w:w="109"/>
        <w:gridCol w:w="109"/>
        <w:gridCol w:w="109"/>
        <w:gridCol w:w="288"/>
        <w:gridCol w:w="986"/>
        <w:gridCol w:w="210"/>
      </w:tblGrid>
      <w:tr>
        <w:trPr/>
        <w:tc>
          <w:tcPr>
            <w:tcW w:w="79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2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22,090 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22,098 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8,212 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19,642 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27,867 </w:t>
            </w:r>
          </w:p>
        </w:tc>
        <w:tc>
          <w:tcPr>
            <w:tcW w:w="2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information related to the Company’s leases for the three months ended March 31, 2024 was as follows:</w:t>
      </w:r>
    </w:p>
    <w:p>
      <w:pPr>
        <w:pStyle w:val="TextBody"/>
        <w:bidi w:val="0"/>
        <w:spacing w:before="0" w:after="0"/>
        <w:ind w:left="0" w:right="0" w:firstLine="720"/>
        <w:jc w:val="left"/>
        <w:rPr/>
      </w:pPr>
      <w:r>
        <w:rPr/>
      </w:r>
    </w:p>
    <w:tbl>
      <w:tblPr>
        <w:tblW w:w="8358" w:type="dxa"/>
        <w:jc w:val="left"/>
        <w:tblInd w:w="0" w:type="dxa"/>
        <w:tblLayout w:type="fixed"/>
        <w:tblCellMar>
          <w:top w:w="28" w:type="dxa"/>
          <w:left w:w="28" w:type="dxa"/>
          <w:bottom w:w="28" w:type="dxa"/>
          <w:right w:w="28" w:type="dxa"/>
        </w:tblCellMar>
      </w:tblPr>
      <w:tblGrid>
        <w:gridCol w:w="2614"/>
        <w:gridCol w:w="2296"/>
        <w:gridCol w:w="2305"/>
        <w:gridCol w:w="211"/>
        <w:gridCol w:w="616"/>
        <w:gridCol w:w="316"/>
      </w:tblGrid>
      <w:tr>
        <w:trPr/>
        <w:tc>
          <w:tcPr>
            <w:tcW w:w="2614"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 (in years)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Finance leases</w:t>
            </w:r>
          </w:p>
        </w:tc>
        <w:tc>
          <w:tcPr>
            <w:tcW w:w="114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Operating leases</w:t>
            </w:r>
          </w:p>
        </w:tc>
        <w:tc>
          <w:tcPr>
            <w:tcW w:w="114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3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paid for amounts included in the measurement of lease liabilities (in thousands)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Operating cash flows used in operating leases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Finance cash flows used in finance leases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any non-cash ROU assets obtained in exchange for lease liabilities during the three months ended March 31, 2024 for either finance or operating leases.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13.     Restructuring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Transformation Initiative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the Company executed a broad-based Transformation Initiative designed to build the Honest brand and drive growth in higher-margin areas of the portfolio, strengthen the Company’s cost structure, drive focus on the most productive areas of the Company's business, deliver greater impact from brand-building investments, and improve executional excellence across the enterprise. The restructuring element of the Transformation Initiative was substantially completed by December 31, 2023.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the Company did not incur any restructuring costs.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accrued expenses as of March 31, 2024 relating to the Transformation Initiative were: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634"/>
        <w:gridCol w:w="557"/>
        <w:gridCol w:w="559"/>
        <w:gridCol w:w="514"/>
        <w:gridCol w:w="1136"/>
        <w:gridCol w:w="266"/>
        <w:gridCol w:w="109"/>
        <w:gridCol w:w="109"/>
        <w:gridCol w:w="109"/>
        <w:gridCol w:w="416"/>
        <w:gridCol w:w="801"/>
        <w:gridCol w:w="216"/>
        <w:gridCol w:w="109"/>
        <w:gridCol w:w="109"/>
        <w:gridCol w:w="109"/>
        <w:gridCol w:w="453"/>
        <w:gridCol w:w="874"/>
        <w:gridCol w:w="235"/>
        <w:gridCol w:w="109"/>
        <w:gridCol w:w="109"/>
        <w:gridCol w:w="109"/>
        <w:gridCol w:w="281"/>
        <w:gridCol w:w="821"/>
        <w:gridCol w:w="146"/>
        <w:gridCol w:w="109"/>
        <w:gridCol w:w="109"/>
        <w:gridCol w:w="109"/>
        <w:gridCol w:w="211"/>
        <w:gridCol w:w="616"/>
        <w:gridCol w:w="161"/>
      </w:tblGrid>
      <w:tr>
        <w:trPr/>
        <w:tc>
          <w:tcPr>
            <w:tcW w:w="63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Restructuring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Employee-Related Costs</w:t>
            </w:r>
            <w:r>
              <w:rPr>
                <w:rFonts w:ascii="Times New Roman;sans-serif" w:hAnsi="Times New Roman;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Asset-Related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Contract Terminations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Inventory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5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(adjustments)</w:t>
            </w:r>
          </w:p>
        </w:tc>
        <w:tc>
          <w:tcPr>
            <w:tcW w:w="191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19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asset write-offs</w:t>
            </w:r>
          </w:p>
        </w:tc>
        <w:tc>
          <w:tcPr>
            <w:tcW w:w="191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5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(1) Included in accrued expenses as of March 31, 2024. Refer to Note 6, "Accrued Expenses" included elsewhere in these condensed consolidated financial statements.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costs associated with the restructuring initiatives once the relevant accounting criteria have been met. Accrued restructuring costs of $0.3 million related to severance costs as of March 31, 2024 are expected to result in cash expenditures funded from cash provided by operations in future periods and is included in accrued expenses on the condensed consolidated balance sheets.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14.     Subsequent Events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April 9, 2024 the Company issued a press release on Form 8-K announcing that the Company's Founder Jessica Warren has departed from her role as Chief Creative Officer. Ms. Warren will remain on the board of directors.</w:t>
      </w:r>
    </w:p>
    <w:p>
      <w:pPr>
        <w:pStyle w:val="TextBody"/>
        <w:bidi w:val="0"/>
        <w:spacing w:before="1" w:after="1"/>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2023 (the “Annual Report”), filed with the Securities and Exchange Commission (“SEC”) on March 8, 2024.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as well as in the Annual Report for a discussion of important factors that could cause our actual results to differ materially from those anticipated in these forward-looking statements. Unless the context otherwise requires, all references in this Quarterly Report on Form 10-Q to “we,” “us,” “our,” “our company,” “the Company” and “Honest” refer to The Honest Company, Inc. and its consolidated subsidiaries. </w:t>
      </w:r>
    </w:p>
    <w:p>
      <w:pPr>
        <w:pStyle w:val="TextBody"/>
        <w:bidi w:val="0"/>
        <w:spacing w:before="0" w:after="0"/>
        <w:jc w:val="left"/>
        <w:rPr/>
      </w:pPr>
      <w:r>
        <w:rPr/>
      </w:r>
    </w:p>
    <w:p>
      <w:pPr>
        <w:pStyle w:val="TextBody"/>
        <w:bidi w:val="0"/>
        <w:spacing w:lineRule="auto" w:line="268" w:before="1" w:after="1"/>
        <w:jc w:val="left"/>
        <w:rPr/>
      </w:pPr>
      <w:r>
        <w:rPr>
          <w:color w:val="000000"/>
        </w:rPr>
        <w:t> </w:t>
      </w:r>
      <w:r>
        <w:rPr>
          <w:rFonts w:ascii="Times New Roman;sans-serif" w:hAnsi="Times New Roman;sans-serif"/>
          <w:b/>
          <w:color w:val="000000"/>
          <w:sz w:val="20"/>
        </w:rPr>
        <w:t xml:space="preserve">Overview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Honest Company, Inc. (“Honest” and, together with its consolidated subsidiaries, the “Company,” “we,” “us” and “our”) is a personal care company dedicated to creating clean- and sustainably-designed products. Our commitment to our core values, continual innovation and engaging our community has differentiated and elevated our brand and our products. Since our launch in 2012, we have been dedicated to developing clean, sustainable, effective and thoughtfully-designed products. By doing so with transparency, we have cultivated deep trust around what matters most to our consumers: their health, their families and their homes. We are an omnichannel brand, ensuring our products are available wherever our consumers shop. Our differentiated platform positions us for continued growth through our trusted brand, award-winning multi-product offerings and omnichannel accessibility.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integrated multi-category product architecture is intentionally designed to serve our consumers every day, at every age and through every life stage, no matter where they are on their journey. We believe this drives loyalty, increases our consumer wallet share and generates attractive consumer lifetime value.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consumers are modern, aspirational, conscious and style-forward and that they seek out high quality, effective and thoughtfully-designed products. We believe that they are passionate about living a conscious life and are enthusiastic ambassadors for brands they trust. As purpose-driven consumers, they transcend any one demographic, spanning gender, age, geography, ethnicity and household income. Honest consumers are often young, mobile-centric and digitally-inclined. We build relationships with these consumers through a disruptive digital marketing strategy that engages them with “snackable” digital content (short-form, easily digestible content), immerses them in our brand values, and inspires them to join the Honest community. Our direct connection with our community enables us to understand what consumers’ needs are and inspires our product innovation pipeline, generating a significant competitive advantage over more traditional consumer packaged goods (“CPG”) peers.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omnichannel approach seeks to meet consumers wherever they want to shop, balancing deep consumer connection with broad convenience and accessibility. Since our launch, we have built a well-integrated omnichannel presence by expanding our product accessibility, including the launch of strategic partnerships with Target, Amazon and Walmart in 2014, 2017 and 2022, respectively. We maintain direct relationships with our consumers via our flagship digital platform, Honest.com, which allows us to influence brand experience and better understand consumer preferences and behavior. We increase accessibility of our products to more consumers through both the third-party pureplay ecommerce sites, Honest.com and leading retailers and their websites. As of March 31, 2024, our products can be found in approximately 49,000 retail locations across the United States and Canada. The decline in retail locations compared to December 31, 2023 relates to the exit of our low-margin business in Europe and Asia and a few smaller retail customer bankruptcies. Our integrated omnichannel presence provides meaningful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benefits to our consumers which we believe are not easily replicated by our competitors. This distinctive business model has allowed us to efficiently scale our business while remaining agnostic as to the channel where consumers purchase our products. </w:t>
      </w:r>
    </w:p>
    <w:p>
      <w:pPr>
        <w:pStyle w:val="TextBody"/>
        <w:bidi w:val="0"/>
        <w:spacing w:before="1" w:after="1"/>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Transformation Initiative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2023, we executed a broad-based Transformation Initiative designed to build the Honest brand and drive growth in higher-margin areas of the portfolio, strengthen our cost structure, drive focus on the most productive areas of our business, deliver greater impact from brand-building investments, and improve executional excellence across the enterprise. The restructuring element of the Transformation Initiative was substantially completed by December 31, 2023. The Company expects to continue driving benefits from its three Transformation Pillars of Brand Maximization, Margin Enhancement, and Operating Discipline:</w:t>
      </w:r>
    </w:p>
    <w:p>
      <w:pPr>
        <w:pStyle w:val="TextBody"/>
        <w:bidi w:val="0"/>
        <w:spacing w:before="0" w:after="0"/>
        <w:jc w:val="left"/>
        <w:rPr/>
      </w:pPr>
      <w:r>
        <w:rPr/>
      </w:r>
    </w:p>
    <w:p>
      <w:pPr>
        <w:pStyle w:val="TextBody"/>
        <w:bidi w:val="0"/>
        <w:spacing w:lineRule="auto" w:line="26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 Brand Maximization</w:t>
      </w:r>
    </w:p>
    <w:p>
      <w:pPr>
        <w:pStyle w:val="TextBody"/>
        <w:bidi w:val="0"/>
        <w:spacing w:before="0" w:after="0"/>
        <w:ind w:left="0" w:right="0" w:hanging="27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Leveraging the strength of the Honest brand to drive growth through innovation, margin-accretive products, and marketing effectiveness.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impact of additional pricing increases across the majority of our product portfolio throughout 2023, following pricing increases in 2022 that resulted in revenue growth driven by both volume and pricing.</w:t>
      </w:r>
    </w:p>
    <w:p>
      <w:pPr>
        <w:pStyle w:val="TextBody"/>
        <w:bidi w:val="0"/>
        <w:spacing w:before="0" w:after="0"/>
        <w:ind w:left="0" w:right="0" w:hanging="270"/>
        <w:jc w:val="left"/>
        <w:rPr/>
      </w:pPr>
      <w:r>
        <w:rPr/>
      </w:r>
    </w:p>
    <w:p>
      <w:pPr>
        <w:pStyle w:val="TextBody"/>
        <w:bidi w:val="0"/>
        <w:spacing w:lineRule="auto" w:line="26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2) Margin Enhancement</w:t>
      </w:r>
    </w:p>
    <w:p>
      <w:pPr>
        <w:pStyle w:val="TextBody"/>
        <w:bidi w:val="0"/>
        <w:spacing w:before="0" w:after="0"/>
        <w:ind w:left="0" w:right="0" w:hanging="27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Focusing our resources on North America, which includes the exit of our low-margin business in Europe and Asia.</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Exiting low-margin elements of the cleaning and sanitization business in 2023.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Executing an inventory, or stock-keeping unit (“SKU”), rationalization program in 2023.</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Re-directing resources to accelerate cost savings, including optimization of our contract manufacturing strategies, reduced shipping and logistic costs, and product costs.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Realigning resources to reflect the prioritization of higher-margin opportunities.</w:t>
      </w:r>
    </w:p>
    <w:p>
      <w:pPr>
        <w:pStyle w:val="TextBody"/>
        <w:bidi w:val="0"/>
        <w:spacing w:before="0" w:after="0"/>
        <w:ind w:left="0" w:right="0" w:hanging="270"/>
        <w:jc w:val="left"/>
        <w:rPr/>
      </w:pPr>
      <w:r>
        <w:rPr/>
      </w:r>
    </w:p>
    <w:p>
      <w:pPr>
        <w:pStyle w:val="TextBody"/>
        <w:bidi w:val="0"/>
        <w:spacing w:lineRule="auto" w:line="26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3) Operating Discipline</w:t>
      </w:r>
    </w:p>
    <w:p>
      <w:pPr>
        <w:pStyle w:val="TextBody"/>
        <w:bidi w:val="0"/>
        <w:spacing w:before="0" w:after="0"/>
        <w:ind w:left="0" w:right="0" w:hanging="27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Building a culture that emphasizes returns across growth drivers, including marketing, trade promotion, and innovation.</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Managing working capital including the reduction of inventory.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further details on the restructuring element of the Transformation Initiative, refer to Note 13, “Restructing” included in these condensed consolidated financial statements.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growth of our business and our future success are dependent on many factors. While each of these factors presents significant opportunities for us, they also pose important challenges that we must successfully address to enable us to sustain the growth of our business and improve our operations while staying true to our mission, including those discussed below and in the section titled “Risk Factors” in this Quarterly Report on Form 10-Q and in our Annual Report.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Ability to Grow Our Brand Awareness</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brand is integral to the growth of our business and is essential to our ability to engage and stay connected with the growing clean products consumer. In order to increase the share of wallet of existing conscious consumers and to attract new consumers, our brand has to maintain its trustworthiness and authenticity. Our ability to attract new consumers will depend, among other things, on our ability to successfully produce products that are free of defects and communicate the value of those products as clean, sustainable and effective, the efficacy of our marketing efforts and the offerings of our competitors. Beyond preserving the integrity of our brand, our performance will depend on our ability to augment our reach and increase the number of consumers aware of Honest and our product portfolio. As part of the Transformation Pillars, we have been focused on Brand Maximization, including improving the return on marketing by reducing marketing spend on low-return campaigns and emphasizing best-selling items, focusing on the most profitable areas of our business. We believe our brand strength will enable us to continue to launch new products, allowing us to deepen relationships with consumers. Our performance depends significantly on factors that may affect the level and pattern of consumer spending in the product categories in which we operate.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Continued Innovation</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development and innovation are core elements underpinning our growth strategy. Through our in-house research and development laboratories, we are able to access the latest advancements in clean ingredients and continue to innovate in the clean conscious space. Based in Los Angeles, California, our research and development team, including chemists, an in-house toxicologist and an eco-toxicologist, develops innovative clean products based on the latest green technology. At Honest, product innovation never stops. The improvement of existing products and the introduction of new products have been,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continue to be, integral to our growth. We have made significant investments in our product development capabilities and plan to continue to do so in the future. We believe our rigorous approach to product innovation has helped redefine and grow the clean and natural product categories in which we operate. Our continued focus on research and development will be central to attracting and retaining consumers in the future. Our ability to successfully develop, market and sell new products will depend on a variety of factors, including our continued investment in innovation, integrated business planning processes and capabilities.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Continued Product Growth</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mix is a driver of our financial performance given our focus on accretive product launches and innovation to increase product margins. Even though our growth strategy aims to boost sales across all products, we intend to prioritize growth in products with attractive margin characteristics, including skin care, and leverage our brand equity and consumer insights to extend into new products. We are also committed to bringing our Honest Standard to new products where we believe there is a need for a higher standard for clean personal care.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Continued Execution of Omnichannel Strategy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continued execution of our omnichannel strategy impacts our financial performance. We intend to continue leveraging our marketing strategy to drive increased consumer awareness and leverage our flagship digital platform, Honest.com, to create direct connections with our consumers, influence brand experience and understand consumer preference and behavior. Our partnerships with leading third-party retail platforms and national retailers have broadened our consumer reach, raised our brand awareness and enhanced our margins through operating leverage. We will continue to pursue partnerships with a wide variety of retailers, including mass retailers, online retailers, club retailers, grocery stores, drugstores and specialty retailers. Our ability to execute this strategy will depend on a number of factors, such as competitive dynamics and retailers’ satisfaction with the sales and profitability of our products, channel shifts of their customers, and their own supply chain, order timing, and inventory needs, which may fluctuate from period to period. </w:t>
      </w:r>
    </w:p>
    <w:p>
      <w:pPr>
        <w:pStyle w:val="TextBody"/>
        <w:bidi w:val="0"/>
        <w:spacing w:before="0" w:after="0"/>
        <w:ind w:left="0" w:right="0" w:firstLine="720"/>
        <w:jc w:val="left"/>
        <w:rPr/>
      </w:pPr>
      <w:r>
        <w:rPr/>
      </w:r>
    </w:p>
    <w:p>
      <w:pPr>
        <w:pStyle w:val="TextBody"/>
        <w:bidi w:val="0"/>
        <w:spacing w:lineRule="auto" w:line="268" w:before="0" w:after="0"/>
        <w:jc w:val="left"/>
        <w:rPr/>
      </w:pPr>
      <w:r>
        <w:rPr>
          <w:rFonts w:ascii="Times New Roman;sans-serif" w:hAnsi="Times New Roman;sans-serif"/>
          <w:b/>
          <w:i/>
          <w:color w:val="000000"/>
          <w:sz w:val="20"/>
        </w:rPr>
        <w:t>Operational and Marketing Efficienc</w:t>
      </w:r>
      <w:r>
        <w:rPr>
          <w:rFonts w:ascii="Times New Roman;sans-serif" w:hAnsi="Times New Roman;sans-serif"/>
          <w:b/>
          <w:color w:val="000000"/>
          <w:sz w:val="20"/>
        </w:rPr>
        <w:t>y</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grow our business, we intend to continue to improve our operational and marketing efficiency, which includes attracting new consumers, increasing community engagement and improving fulfillment and distribution operations. We invest significant resources in marketing and content generation, use a variety of brand and performance marketing channels and work continuously to improve brand exposure at our retail customers to acquire new consumers. It is important to maintain reasonable costs for these marketing efforts relative to the revenue we expect to derive from our consumers. We leverage our proprietary data and systems to generate valuable consumer insights that guide our omnichannel strategy and inform our marketing spend optimization. Our future success depends in part on our ability to effectively attract consumers on a cost-efficient basis and achieve efficiencies in our operations. In addition, we believe we have been able to achieve some operational and marketing efficiency as part of cost savings in connection with our Brand Maximization Transformation Pillar.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marketing model is inclusive of a best-in-class modern approach across paid, owned, and earned marketing channels. Additionally, we have optimized our spend in an omnichannel distribution model, which has led to spending less media driving directly to Honest.com and investing more driving to our retailer and other digital partners.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Overall Macro Trends</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strategically positioned ourselves to benefit from several macro trends related to changes in consumer behavior. We believe consumers’ increasing interest in purpose-designed products has contributed to higher demand for certain of our products. At the same time, changes in macro-level consumer spending trends, including as a result of global pandemics or other macroeconomic conditions, such as inflation, have resulted and could in the future result in fluctuations in our operating results.</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val="false"/>
          <w:i/>
          <w:color w:val="000000"/>
          <w:sz w:val="20"/>
        </w:rPr>
      </w:pPr>
      <w:r>
        <w:rPr>
          <w:rFonts w:ascii="Times New Roman;sans-serif" w:hAnsi="Times New Roman;sans-serif"/>
          <w:b w:val="false"/>
          <w:i/>
          <w:color w:val="000000"/>
          <w:sz w:val="20"/>
        </w:rPr>
        <w:t>Business Operations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Global economic and political uncertainty have increased due to the impact of continued inflationary pressures, adverse impact on confidence in financial markets and geopolitical events, including the conflict in Ukraine and the Israel-Hamas war. Additionally, the extent of the impact of macroeconomic trends on the Company’s operational and financial performance in the future will depend on future developments. Prolonged unfavorable economic conditions, including as a result of global pandemics, rising inflation and interest rates and any resulting recession or slowed economic growth, have had and may continue to have an adverse effect on our sales and profitability. All of these factors are difficult to predict considering the rapidly evolving landscape as the Company continues to expect a variable operating environment going forward.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Supply Chain Disruptions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been and continues to be an adverse impact on global economic conditions, specifically inflationary pressures, which has adversely affected our supply chain in regards to cost of goods sold. We have experienced and anticipate continued increases in product costs and labor costs due to inflationary pressures and higher transportation costs from ocean container delivery, which has in the past and could continue to hamper our ability to drive margin expansion. We have taken measures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bolster key aspects of our supply chain, such as ensuring sufficient inventory to support our continued growth, minimizing lead times for raw materials, and implementing a robust cost-savings program, as part of our Operating Discipline Transformation Pillar. We expect to continue to receive fulfillment costs savings due to warehouse and labor operational efficiencies gained with our newer Las Vegas, Nevada fulfillment center partner. If we are not successful in negotiating future renewals with our other fulfillment partner such that these renewals are at increased costs to us, our business, financial condition, results of operations and prospects could be adversely affected. In January 2024, we negotiated better purchase price terms with one of our third-party manufacturers, Ontex. However, we had experienced purchase price increases from our third-party manufacturers in the past and could face escalation of purchase costs and cost of revenue in the future.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implemented price increases that took effect in 2022 and 2023 and we may implement additional price increases in the future as needed to offset current and future input cost inflation and to pursue productivity initiatives to offset inflation. However, we may not be able to increase our prices or productivity sufficiently enough to offset these costs. Customer demand for our products may change based on price increases.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Consumer Preferences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in the power of our omni-channel distribution model. We believe consumers value the flexibility in terms of where and when they choose to purchase Honest products. We also believe that consumers recognize the quality of Honest products, knowing that there are over 3,500 chemicals and materials that we choose not to formulate with.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Inventory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is reflected at net realizable value which includes a reserve for excess inventory. We estimate reserve requirements based on current and forecasted demand, including the ability to liquidate excess inventory and estimated liquidation value. As a part of the Transformation Initiative, we exited certain low-margin household products and implemented an inventory, or SKU rationalization, program in 2023, which resulted in our recording an inventory write-down and earmarking donations mainly related to the liquidation of low-margin household products. We continue to incur inventory write-downs each quarter, as necessary. Depending on future consumer behavior in relation to the macroeconomic environment or otherwise and related aging of inventory, among other factors, we expect to incur in the future additional inventory write-downs, customer returns or incur donation expense or disposal costs as we reduce excess inventory.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Inflation Reduction Act of 2022</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16, 2022, President Biden signed into law the Inflation Reduction Act of 2022 (the “Act”), which contains provisions that became effective on January 1, 2023, including a 15% corporate minimum tax and a 1% excise tax on stock buybacks. We do not currently expect any material changes on our consolidated financial position, results of operations and cash flows as a result of the Act.</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color w:val="000000"/>
          <w:sz w:val="20"/>
        </w:rPr>
      </w:pPr>
      <w:r>
        <w:rPr>
          <w:rFonts w:ascii="Times New Roman;sans-serif" w:hAnsi="Times New Roman;sans-serif"/>
          <w:b/>
          <w:color w:val="000000"/>
          <w:sz w:val="20"/>
        </w:rPr>
        <w:t xml:space="preserve">Components of Results of Operations </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revenue through sales of our products directly to consumers through our website, sales to traditional brick and mortar retailers and their respective websites, and sales to third-party ecommerce customers, and such retailers or third-party ecommerce customers may also resell our products through their own respective online platforms. Our revenue is recognized net of allowances for returns, discounts, credits and any taxes collected from consumers.</w:t>
      </w:r>
    </w:p>
    <w:p>
      <w:pPr>
        <w:pStyle w:val="TextBody"/>
        <w:bidi w:val="0"/>
        <w:spacing w:before="1" w:after="1"/>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We had previously presented our revenue by sales channel of Digital and Retail and by product category of Diapers and Wipes, Skin and Personal Care and Household and Wellness. In determining the appropriate categories to use to disaggregate revenue in accordance with the requirements of Accounting Standards Codification Topic 606,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 xml:space="preserve">we had considered the information regularly reviewed by our chief operating decision maker (“CODM”) for evaluating our financial performance and making resource allocation decisions and the guidance to disaggregate revenue from contracts with customers into categories that depict how the nature, amount, timing, and uncertainty of revenue and cash flows are affected by economic factors. In 2023, we executed a broad-based Transformation Initiative with Brand Maximization as one of the Pillars designed to leverage the strength of the Honest brand. As part of our strategy to build the Honest brand, our CODM is now evaluating our financial performance and making resource allocation decisions across our products as one brand of a portfolio of multiple products. As a result, in the first quarter of 2024, we decided to remove the disaggregation of revenue by product category to align with changes made to our long-term strategy. We are now disaggregating revenue by direct-to-consumer and retail and third-party ecommerce customers. The change had no effect on our results of operations or timing of revenue recognition.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includes the purchase price of merchandise sold to customers, inbound and outbound shipping and handling costs, freight and duties, shipping and packaging supplies, credit card processing fees and warehouse fulfillment costs incurred in operating and staffing warehouses, including rent. Cost of revenue also includes depreciation and amortization for warehouse fulfillment facilities and equipment, allocated overhead and direct and indirect labor for warehouse personnel, inventory reserves and destruction costs. </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Gross Profit and Gross Margin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represents revenue less cost of revenue. Gross margin is gross profit expressed as a percentage of revenue. Our gross margin may in the future fluctuate from period to period based on a number of factors, including commodity costs, manufacturing costs, warehousing and transportation rates, the promotional environment in the marketplace, the mix of products we sell, the channel through which we sell our products, and innovation initiatives we undertake in each product category, among other factors. </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expenses consist of selling, general and administrative, marketing and research and development expenses. </w:t>
      </w:r>
    </w:p>
    <w:p>
      <w:pPr>
        <w:pStyle w:val="TextBody"/>
        <w:bidi w:val="0"/>
        <w:spacing w:before="0" w:after="0"/>
        <w:ind w:left="0" w:right="0" w:firstLine="72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Selling, General and Administrative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primarily of personnel costs, principally for our selling and administrative functions. These include personnel-related expenses, including salaries, bonuses, benefits and stock-based compensation expenses. Selling, general and administrative expenses also include technology expenses; professional fees, including audit and legal expenses; donation expenses including tariffs; facility costs, including insurance, utilities and rent relating to our headquarters; third-party service fees related to our supplier services agreement for Honest Baby Clothing, our baby apparel business; and, depreciation and amortization expenses. We expect our general and administrative expenses to decrease as a percentage of revenue as we continue to grow our business and organizational capabilities and efficiencies. We expect in the future to incur additional third-party professional fees related to compliance obligations as a public company. </w:t>
      </w:r>
    </w:p>
    <w:p>
      <w:pPr>
        <w:pStyle w:val="TextBody"/>
        <w:bidi w:val="0"/>
        <w:spacing w:before="0" w:after="0"/>
        <w:ind w:left="0" w:right="0" w:firstLine="72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Marketing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Marketing expenses include costs related to our branding initiatives, retail customer marketing activities, point of purchase displays, targeted online advertising through sponsored search, display advertising, email and influencer marketing campaigns, market research, content production and other public relations and promotional initiatives. Given higher costs in digital marketing and increased retail distribution, we have shifted the focus of our marketing spend towards supporting retail marketing programs and top of funnel marketing activities. We will continue to invest in marketing initiatives in our best-selling products with key retailers, as well as expand brand awareness, introduce new product innovation across multiple product categories and implement new marketing strategies. As we launch new products, we expect to make marketing investments to build brand awareness, drive trial and set the foundation for future revenue growth.</w:t>
      </w:r>
    </w:p>
    <w:p>
      <w:pPr>
        <w:pStyle w:val="TextBody"/>
        <w:bidi w:val="0"/>
        <w:spacing w:before="0" w:after="0"/>
        <w:ind w:left="0" w:right="0" w:firstLine="27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Research and development expenses consist primarily of personnel-related expenses for our research and development team. Research and development expenses also include costs incurred for the development of new products, improvement in the quality of existing</w:t>
      </w:r>
      <w:r>
        <w:rPr>
          <w:color w:val="000000"/>
        </w:rPr>
        <w:t xml:space="preserve"> </w:t>
      </w:r>
      <w:r>
        <w:rPr>
          <w:rFonts w:ascii="Times New Roman;sans-serif" w:hAnsi="Times New Roman;sans-serif"/>
          <w:b w:val="false"/>
          <w:color w:val="000000"/>
          <w:sz w:val="20"/>
        </w:rPr>
        <w:t xml:space="preserve">products and the development and implementation of new technologies to enhance the quality and value of products. This includes the expense related to claims and clinical trials as well as formulation and packaging testing. Research and development expenses also include allocated depreciation and amortization and overhead costs. We expect research and development expenses to increase in absolute dollars as we invest in the enhancement of our product offerings through innovation and the introduction of new adjacent product categories. </w:t>
      </w:r>
    </w:p>
    <w:p>
      <w:pPr>
        <w:pStyle w:val="TextBody"/>
        <w:bidi w:val="0"/>
        <w:spacing w:before="0" w:after="0"/>
        <w:ind w:left="0" w:right="0" w:firstLine="27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and Other Income (Expense), Net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consists primarily of interest income earned on our short-term investments and our cash and cash equivalents balances. Interest expense includes fees incurred under our 2023 Credit Facility, including commitment fees and debt issuance costs.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consists of our foreign currency exchange gains, losses relating to transactions denominated in currencies other than the U.S. dollar and contingent gains. We expect our foreign currency gains and losses to be immaterial in future periods but continue to fluctuate due to changes in both the volume of foreign currency transactions and foreign currency exchange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450"/>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 Provision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federal and state income taxes in the United States. Our annual estimated tax rate differed from the U.S. federal statutory rate of 21% primarily as a result of a valuation allowance against deferred tax assets, stock-based compensation, state taxes, nondeductible executive compensation and other permanent differences. We maintain a full valuation allowance for our federal and state deferred tax assets, including net operating loss carryforwards, as we have concluded that it is not more likely than not that the deferred tax assets will be realized. </w:t>
      </w:r>
    </w:p>
    <w:p>
      <w:pPr>
        <w:pStyle w:val="TextBody"/>
        <w:bidi w:val="0"/>
        <w:spacing w:lineRule="auto" w:line="268" w:before="270" w:after="283"/>
        <w:jc w:val="left"/>
        <w:rPr>
          <w:color w:val="000000"/>
        </w:rPr>
      </w:pPr>
      <w:r>
        <w:rPr>
          <w:color w:val="000000"/>
        </w:rPr>
        <w:t> </w:t>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our condensed consolidated statements of operations data for each of the periods indicated: </w:t>
      </w:r>
    </w:p>
    <w:tbl>
      <w:tblPr>
        <w:tblW w:w="7136" w:type="dxa"/>
        <w:jc w:val="left"/>
        <w:tblInd w:w="0" w:type="dxa"/>
        <w:tblLayout w:type="fixed"/>
        <w:tblCellMar>
          <w:top w:w="28" w:type="dxa"/>
          <w:left w:w="28" w:type="dxa"/>
          <w:bottom w:w="28" w:type="dxa"/>
          <w:right w:w="28" w:type="dxa"/>
        </w:tblCellMar>
      </w:tblPr>
      <w:tblGrid>
        <w:gridCol w:w="1211"/>
        <w:gridCol w:w="1064"/>
        <w:gridCol w:w="1069"/>
        <w:gridCol w:w="281"/>
        <w:gridCol w:w="962"/>
        <w:gridCol w:w="145"/>
        <w:gridCol w:w="145"/>
        <w:gridCol w:w="145"/>
        <w:gridCol w:w="145"/>
        <w:gridCol w:w="281"/>
        <w:gridCol w:w="1062"/>
        <w:gridCol w:w="145"/>
        <w:gridCol w:w="109"/>
        <w:gridCol w:w="109"/>
        <w:gridCol w:w="109"/>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3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8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86,217 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2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2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31,882 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20,202 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Selling, general and administrative</w:t>
            </w:r>
            <w:r>
              <w:rPr>
                <w:rFonts w:ascii="Times New Roman;sans-serif" w:hAnsi="Times New Roman;sans-serif"/>
                <w:b w:val="false"/>
                <w:color w:val="000000"/>
                <w:sz w:val="13"/>
              </w:rPr>
              <w:t>(1)</w:t>
            </w:r>
          </w:p>
        </w:tc>
        <w:tc>
          <w:tcPr>
            <w:tcW w:w="12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25,817 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12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124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12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2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33,197 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38,860 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2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(18,658)</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2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2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(18,847)</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2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ans-serif" w:hAnsi="Times New Roman;sans-serif"/>
          <w:b w:val="false"/>
          <w:color w:val="000000"/>
          <w:sz w:val="13"/>
        </w:rPr>
      </w:pPr>
      <w:r>
        <w:rPr>
          <w:rFonts w:ascii="Times New Roman;sans-serif" w:hAnsi="Times New Roman;sans-serif"/>
          <w:b w:val="false"/>
          <w:color w:val="000000"/>
          <w:sz w:val="13"/>
        </w:rPr>
        <w:t>__________________________</w:t>
      </w:r>
    </w:p>
    <w:p>
      <w:pPr>
        <w:pStyle w:val="TextBody"/>
        <w:bidi w:val="0"/>
        <w:spacing w:lineRule="auto" w:line="268" w:before="1" w:after="1"/>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 xml:space="preserve">Includes stock-based compensation expense as follows: </w:t>
      </w:r>
    </w:p>
    <w:tbl>
      <w:tblPr>
        <w:tblW w:w="6793" w:type="dxa"/>
        <w:jc w:val="left"/>
        <w:tblInd w:w="0" w:type="dxa"/>
        <w:tblLayout w:type="fixed"/>
        <w:tblCellMar>
          <w:top w:w="28" w:type="dxa"/>
          <w:left w:w="28" w:type="dxa"/>
          <w:bottom w:w="28" w:type="dxa"/>
          <w:right w:w="28" w:type="dxa"/>
        </w:tblCellMar>
      </w:tblPr>
      <w:tblGrid>
        <w:gridCol w:w="1085"/>
        <w:gridCol w:w="955"/>
        <w:gridCol w:w="960"/>
        <w:gridCol w:w="318"/>
        <w:gridCol w:w="928"/>
        <w:gridCol w:w="164"/>
        <w:gridCol w:w="164"/>
        <w:gridCol w:w="164"/>
        <w:gridCol w:w="164"/>
        <w:gridCol w:w="318"/>
        <w:gridCol w:w="928"/>
        <w:gridCol w:w="164"/>
        <w:gridCol w:w="109"/>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w:t>
            </w:r>
          </w:p>
        </w:tc>
        <w:tc>
          <w:tcPr>
            <w:tcW w:w="31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condensed consolidated statements of operations data expressed as a percentage of revenue*:</w:t>
      </w:r>
    </w:p>
    <w:tbl>
      <w:tblPr>
        <w:tblW w:w="7464" w:type="dxa"/>
        <w:jc w:val="left"/>
        <w:tblInd w:w="0" w:type="dxa"/>
        <w:tblLayout w:type="fixed"/>
        <w:tblCellMar>
          <w:top w:w="28" w:type="dxa"/>
          <w:left w:w="28" w:type="dxa"/>
          <w:bottom w:w="28" w:type="dxa"/>
          <w:right w:w="28" w:type="dxa"/>
        </w:tblCellMar>
      </w:tblPr>
      <w:tblGrid>
        <w:gridCol w:w="1209"/>
        <w:gridCol w:w="1064"/>
        <w:gridCol w:w="1071"/>
        <w:gridCol w:w="368"/>
        <w:gridCol w:w="368"/>
        <w:gridCol w:w="368"/>
        <w:gridCol w:w="368"/>
        <w:gridCol w:w="368"/>
        <w:gridCol w:w="368"/>
        <w:gridCol w:w="368"/>
        <w:gridCol w:w="368"/>
        <w:gridCol w:w="368"/>
        <w:gridCol w:w="109"/>
        <w:gridCol w:w="109"/>
        <w:gridCol w:w="109"/>
        <w:gridCol w:w="109"/>
        <w:gridCol w:w="109"/>
        <w:gridCol w:w="109"/>
        <w:gridCol w:w="154"/>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a percentage of revenue)</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w:t>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0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before="1" w:after="1"/>
        <w:jc w:val="left"/>
        <w:rPr/>
      </w:pPr>
      <w:r>
        <w:rPr/>
      </w:r>
    </w:p>
    <w:p>
      <w:pPr>
        <w:pStyle w:val="TextBody"/>
        <w:bidi w:val="0"/>
        <w:spacing w:lineRule="auto" w:line="268" w:before="0" w:after="0"/>
        <w:jc w:val="left"/>
        <w:rPr/>
      </w:pPr>
      <w:r>
        <w:rPr>
          <w:rFonts w:ascii="Times New Roman;sans-serif" w:hAnsi="Times New Roman;sans-serif"/>
          <w:b w:val="false"/>
          <w:color w:val="231F20"/>
          <w:sz w:val="13"/>
        </w:rPr>
        <w:t>*</w:t>
      </w:r>
      <w:r>
        <w:rPr>
          <w:color w:val="231F20"/>
        </w:rPr>
        <w:t xml:space="preserve"> </w:t>
      </w:r>
      <w:r>
        <w:rPr>
          <w:rFonts w:ascii="Times New Roman;sans-serif" w:hAnsi="Times New Roman;sans-serif"/>
          <w:b w:val="false"/>
          <w:color w:val="231F20"/>
          <w:sz w:val="13"/>
        </w:rPr>
        <w:t>Amounts</w:t>
      </w:r>
      <w:r>
        <w:rPr>
          <w:color w:val="231F20"/>
        </w:rPr>
        <w:t xml:space="preserve"> </w:t>
      </w:r>
      <w:r>
        <w:rPr>
          <w:rFonts w:ascii="Times New Roman;sans-serif" w:hAnsi="Times New Roman;sans-serif"/>
          <w:b w:val="false"/>
          <w:color w:val="231F20"/>
          <w:sz w:val="13"/>
        </w:rPr>
        <w:t>may</w:t>
      </w:r>
      <w:r>
        <w:rPr>
          <w:color w:val="231F20"/>
        </w:rPr>
        <w:t xml:space="preserve"> </w:t>
      </w:r>
      <w:r>
        <w:rPr>
          <w:rFonts w:ascii="Times New Roman;sans-serif" w:hAnsi="Times New Roman;sans-serif"/>
          <w:b w:val="false"/>
          <w:color w:val="231F20"/>
          <w:sz w:val="13"/>
        </w:rPr>
        <w:t>not sum</w:t>
      </w:r>
      <w:r>
        <w:rPr>
          <w:color w:val="231F20"/>
        </w:rPr>
        <w:t xml:space="preserve"> </w:t>
      </w:r>
      <w:r>
        <w:rPr>
          <w:rFonts w:ascii="Times New Roman;sans-serif" w:hAnsi="Times New Roman;sans-serif"/>
          <w:b w:val="false"/>
          <w:color w:val="231F20"/>
          <w:sz w:val="13"/>
        </w:rPr>
        <w:t>due to rounding.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Comparison of the Three Months Ended March 31, 2024 and 2023 </w:t>
      </w:r>
    </w:p>
    <w:p>
      <w:pPr>
        <w:pStyle w:val="TextBody"/>
        <w:bidi w:val="0"/>
        <w:spacing w:lineRule="auto" w:line="26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tbl>
      <w:tblPr>
        <w:tblW w:w="8121" w:type="dxa"/>
        <w:jc w:val="left"/>
        <w:tblInd w:w="0" w:type="dxa"/>
        <w:tblLayout w:type="fixed"/>
        <w:tblCellMar>
          <w:top w:w="28" w:type="dxa"/>
          <w:left w:w="28" w:type="dxa"/>
          <w:bottom w:w="28" w:type="dxa"/>
          <w:right w:w="28" w:type="dxa"/>
        </w:tblCellMar>
      </w:tblPr>
      <w:tblGrid>
        <w:gridCol w:w="304"/>
        <w:gridCol w:w="268"/>
        <w:gridCol w:w="269"/>
        <w:gridCol w:w="448"/>
        <w:gridCol w:w="1533"/>
        <w:gridCol w:w="231"/>
        <w:gridCol w:w="109"/>
        <w:gridCol w:w="109"/>
        <w:gridCol w:w="109"/>
        <w:gridCol w:w="211"/>
        <w:gridCol w:w="721"/>
        <w:gridCol w:w="109"/>
        <w:gridCol w:w="109"/>
        <w:gridCol w:w="109"/>
        <w:gridCol w:w="109"/>
        <w:gridCol w:w="285"/>
        <w:gridCol w:w="285"/>
        <w:gridCol w:w="286"/>
        <w:gridCol w:w="109"/>
        <w:gridCol w:w="109"/>
        <w:gridCol w:w="109"/>
        <w:gridCol w:w="315"/>
        <w:gridCol w:w="315"/>
        <w:gridCol w:w="316"/>
        <w:gridCol w:w="109"/>
        <w:gridCol w:w="109"/>
        <w:gridCol w:w="109"/>
        <w:gridCol w:w="109"/>
        <w:gridCol w:w="109"/>
        <w:gridCol w:w="109"/>
        <w:gridCol w:w="109"/>
        <w:gridCol w:w="109"/>
        <w:gridCol w:w="109"/>
        <w:gridCol w:w="109"/>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6"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44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86,217 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was $86.2 million for the three months ended March 31, 2024, as compared to $83.4 million for the three months ended March 31, 2023. The increase of $2.8 million, or 3.4%, was primarily due to an increase in baby apparel revenue of $5.4 million and an increase in wipes revenue of $1.6 million due to distribution gains and strong velocities, partially offset by a decline in diaper revenue of $3.1 million and a decline of $1.1 million in color cosmetics revenue due to timing of shipments to customers. We estimate that pricing increases taken in 2022 and 2023 contributed $3.3 million to revenue for the three months ended March 31, 2024.</w:t>
      </w:r>
    </w:p>
    <w:p>
      <w:pPr>
        <w:pStyle w:val="TextBody"/>
        <w:bidi w:val="0"/>
        <w:spacing w:before="0" w:after="0"/>
        <w:ind w:left="0" w:right="0" w:firstLine="72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Cost of Revenue and Gross Profit</w:t>
      </w:r>
    </w:p>
    <w:tbl>
      <w:tblPr>
        <w:tblW w:w="7849" w:type="dxa"/>
        <w:jc w:val="left"/>
        <w:tblInd w:w="0" w:type="dxa"/>
        <w:tblLayout w:type="fixed"/>
        <w:tblCellMar>
          <w:top w:w="28" w:type="dxa"/>
          <w:left w:w="28" w:type="dxa"/>
          <w:bottom w:w="28" w:type="dxa"/>
          <w:right w:w="28" w:type="dxa"/>
        </w:tblCellMar>
      </w:tblPr>
      <w:tblGrid>
        <w:gridCol w:w="504"/>
        <w:gridCol w:w="444"/>
        <w:gridCol w:w="446"/>
        <w:gridCol w:w="225"/>
        <w:gridCol w:w="770"/>
        <w:gridCol w:w="116"/>
        <w:gridCol w:w="116"/>
        <w:gridCol w:w="116"/>
        <w:gridCol w:w="116"/>
        <w:gridCol w:w="225"/>
        <w:gridCol w:w="770"/>
        <w:gridCol w:w="116"/>
        <w:gridCol w:w="109"/>
        <w:gridCol w:w="109"/>
        <w:gridCol w:w="109"/>
        <w:gridCol w:w="211"/>
        <w:gridCol w:w="721"/>
        <w:gridCol w:w="109"/>
        <w:gridCol w:w="109"/>
        <w:gridCol w:w="109"/>
        <w:gridCol w:w="109"/>
        <w:gridCol w:w="315"/>
        <w:gridCol w:w="315"/>
        <w:gridCol w:w="316"/>
        <w:gridCol w:w="109"/>
        <w:gridCol w:w="109"/>
        <w:gridCol w:w="109"/>
        <w:gridCol w:w="109"/>
        <w:gridCol w:w="109"/>
        <w:gridCol w:w="109"/>
        <w:gridCol w:w="109"/>
        <w:gridCol w:w="109"/>
        <w:gridCol w:w="109"/>
        <w:gridCol w:w="109"/>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4"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2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2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was $54.3 million for the three months ended March 31, 2024, as compared to $63.2 million for the three months ended March 31, 2023. The decrease of $8.9 million, or 14.0%, was primarily driven by lower transportation, product, and fulfillment costs and a one-time reduction of $2.6 million in costs as a result of the Transformation Initiative recognized during the three months ended March 31, 2023. Cost of revenue as a percentage of revenue decreased by 1,275 basis points primarily due to price increases and costs savings.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Gross profit was $31.9 million for the three months ended March 31, 2024, as compared to $20.2 million for the three months ended March 31, 2023. The increase of $11.7 million</w:t>
      </w:r>
      <w:r>
        <w:rPr>
          <w:rFonts w:ascii="Times New Roman;sans-serif" w:hAnsi="Times New Roman;sans-serif"/>
          <w:b w:val="false"/>
          <w:color w:val="000000"/>
          <w:sz w:val="22"/>
        </w:rPr>
        <w:t xml:space="preserve">, or </w:t>
      </w:r>
      <w:r>
        <w:rPr>
          <w:rFonts w:ascii="Times New Roman;sans-serif" w:hAnsi="Times New Roman;sans-serif"/>
          <w:b w:val="false"/>
          <w:color w:val="000000"/>
          <w:sz w:val="20"/>
        </w:rPr>
        <w:t>57.8</w:t>
      </w:r>
      <w:r>
        <w:rPr>
          <w:rFonts w:ascii="Times New Roman;sans-serif" w:hAnsi="Times New Roman;sans-serif"/>
          <w:b w:val="false"/>
          <w:color w:val="000000"/>
          <w:sz w:val="22"/>
        </w:rPr>
        <w:t xml:space="preserve">%, </w:t>
      </w:r>
      <w:r>
        <w:rPr>
          <w:rFonts w:ascii="Times New Roman;sans-serif" w:hAnsi="Times New Roman;sans-serif"/>
          <w:b w:val="false"/>
          <w:color w:val="000000"/>
          <w:sz w:val="20"/>
        </w:rPr>
        <w:t xml:space="preserve">was primarily related to reduced transportation, price increases, efficient trade spending, product and fulfillment costs.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Selling, General and Administrative Expenses </w:t>
      </w:r>
    </w:p>
    <w:tbl>
      <w:tblPr>
        <w:tblW w:w="9380" w:type="dxa"/>
        <w:jc w:val="left"/>
        <w:tblInd w:w="0" w:type="dxa"/>
        <w:tblLayout w:type="fixed"/>
        <w:tblCellMar>
          <w:top w:w="28" w:type="dxa"/>
          <w:left w:w="28" w:type="dxa"/>
          <w:bottom w:w="28" w:type="dxa"/>
          <w:right w:w="28" w:type="dxa"/>
        </w:tblCellMar>
      </w:tblPr>
      <w:tblGrid>
        <w:gridCol w:w="1071"/>
        <w:gridCol w:w="941"/>
        <w:gridCol w:w="943"/>
        <w:gridCol w:w="225"/>
        <w:gridCol w:w="770"/>
        <w:gridCol w:w="116"/>
        <w:gridCol w:w="116"/>
        <w:gridCol w:w="116"/>
        <w:gridCol w:w="116"/>
        <w:gridCol w:w="225"/>
        <w:gridCol w:w="770"/>
        <w:gridCol w:w="116"/>
        <w:gridCol w:w="109"/>
        <w:gridCol w:w="109"/>
        <w:gridCol w:w="109"/>
        <w:gridCol w:w="211"/>
        <w:gridCol w:w="691"/>
        <w:gridCol w:w="109"/>
        <w:gridCol w:w="109"/>
        <w:gridCol w:w="109"/>
        <w:gridCol w:w="109"/>
        <w:gridCol w:w="315"/>
        <w:gridCol w:w="315"/>
        <w:gridCol w:w="316"/>
        <w:gridCol w:w="109"/>
        <w:gridCol w:w="109"/>
        <w:gridCol w:w="109"/>
        <w:gridCol w:w="109"/>
        <w:gridCol w:w="109"/>
        <w:gridCol w:w="109"/>
        <w:gridCol w:w="109"/>
        <w:gridCol w:w="109"/>
        <w:gridCol w:w="109"/>
        <w:gridCol w:w="109"/>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2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were $22.4 million for the three months ended March 31, 2024, as compared to $25.8 million for the three months ended March 31, 2023. The decrease of $3.4 million, or 13.2%, was primarily due to a $2.3 million decrease in donations expense primarily related to our SKU rationalization under the Transformation Initiative, $1.3 million decrease in stock-based compensation expense, $1.3 million decrease in CEO transition costs incurred during the three months ended March 31, 2023, and $0.7 million decrease in advanced shipping vendor violation charges related to the implementation of our new order management system, partially offset by a $1.1 million increase in service fees related to baby apparel and $0.9 million increase in employee-related expenses. Selling, general and administrative expenses as a percentage of revenue decreased 5.0% as compared to the three months ended March 31, 2023.</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Marketing Expenses </w:t>
      </w:r>
    </w:p>
    <w:tbl>
      <w:tblPr>
        <w:tblW w:w="7389" w:type="dxa"/>
        <w:jc w:val="left"/>
        <w:tblInd w:w="0" w:type="dxa"/>
        <w:tblLayout w:type="fixed"/>
        <w:tblCellMar>
          <w:top w:w="28" w:type="dxa"/>
          <w:left w:w="28" w:type="dxa"/>
          <w:bottom w:w="28" w:type="dxa"/>
          <w:right w:w="28" w:type="dxa"/>
        </w:tblCellMar>
      </w:tblPr>
      <w:tblGrid>
        <w:gridCol w:w="353"/>
        <w:gridCol w:w="311"/>
        <w:gridCol w:w="312"/>
        <w:gridCol w:w="234"/>
        <w:gridCol w:w="684"/>
        <w:gridCol w:w="121"/>
        <w:gridCol w:w="121"/>
        <w:gridCol w:w="121"/>
        <w:gridCol w:w="121"/>
        <w:gridCol w:w="234"/>
        <w:gridCol w:w="801"/>
        <w:gridCol w:w="121"/>
        <w:gridCol w:w="109"/>
        <w:gridCol w:w="109"/>
        <w:gridCol w:w="109"/>
        <w:gridCol w:w="211"/>
        <w:gridCol w:w="691"/>
        <w:gridCol w:w="109"/>
        <w:gridCol w:w="109"/>
        <w:gridCol w:w="109"/>
        <w:gridCol w:w="109"/>
        <w:gridCol w:w="315"/>
        <w:gridCol w:w="315"/>
        <w:gridCol w:w="316"/>
        <w:gridCol w:w="109"/>
        <w:gridCol w:w="109"/>
        <w:gridCol w:w="109"/>
        <w:gridCol w:w="109"/>
        <w:gridCol w:w="109"/>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4"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bookmarkStart w:id="0" w:name="i24fc0c7932f1480c807dab39b3f3d77c_112556"/>
      <w:bookmarkEnd w:id="0"/>
      <w:r>
        <w:rPr>
          <w:rFonts w:ascii="Times New Roman;sans-serif" w:hAnsi="Times New Roman;sans-serif"/>
          <w:b w:val="false"/>
          <w:color w:val="000000"/>
          <w:sz w:val="20"/>
        </w:rPr>
        <w:t>Marketing expenses were $9.1 million for the three months ended March 31, 2024, as compared to $10.2 million for the three months ended March 31, 2023. The decrease of $1.1 million, or 11.1%, was primarily due to a $0.9 million reduction in retail marketing and a $0.6 million reduction in digital brand advertising, partially offset by a $0.5 million increase in marketing to support new distribution at a key digital retailer. Marketing expenses as a percentage of revenue decreased 1.7% as compared to the three months ended March 31, 2023.</w:t>
      </w:r>
    </w:p>
    <w:p>
      <w:pPr>
        <w:pStyle w:val="TextBody"/>
        <w:bidi w:val="0"/>
        <w:spacing w:before="0" w:after="0"/>
        <w:ind w:left="0" w:right="0" w:firstLine="720"/>
        <w:jc w:val="left"/>
        <w:rPr/>
      </w:pPr>
      <w:r>
        <w:rPr/>
      </w:r>
    </w:p>
    <w:p>
      <w:pPr>
        <w:pStyle w:val="TextBody"/>
        <w:bidi w:val="0"/>
        <w:spacing w:lineRule="auto" w:line="288" w:before="1" w:after="1"/>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Expenses </w:t>
      </w:r>
    </w:p>
    <w:tbl>
      <w:tblPr>
        <w:tblW w:w="8551" w:type="dxa"/>
        <w:jc w:val="left"/>
        <w:tblInd w:w="0" w:type="dxa"/>
        <w:tblLayout w:type="fixed"/>
        <w:tblCellMar>
          <w:top w:w="28" w:type="dxa"/>
          <w:left w:w="28" w:type="dxa"/>
          <w:bottom w:w="28" w:type="dxa"/>
          <w:right w:w="28" w:type="dxa"/>
        </w:tblCellMar>
      </w:tblPr>
      <w:tblGrid>
        <w:gridCol w:w="837"/>
        <w:gridCol w:w="734"/>
        <w:gridCol w:w="738"/>
        <w:gridCol w:w="244"/>
        <w:gridCol w:w="712"/>
        <w:gridCol w:w="126"/>
        <w:gridCol w:w="126"/>
        <w:gridCol w:w="126"/>
        <w:gridCol w:w="126"/>
        <w:gridCol w:w="244"/>
        <w:gridCol w:w="712"/>
        <w:gridCol w:w="126"/>
        <w:gridCol w:w="109"/>
        <w:gridCol w:w="109"/>
        <w:gridCol w:w="109"/>
        <w:gridCol w:w="229"/>
        <w:gridCol w:w="507"/>
        <w:gridCol w:w="120"/>
        <w:gridCol w:w="109"/>
        <w:gridCol w:w="109"/>
        <w:gridCol w:w="109"/>
        <w:gridCol w:w="315"/>
        <w:gridCol w:w="315"/>
        <w:gridCol w:w="316"/>
        <w:gridCol w:w="109"/>
        <w:gridCol w:w="109"/>
        <w:gridCol w:w="109"/>
        <w:gridCol w:w="109"/>
        <w:gridCol w:w="109"/>
        <w:gridCol w:w="109"/>
        <w:gridCol w:w="109"/>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1"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4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were $1.7 million for the three months ended March 31, 2024, as compared to $1.5 million for the three months ended March 31, 2023. The increase of $0.2 million, or 15.2%, was primarily related to an increase in research and development spend in claims testing, pilot trials and certifications, consistent with our focus on continued innovation. Research and development expenses as a percentage of revenue increased 0.2% as compared to the three months ended March 31, 2023.</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and Other Income (Expense), Net </w:t>
      </w:r>
    </w:p>
    <w:tbl>
      <w:tblPr>
        <w:tblW w:w="8322" w:type="dxa"/>
        <w:jc w:val="left"/>
        <w:tblInd w:w="0" w:type="dxa"/>
        <w:tblLayout w:type="fixed"/>
        <w:tblCellMar>
          <w:top w:w="28" w:type="dxa"/>
          <w:left w:w="28" w:type="dxa"/>
          <w:bottom w:w="28" w:type="dxa"/>
          <w:right w:w="28" w:type="dxa"/>
        </w:tblCellMar>
      </w:tblPr>
      <w:tblGrid>
        <w:gridCol w:w="1210"/>
        <w:gridCol w:w="1065"/>
        <w:gridCol w:w="1069"/>
        <w:gridCol w:w="274"/>
        <w:gridCol w:w="567"/>
        <w:gridCol w:w="141"/>
        <w:gridCol w:w="141"/>
        <w:gridCol w:w="141"/>
        <w:gridCol w:w="141"/>
        <w:gridCol w:w="274"/>
        <w:gridCol w:w="704"/>
        <w:gridCol w:w="141"/>
        <w:gridCol w:w="118"/>
        <w:gridCol w:w="118"/>
        <w:gridCol w:w="118"/>
        <w:gridCol w:w="229"/>
        <w:gridCol w:w="507"/>
        <w:gridCol w:w="120"/>
        <w:gridCol w:w="109"/>
        <w:gridCol w:w="109"/>
        <w:gridCol w:w="109"/>
        <w:gridCol w:w="109"/>
        <w:gridCol w:w="109"/>
        <w:gridCol w:w="109"/>
        <w:gridCol w:w="109"/>
        <w:gridCol w:w="109"/>
        <w:gridCol w:w="109"/>
        <w:gridCol w:w="109"/>
        <w:gridCol w:w="154"/>
      </w:tblGrid>
      <w:tr>
        <w:trPr/>
        <w:tc>
          <w:tcPr>
            <w:tcW w:w="121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8"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27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2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2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other income (expense), net was net expense of $63 thousand for the three months ended March 31, 2024, as compared to net expense of $189 thousand for the three months ended March 31, 2023. </w:t>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1"/>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1"/>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we had $33.6 million of cash and cash equivalents. Although we are dependent on our ability to generate sufficient cash flow from operations or raise capital to achieve our business objectives, we believe our existing cash and cash equivalents together with cash generated from operations will be sufficient to meet our short-term projected operations for the next 12 months from the date of issuance of our unaudited condensed consolidated financial statements. We will need to generate sufficient cash from operations or raise additional capital to meet our long-term working capital and capital expenditure needs. We also have availability under our 2023 Credit Facility, which was not drawn as of March 31, 2024.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2023 Credit Facility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we entered into a first lien credit agreement (the “2023 Credit Facility”), with JPMorgan Chase Bank, N.A., as administrative agent and lender, and the other lenders party thereto, which provides for a $35.0 million revolving credit facility that matures on April 30, 2026. The 2023 Credit Facility includes a sub-facility that provides for the issuance of letters of credit in an amount of up to $15.0 million at any time outstanding. Availability of the 2023 Credit Facility is based upon a borrowing base formula and periodic borrowing base certifications valuing certain of our accounts receivable and inventory as reduced by an availability block and certain reserves. The 2023 Credit Facility includes an uncommitted accordion feature that allows for increases in the revolving commitment to as much as an additional $35.0 million, for up to $70.0 million in potential revolving commitment. The 2023 Credit Facility is subject to customary fees for loan facilities of this type, including a commitment fee based on the average daily undrawn portion of the 2023 Credit Facility. We recognize the commitment fee as incurred in interest and other income (expense), net in the condensed consolidated statements of comprehensive loss. For the three months ended March 31, 2024, the commitment fee incurred was immaterial. As of March 31, 2024, there were $3.7 million of outstanding letters of credit and $17.7 million available to be drawn upon. As of March 31, 2024, there was no outstanding balance under the 2023 Credit Facility.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interest rate applicable to the 2023 Credit Facility is, at our option, either (a) the Adjusted Term SOFR rate (subject to a 0.00% floor), plus a margin ranging from 1.50% to 2.25% or (b) the CB floating rate, (i) plus a margin of 0.25% or (ii) minus a margin ranging from 0.25% to 0.50%. The margin is based upon our fixed charge coverage ratio. The CB floating rate is the higher of (a) the Wall Street Journal prime rate and (b) 2.50%.</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2023 Credit Facility will terminate and borrowings thereunder, if any, would be due in full on April 30, 2026. Debt under the 2023 Credit Facility is guaranteed by substantially all of our material domestic subsidiaries and is secured by substantially all of our and such subsidiaries’ assets.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2023 Credit Facility contains covenants that restrict, among other things, our ability to sell assets, make investments and acquisitions, grant liens, change our lines of business, pay dividends and make certain other restricted payments. We are subject to certain affirmative and negative covenants including the requirement that we maintain a minimum total fixed charge coverage ratio during the periods set forth in the 2023 Credit Facility. Failure to do so, unless waived by the lenders under the 2023 Credit Facility pursuant to its terms, as amended, would result in an event of default under the 2023 Credit Facility. As of March 31, 2024, we are in compliance with all covenants under the 2023 Credit Facility.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5 “Credit Facilities” included in the condensed consolidated financial statements included elsewhere in this Quarterly Report on Form 10-Q for more information on the 2023 Credit Facility.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periods presented: </w:t>
      </w:r>
    </w:p>
    <w:tbl>
      <w:tblPr>
        <w:tblW w:w="7569" w:type="dxa"/>
        <w:jc w:val="left"/>
        <w:tblInd w:w="0" w:type="dxa"/>
        <w:tblLayout w:type="fixed"/>
        <w:tblCellMar>
          <w:top w:w="28" w:type="dxa"/>
          <w:left w:w="28" w:type="dxa"/>
          <w:bottom w:w="28" w:type="dxa"/>
          <w:right w:w="28" w:type="dxa"/>
        </w:tblCellMar>
      </w:tblPr>
      <w:tblGrid>
        <w:gridCol w:w="1526"/>
        <w:gridCol w:w="1343"/>
        <w:gridCol w:w="1346"/>
        <w:gridCol w:w="326"/>
        <w:gridCol w:w="722"/>
        <w:gridCol w:w="168"/>
        <w:gridCol w:w="168"/>
        <w:gridCol w:w="168"/>
        <w:gridCol w:w="168"/>
        <w:gridCol w:w="326"/>
        <w:gridCol w:w="1070"/>
        <w:gridCol w:w="238"/>
      </w:tblGrid>
      <w:tr>
        <w:trPr/>
        <w:tc>
          <w:tcPr>
            <w:tcW w:w="152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w:t>
            </w:r>
          </w:p>
        </w:tc>
        <w:tc>
          <w:tcPr>
            <w:tcW w:w="2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32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32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largest source of operating cash is from the sales of our products to our consumers and customers. Our primary uses of cash from operating activities are for cost of revenue, selling, general and administrative expenses, marketing expenses and research and development expenses. We have in the past generated negative cash flows from operating activities and have supplemented working capital requirements through net proceeds from the sale and maturity of short-term investments.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of $0.3 million for the three months ended March 31, 2024 was primarily due to non-cash adjustments of $4.8 million, partially offset by a net loss of $1.4 million and a net decrease in cash related to changes in operating assets and liabilities of $3.1 million. Non-cash adjustments primarily consisted of stock-based compensation of $2.5 million, amortization of ROU assets of $1.6 million and depreciation and amortization of $0.7 million. Changes in cash flows related to operating assets and liabilities primarily consisted of cash provided by a $2.6 million decrease in accounts receivable due to improved collections and a $0.5 million decrease in prepaid expenses and other assets, offset by uses of cash including a $2.9 million higher accounts payable and accrued expenses driven by higher inventory purchases of $1.0 million in the three months ended March 31, 2024.</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of $2.8 million for the three months ended March 31, 2023 was primarily due to net loss of $18.9 million, non-cash adjustments of $6.0 million and a net increase in cash related to changes in operating assets and liabilities of $10.1 million. Non-cash adjustments primarily consisted of stock-based compensation of $3.8 million, amortization of operating ROU assets of $1.5 million and depreciation and amortization of $0.7 million. Changes in cash flows related to operating assets and liabilities primarily consisted of cash provided by a $17.2 million decrease in inventory and a $7.9 million decrease in prepaid expenses and other assets, offset by uses of cash including a $2.9 million increase in accounts receivable due to increased revenue and $10.8 million lower accounts payable and accrued expenses driven by lower inventory purchases in the three months ended March 31, 2023.</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 of investing cash historically has been the sale and maturity of short-term investments. Our primary use of investing cash historically has been the purchase of short-term investments and currently is property and equipment.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of $0.1 million for the three months ended March 31, 2024 was primarily due to purchases of property and equipment of $0.1 million.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of $2.5 million for the three months ended March 31, 2023 was primarily due to proceeds from maturities of short-term investments of $3.0 million, offset by purchases of property and equipment of $0.5 million.</w:t>
      </w:r>
    </w:p>
    <w:p>
      <w:pPr>
        <w:pStyle w:val="TextBody"/>
        <w:bidi w:val="0"/>
        <w:spacing w:before="1" w:after="1"/>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financing activities primarily consisted of proceeds from sales of securities, proceeds from stock option award exercises and principal payments of financing lease obligations. </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of $0.5 million for the three months ended March 31, 2024 consisted of $0.5 million of proceeds from stock option award exercises.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of $15 thousand for the three months ended March 31, 2023 consisted of principal payments of financing lease obligations.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anticipate declaring or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2023 Credit Facility contains restrictions on our ability to pay dividends.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Non-GAAP Financial Measure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prepare and present our condensed consolidated financial statements in accordance with GAAP. However, management believes that adjusted EBITDA, a non-GAAP financial measure, provides investors with additional useful information in evaluating our performance.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adjusted EBITDA as net income (loss), adjusted to exclude: (1) interest and other (income) expense, net; (2) income tax provision; (3) depreciation and amortization; (4) stock-based compensation expense, including payroll tax; (5) litigation and settlement fees associated with certain non-ordinary course securities litigation claims; (6) CEO and Founder transition expenses and (7) restructuring expenses in connection with the Transformation Initiative.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a financial measure that is not required by, or presented in accordance with GAAP. We believe that adjusted EBITDA, when taken together with our financial results presented in accordance with GAAP,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in assessing the health of our business, determining incentive compensation and evaluating our operating performance, as well as for internal planning and forecasting purposes.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presented for supplemental informational purposes only, has limitations as an analytical tool and should not be considered in isolation or as a substitute for financial information presented in accordance with GAAP. Some of the limitations of adjusted EBITDA include that (1) it does not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(5) it does not reflect tax payments that may represent a reduction in cash available to us; and (6) does not include certain non-ordinary cash expenses that we do not believe are representative of our business on a steady-state basis, such as CEO and Founder transition expenses and restructuring expenses in connection with the Transformation Initiative. In addition, our use of adjusted EBITDA may not be comparable to similarly titled measures of other companies because they may not calculate adjusted EBITDA in the same manner, limiting its usefulness as a comparative measure. Because of these limitations, when evaluating our performance, you should consider adjusted EBITDA alongside other financial measures, including our revenue, net income (loss) and other results stated in accordance with GAAP.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a reconciliation of net income (loss), the most directly comparable financial measure stated in accordance with GAAP, to adjusted EBITDA, for each of the periods presented: </w:t>
      </w:r>
    </w:p>
    <w:p>
      <w:pPr>
        <w:pStyle w:val="TextBody"/>
        <w:bidi w:val="0"/>
        <w:spacing w:before="240" w:after="283"/>
        <w:jc w:val="left"/>
        <w:rPr/>
      </w:pPr>
      <w:r>
        <w:rPr/>
      </w:r>
    </w:p>
    <w:tbl>
      <w:tblPr>
        <w:tblW w:w="8503" w:type="dxa"/>
        <w:jc w:val="left"/>
        <w:tblInd w:w="0" w:type="dxa"/>
        <w:tblLayout w:type="fixed"/>
        <w:tblCellMar>
          <w:top w:w="28" w:type="dxa"/>
          <w:left w:w="28" w:type="dxa"/>
          <w:bottom w:w="28" w:type="dxa"/>
          <w:right w:w="28" w:type="dxa"/>
        </w:tblCellMar>
      </w:tblPr>
      <w:tblGrid>
        <w:gridCol w:w="1704"/>
        <w:gridCol w:w="1499"/>
        <w:gridCol w:w="1506"/>
        <w:gridCol w:w="285"/>
        <w:gridCol w:w="933"/>
        <w:gridCol w:w="147"/>
        <w:gridCol w:w="147"/>
        <w:gridCol w:w="147"/>
        <w:gridCol w:w="147"/>
        <w:gridCol w:w="285"/>
        <w:gridCol w:w="1075"/>
        <w:gridCol w:w="147"/>
        <w:gridCol w:w="109"/>
        <w:gridCol w:w="109"/>
        <w:gridCol w:w="109"/>
        <w:gridCol w:w="154"/>
      </w:tblGrid>
      <w:tr>
        <w:trPr/>
        <w:tc>
          <w:tcPr>
            <w:tcW w:w="1704"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Net Loss to Adjusted EBITDA</w:t>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8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litigation expense</w:t>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CEO and Founder transition expense</w:t>
            </w:r>
            <w:r>
              <w:rPr>
                <w:rFonts w:ascii="Times New Roman;sans-serif" w:hAnsi="Times New Roman;sans-serif"/>
                <w:b w:val="false"/>
                <w:color w:val="000000"/>
                <w:sz w:val="13"/>
              </w:rPr>
              <w:t>(1)</w:t>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Restructuring costs</w:t>
            </w:r>
            <w:r>
              <w:rPr>
                <w:rFonts w:ascii="Times New Roman;sans-serif" w:hAnsi="Times New Roman;sans-serif"/>
                <w:b w:val="false"/>
                <w:color w:val="000000"/>
                <w:sz w:val="13"/>
              </w:rPr>
              <w:t>(2)</w:t>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tax expense related to stock-based compensation</w:t>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(10,334)</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Includes sign-on bonus, relocation costs and separation costs. </w:t>
      </w:r>
    </w:p>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 See Note 13 “Restructuring” in our unaudited condensed consolidated financial statements for items included in restructuring expense.</w:t>
      </w:r>
    </w:p>
    <w:p>
      <w:pPr>
        <w:pStyle w:val="TextBody"/>
        <w:bidi w:val="0"/>
        <w:spacing w:before="1" w:after="1"/>
        <w:jc w:val="left"/>
        <w:rPr/>
      </w:pPr>
      <w:r>
        <w:rPr/>
      </w: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Material Cash Requirements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there were no changes to our material cash requirements from those described under “Management's Discussion and Analysis of Financial Condition and Results of Operations” in our Annual Report.</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ind w:left="0" w:right="0" w:hanging="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critical accounting estimates are described under the heading “Management’s Discussion and Analysis of Financial Condition and Results of Operations—Critical Accounting Policies and Estimates” in our Annual Report and the notes to the audited consolidated financial statements appearing in our Annual Report. During the three months ended March 31, 2024, there were no material changes to our critical accounting estimates from those discussed in our Annual Report. </w:t>
      </w:r>
    </w:p>
    <w:p>
      <w:pPr>
        <w:pStyle w:val="TextBody"/>
        <w:bidi w:val="0"/>
        <w:spacing w:before="0" w:after="0"/>
        <w:jc w:val="left"/>
        <w:rPr/>
      </w:pPr>
      <w:r>
        <w:rPr/>
      </w:r>
    </w:p>
    <w:p>
      <w:pPr>
        <w:pStyle w:val="TextBody"/>
        <w:bidi w:val="0"/>
        <w:spacing w:before="0" w:after="0"/>
        <w:ind w:left="0" w:right="0" w:hanging="72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ind w:left="0" w:right="0" w:hanging="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2, “Summary of Significant Accounting Policies” to our condensed consolidated financial statements included elsewhere in this Quarterly Report on Form 10-Q for a discussion of recently issued accounting pronouncements not yet adopted and recently adopted accounting pronouncements.</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color w:val="000000"/>
          <w:sz w:val="20"/>
        </w:rPr>
      </w:pPr>
      <w:r>
        <w:rPr>
          <w:rFonts w:ascii="Times New Roman;sans-serif" w:hAnsi="Times New Roman;sans-serif"/>
          <w:b/>
          <w:color w:val="000000"/>
          <w:sz w:val="20"/>
        </w:rPr>
        <w:t xml:space="preserve">Emerging Growth Company Status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are not subject to the same implementation timing for new or revised accounting standards as other public companies that are not emerging growth companies which may make comparison of our financials to those of other public companies more difficult. </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SEC rules and regulations, as a smaller reporting company, we are not required to provide the information required by this item.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We maintain “disclosure controls a</w:t>
      </w:r>
      <w:r>
        <w:rPr>
          <w:rFonts w:ascii="Times New Roman;sans-serif" w:hAnsi="Times New Roman;sans-serif"/>
          <w:b w:val="false"/>
          <w:color w:val="000000"/>
          <w:sz w:val="20"/>
          <w:shd w:fill="FFFFFF" w:val="clear"/>
        </w:rPr>
        <w:t xml:space="preserve">nd procedures,” as defined in Rules 13a-15(e) and 15d-15(e) under the Securities Exchange Act of 1934, as amended, (the </w:t>
      </w:r>
      <w:r>
        <w:rPr>
          <w:color w:val="000000"/>
        </w:rPr>
        <w:t>“</w:t>
      </w:r>
      <w:r>
        <w:rPr>
          <w:rFonts w:ascii="Times New Roman;sans-serif" w:hAnsi="Times New Roman;sans-serif"/>
          <w:b w:val="false"/>
          <w:color w:val="000000"/>
          <w:sz w:val="20"/>
          <w:shd w:fill="FFFFFF" w:val="clear"/>
        </w:rPr>
        <w:t xml:space="preserve">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w:t>
      </w:r>
      <w:r>
        <w:rPr>
          <w:rFonts w:ascii="Times New Roman;sans-serif" w:hAnsi="Times New Roman;sans-serif"/>
          <w:b w:val="false"/>
          <w:color w:val="000000"/>
          <w:sz w:val="20"/>
        </w:rPr>
        <w:t xml:space="preserve">Our management, with the participation of our </w:t>
      </w:r>
      <w:r>
        <w:rPr>
          <w:rFonts w:ascii="Times New Roman;sans-serif" w:hAnsi="Times New Roman;sans-serif"/>
          <w:b w:val="false"/>
          <w:color w:val="000000"/>
          <w:sz w:val="20"/>
          <w:shd w:fill="FFFFFF" w:val="clear"/>
        </w:rPr>
        <w:t>principal executive officer and principal financial officer</w:t>
      </w:r>
      <w:r>
        <w:rPr>
          <w:rFonts w:ascii="Times New Roman;sans-serif" w:hAnsi="Times New Roman;sans-serif"/>
          <w:b w:val="false"/>
          <w:color w:val="000000"/>
          <w:sz w:val="20"/>
        </w:rPr>
        <w:t>, evaluated, as of the period ended March 31, 2024, the effectiveness of our disclosure controls and procedures (as defined in Rules 13a-15(e) and 15d-15(e) under the Exchange Act). Based on that evaluation, our principal executive officer and principal financial officer concluded that, as of such date, our disclosure controls and procedures were effective at a reasonable assurance level.</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Changes in Internal Control over Financial Reporting</w:t>
      </w:r>
      <w:r>
        <w:rPr>
          <w:color w:val="000000"/>
        </w:rPr>
        <w:t xml:space="preserve"> </w: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change in the Company's internal control over financial reporting that occurred during the quarter ended March 31, 2024 that has materially affected, or is reasonably likely to materially affect, the Company's internal control over financial reporting.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bidi w:val="0"/>
        <w:spacing w:before="0" w:after="0"/>
        <w:jc w:val="left"/>
        <w:rPr/>
      </w:pPr>
      <w:r>
        <w:rPr/>
      </w:r>
    </w:p>
    <w:p>
      <w:pPr>
        <w:pStyle w:val="TextBody"/>
        <w:bidi w:val="0"/>
        <w:spacing w:lineRule="auto" w:line="268" w:before="1" w:after="1"/>
        <w:ind w:left="0" w:right="0" w:firstLine="720"/>
        <w:jc w:val="left"/>
        <w:rPr/>
      </w:pPr>
      <w:r>
        <w:rPr>
          <w:rFonts w:ascii="Times New Roman;sans-serif" w:hAnsi="Times New Roman;sans-serif"/>
          <w:b w:val="false"/>
          <w:color w:val="000000"/>
          <w:sz w:val="20"/>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w:t>
      </w:r>
      <w:r>
        <w:rPr>
          <w:rFonts w:ascii="Times New Roman;sans-serif" w:hAnsi="Times New Roman;sans-serif"/>
          <w:b w:val="false"/>
          <w:color w:val="000000"/>
          <w:sz w:val="20"/>
          <w:shd w:fill="FFFFFF" w:val="clear"/>
        </w:rPr>
        <w:t>principal executive officer and principal financial officer</w:t>
      </w:r>
      <w:r>
        <w:rPr>
          <w:rFonts w:ascii="Times New Roman;sans-serif" w:hAnsi="Times New Roman;sans-serif"/>
          <w:b w:val="false"/>
          <w:color w:val="000000"/>
          <w:sz w:val="20"/>
        </w:rPr>
        <w:t>, believe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pStyle w:val="TextBody"/>
        <w:bidi w:val="0"/>
        <w:spacing w:before="0" w:after="0"/>
        <w:ind w:left="0" w:right="0" w:firstLine="720"/>
        <w:jc w:val="left"/>
        <w:rPr/>
      </w:pPr>
      <w:r>
        <w:rPr/>
      </w:r>
    </w:p>
    <w:p>
      <w:pPr>
        <w:pStyle w:val="TextBody"/>
        <w:bidi w:val="0"/>
        <w:spacing w:before="0" w:after="0"/>
        <w:ind w:left="0" w:right="0" w:hanging="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PART II—OTHER INFORMATION</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ind w:left="0" w:right="0" w:hanging="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under the heading “Litigation” in Note 7 to our condensed consolidated financial statements included in this Quarterly Report on Form 10-Q is incorporated by reference into this Item.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is subject to numerous risks. The following summary highlights some of the risks you should consider with respect to our business and prospects. You should carefully consider the risks and uncertainties described in our Annual Report, together with all of the other information in this Quarterly Report on Form 10-Q, as well as our audited consolidated financial statements and related notes as disclosed in our Annual Report. The risks and uncertainties described in our Annual Report and in this Quarterly Report on Form 10-Q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Investing in our common stock involves substantial risks. Some of the more significant risks include the following:</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past growth may not be indicative of our future growth and we may not be able to effectively manage our future growth or evaluate our future prospects. If we fail to effectively manage our future growth or evaluate our future prospects, our business could be adversely affected.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quarterly operating results may fluctuate, which could cause our stock price to decline.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future success depends, in part, on our ability to achieve our long-term strategy.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Consolidation of retail customers, the loss of a significant retail or third-party ecommerce customer or a significant change in such customers' historical purchasing patterns has in the past and could in the future negatively impact our sales and ability to achieve or maintain profitability.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may not be able to compete successfully in our highly competitive market.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If we fail to cost-effectively acquire new consumers or retain our existing consumers, our business could be adversely affected. Our sales and profit are dependent upon our ability to expand our existing consumer relationships and acquire new consumers.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are increasingly dependent on information technology and our ability to process data in order to operate and sell our products, and if we (or our third parties) are unable to protect against software and hardware vulnerabilities, service interruptions, data corruption, cyber-based attacks, ransomware or security breaches, or if we fail to comply with our commitments and assurances regarding the privacy and security of such data, we could experience adverse consequences, including but not limited to regulatory investigations or actions; litigation; fines and penalties; disruptions to our business operations; interruptions in our ability to provide our goods and services exposure to liability; reputational harm; loss of revenue or profits; loss of customers or sales; and other adverse consequences.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Pandemics or disease outbreaks and overall macroeconomic trends have had and may continue to have an adverse effect on our business, financial condition, results of operations and prospects.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strategic initiatives, including as part of the Transformation Pillars, to reduce our costs could have long-term adverse effects on our business, financial condition, results of operations and prospects, could result in total costs and expenses that are greater than expected, and we may not realize the operational or financial benefits from such actions.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must expend resources to maintain consumer awareness of our brand, build brand loyalty and generate interest in our products. Our marketing strategies and channels will evolve and shifts in our marketing strategies and efforts may or may not be successful.</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brand and reputation may be diminished due to real or perceived quality, safety, efficacy or environmental impact issues with our products, which could have an adverse effect on our business, financial condition, results of operations and prospects.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maintain our competitive position is largely dependent on the services of our senior management and other key personnel.</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We have a history of net losses and we may not be able to achieve or maintain profitability in the future.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business may be adversely affected if we are unable to provide our consumers with a technology platform that is able to respond and adapt to rapid changes in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 disruption in our operations could have an adverse effect on our business.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business, including our costs and supply chain, is subject to risks associated with sourcing, manufacturing, warehousing, distribution and logistics, and the loss of any of our key suppliers or logistical service providers could negatively impact our business.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rely on third-party suppliers, manufacturers, retail and ecommerce customers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Increasing scrutiny and evolving expectations from stakeholders with respect to our ESG practices, performance, commitments and disclosures may impact our reputation, increase our costs and impact our access to capital.</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International trade disputes and the U.S. government’s trade policy could adversely affect our business. </w:t>
      </w:r>
    </w:p>
    <w:p>
      <w:pPr>
        <w:pStyle w:val="TextBody"/>
        <w:bidi w:val="0"/>
        <w:spacing w:before="0" w:after="0"/>
        <w:ind w:left="0" w:right="0" w:firstLine="720"/>
        <w:jc w:val="left"/>
        <w:rPr/>
      </w:pPr>
      <w:r>
        <w:rPr/>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RISK FACTORS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 xml:space="preserve">Other than the risk factors set forth below, there have been no material changes to the risk factors set forth in the section titled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 xml:space="preserve">included in our Annual Report.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231F20"/>
          <w:sz w:val="20"/>
        </w:rPr>
      </w:pPr>
      <w:r>
        <w:rPr>
          <w:rFonts w:ascii="Times New Roman;sans-serif" w:hAnsi="Times New Roman;sans-serif"/>
          <w:b/>
          <w:i/>
          <w:color w:val="231F20"/>
          <w:sz w:val="20"/>
        </w:rPr>
        <w:t>Our ability to maintain our competitive position is largely dependent on the services of our senior management and other key personnel.</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Our ability to maintain our competitive position is largely dependent on the services of our senior management and other key personnel, and the loss of their services could have an adverse effect on our business, financial condition and results of operations.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231F20"/>
          <w:sz w:val="20"/>
        </w:rPr>
        <w:t xml:space="preserve">Jessica Warren departed as our Chief Creative Officer on April 9, 2024. Jessica Warren is a globally recognized Latina business leader, entrepreneur, advocate, actress, and New York Times bestselling author. We believe that the success of our brand has historically been based in part on our affiliation with Jessica Warren. We had an agreement with Jessica Warren, or the Likeness Agreement, which, among other things, included a license for her likeness and imposed various obligations on us. The Likeness Agreement was terminated as part of Ms. Warren's departure from her Chief Creative Officer position. Resulting from the termination of the Likeness Agreement, we are required to remove </w:t>
      </w:r>
      <w:r>
        <w:rPr>
          <w:rFonts w:ascii="Times New Roman;sans-serif" w:hAnsi="Times New Roman;sans-serif"/>
          <w:b w:val="false"/>
          <w:color w:val="000000"/>
          <w:sz w:val="20"/>
        </w:rPr>
        <w:t xml:space="preserve">certain licensed property from our website, digital assets, social media and Company-owned or -controlled assets, </w:t>
      </w:r>
      <w:r>
        <w:rPr>
          <w:rFonts w:ascii="Times New Roman;sans-serif" w:hAnsi="Times New Roman;sans-serif"/>
          <w:b w:val="false"/>
          <w:color w:val="231F20"/>
          <w:sz w:val="20"/>
        </w:rPr>
        <w:t>digital assets and sell existing inventory that use the licensed intellectual property on its packaging. Our obligations from the termination of the Likeness Agreement could result in a reduction of our operating margins and cash flow from operations or otherwise adversely affect our business. Additionally, the loss of our ability to use Ms. Warren’s likeness could result in marketplace confusion, loss of goodwill and/or similar negative consequences. We have also historically depended on Ms. Warren’s social media reach and influence to connect with consumers and provide insight on current trends. The loss of the services of Ms. Warren and the loss of our ability to use Ms. Warren’s likeness, could have an adverse effect on our business, financial condition and results of operations.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our future success depends on our continued ability to attract, develop, motivate and retain highly qualified and skilled employees, including Carla Vernón, who became our Chief Executive Officer effective January 9, 2023. The market for such positions is competitive. Qualified individuals, like Ms. Vernón with her extensive experience in CPG and with founder-built businesses, are in high demand and we may incur significant costs to attract them. In addition, the loss of any of our senior management or other key employees or our inability to recruit and develop mid-level managers could adversely affect our ability to execute our business plan and we may be unable to find adequate replacements. All of our employees are at-will employees, meaning that they may terminate their employment relationship with us at any time, and their knowledge of our business and industry would be extremely difficult to replace. If we fail to retain talented senior management and other key personnel, or if we do not succeed in attracting well-qualified employees or retaining and motivating existing employees, our business, financial condition and results of operations could be adversely affected.</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231F20"/>
          <w:sz w:val="20"/>
        </w:rPr>
      </w:pPr>
      <w:r>
        <w:rPr>
          <w:rFonts w:ascii="Times New Roman;sans-serif" w:hAnsi="Times New Roman;sans-serif"/>
          <w:b/>
          <w:i/>
          <w:color w:val="231F20"/>
          <w:sz w:val="20"/>
        </w:rPr>
        <w:t>If we fail to comply with our obligations under our existing license agreements or cannot license rights to use technologies on reasonable terms or at all, we may be unable to license rights that are critical to our business.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license or have the right to use certain intellectual property which is critical to our business, including in connection with the Mutual Separation Agreement with Jessica Warren. If we fail to comply with any of the obligations under our license agreements or the Mutual Separation Agreement with Jessica Warren, including not selling licensed products after the agreed timeframe, we may be required to pay damages, dispose of licensed products, increase our reserves for licensed products that cannot be sold, and the licensor may have the right to terminate the license, which could adversely impact our business, financial condition and result of operations. Termination by the licensor would cause us to lose valuable rights, and could inhibit our ability to commercialize our products. If any contract interpretation disagreement were to arise, the resolution could narrow what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believe to be the scope of our rights to the relevant intellectual property or increase what we believe to be our financial or other obligations under the relevant agreement. Any of the foregoing could adversely impact our business, financial condition and results of operations.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in the future we may identify additional third-party intellectual property we may need to license in order to engage in our business, including to develop or commercialize new products. However, such licenses may not be available on acceptable terms or at all. The licensing or acquisition of third-party intellectual property rights is a competitive area, and companies with greater size and capital resources than us may pursue strategies to license or acquire third-party intellectual property rights that we may consider attractive or necessary. In addition, companies that perceive us to be a competitor may be unwilling to assign or license rights to us. Even if such licenses are available, we may be required to pay the licensor substantial royalties or other fees. If we are unable to enter into the necessary licenses on acceptable terms or at all, it could have an adverse effect on our business, financial condition, results of operations and prospects.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before="0" w:after="0"/>
        <w:ind w:left="0" w:right="0" w:hanging="72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EXHIBIT INDEX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71"/>
        <w:gridCol w:w="326"/>
        <w:gridCol w:w="327"/>
        <w:gridCol w:w="109"/>
        <w:gridCol w:w="109"/>
        <w:gridCol w:w="109"/>
        <w:gridCol w:w="2731"/>
        <w:gridCol w:w="2527"/>
        <w:gridCol w:w="3596"/>
      </w:tblGrid>
      <w:tr>
        <w:trPr/>
        <w:tc>
          <w:tcPr>
            <w:tcW w:w="37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c>
          <w:tcPr>
            <w:tcW w:w="3596" w:type="dxa"/>
            <w:tcBorders/>
            <w:vAlign w:val="center"/>
          </w:tcPr>
          <w:p>
            <w:pPr>
              <w:pStyle w:val="TableContents"/>
              <w:bidi w:val="0"/>
              <w:spacing w:before="0" w:after="283"/>
              <w:jc w:val="left"/>
              <w:rPr>
                <w:sz w:val="4"/>
                <w:szCs w:val="4"/>
              </w:rPr>
            </w:pPr>
            <w:r>
              <w:rPr>
                <w:sz w:val="4"/>
                <w:szCs w:val="4"/>
              </w:rPr>
            </w:r>
          </w:p>
        </w:tc>
      </w:tr>
      <w:tr>
        <w:trPr/>
        <w:tc>
          <w:tcPr>
            <w:tcW w:w="10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Description</w:t>
            </w:r>
          </w:p>
        </w:tc>
      </w:tr>
      <w:tr>
        <w:trPr/>
        <w:tc>
          <w:tcPr>
            <w:tcW w:w="102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Articles of Incorporation, as currently in effect (incorporated herein by reference to Exhibit 3.1 to the Company’s Current Report on Form 8-K (File No. 001-40378), filed with the SEC on May 11, 2021).</w:t>
            </w:r>
          </w:p>
        </w:tc>
      </w:tr>
      <w:tr>
        <w:trPr/>
        <w:tc>
          <w:tcPr>
            <w:tcW w:w="10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 as currently in effect (incorporated herein by reference to Exhibit 3.2 to the Company’s Annual Report on Form 10-K (File No. 001-40378), filed with the SEC on March 16, 2023).</w:t>
            </w:r>
          </w:p>
        </w:tc>
      </w:tr>
      <w:tr>
        <w:trPr/>
        <w:tc>
          <w:tcPr>
            <w:tcW w:w="10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Mutual Separation Agreement and Mutual Release of Claims between Jessica M. (Alba) Warren and The Honest Company, Inc., dated April 8, 2024 (incorporated herein by reference to Exhibit 10.1 to the Company’s Current Report on Form 8-K (File No. 001-40378), filed with the SEC on April 9, 2024).</w:t>
            </w:r>
          </w:p>
        </w:tc>
      </w:tr>
      <w:tr>
        <w:trPr/>
        <w:tc>
          <w:tcPr>
            <w:tcW w:w="10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1-24exhibit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Rule 13a-14(a) and Rule 15d-14(a), as adopted pursuant to Section 302 of the Sarbanes-Oxley Act of 2002</w:t>
            </w:r>
          </w:p>
        </w:tc>
      </w:tr>
      <w:tr>
        <w:trPr/>
        <w:tc>
          <w:tcPr>
            <w:tcW w:w="10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1-24exhibit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Rule 13a-14(a) and Rule 15d-14(a), as adopted pursuant to Section 302 of the Sarbanes-Oxley Act of 2002</w:t>
            </w:r>
          </w:p>
        </w:tc>
      </w:tr>
      <w:tr>
        <w:trPr/>
        <w:tc>
          <w:tcPr>
            <w:tcW w:w="10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1-24exhibit321.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 of Principal Executive Officer pursuant to 18 U.S.C. Section 1350, as adopted pursuant to Section 906 of the Sarbanes-Oxley Act of 2002 </w:t>
            </w:r>
          </w:p>
          <w:p>
            <w:pPr>
              <w:pStyle w:val="TableContents"/>
              <w:bidi w:val="0"/>
              <w:spacing w:before="0" w:after="0"/>
              <w:jc w:val="left"/>
              <w:rPr/>
            </w:pPr>
            <w:r>
              <w:rPr/>
            </w:r>
          </w:p>
        </w:tc>
      </w:tr>
      <w:tr>
        <w:trPr/>
        <w:tc>
          <w:tcPr>
            <w:tcW w:w="10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1-24exhibit322.htm">
              <w:r>
                <w:rPr>
                  <w:rStyle w:val="InternetLink"/>
                  <w:rFonts w:ascii="Times New Roman;sans-serif" w:hAnsi="Times New Roman;sans-serif"/>
                  <w:b w:val="false"/>
                  <w:color w:val="0000FF"/>
                  <w:sz w:val="20"/>
                  <w:u w:val="single"/>
                </w:rPr>
                <w:t>32.2</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18 U.S.C. Section 1350, as adopted pursuant to Section 906 of the Sarbanes-Oxley Act of 2002</w:t>
            </w:r>
          </w:p>
        </w:tc>
      </w:tr>
      <w:tr>
        <w:trPr/>
        <w:tc>
          <w:tcPr>
            <w:tcW w:w="1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101.INS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Inline XBRL Instance Document</w:t>
            </w:r>
          </w:p>
          <w:p>
            <w:pPr>
              <w:pStyle w:val="TableContents"/>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Inline XBRL Taxonomy Extension Schema Document</w:t>
            </w:r>
          </w:p>
          <w:p>
            <w:pPr>
              <w:pStyle w:val="TableContents"/>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Inline XBRL Taxonomy Extension Calculation Linkbase Document</w:t>
            </w:r>
          </w:p>
        </w:tc>
      </w:tr>
      <w:tr>
        <w:trPr/>
        <w:tc>
          <w:tcPr>
            <w:tcW w:w="1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Inline XBRL Taxonomy Extension Label Linkbase Document</w:t>
            </w:r>
          </w:p>
          <w:p>
            <w:pPr>
              <w:pStyle w:val="TableContents"/>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Inline XBRL Taxonomy Extension Presentation Linkbase Document</w:t>
            </w:r>
          </w:p>
          <w:p>
            <w:pPr>
              <w:pStyle w:val="TableContents"/>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Inline XBRL Taxonomy Extension Definition Linkbase Document</w:t>
            </w:r>
          </w:p>
        </w:tc>
      </w:tr>
      <w:tr>
        <w:trPr/>
        <w:tc>
          <w:tcPr>
            <w:tcW w:w="1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6"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 Furnished herewith and not deemed to be “filed” for purposes of Section 18 of the Exchange Act, and shall not be deemed to be incorporated by reference into any filing under the Securities Act, or the Exchange Act (whether made before or after the date of the Form 10-Q), irrespective of any general incorporation language contained in such filing.</w:t>
      </w:r>
    </w:p>
    <w:p>
      <w:pPr>
        <w:pStyle w:val="TextBody"/>
        <w:bidi w:val="0"/>
        <w:spacing w:before="0" w:after="0"/>
        <w:jc w:val="left"/>
        <w:rPr/>
      </w:pPr>
      <w:r>
        <w:rPr/>
      </w:r>
    </w:p>
    <w:p>
      <w:pPr>
        <w:pStyle w:val="TextBody"/>
        <w:bidi w:val="0"/>
        <w:spacing w:before="0" w:after="0"/>
        <w:ind w:left="0" w:right="0" w:hanging="180"/>
        <w:jc w:val="left"/>
        <w:rPr/>
      </w:pPr>
      <w:r>
        <w:rPr/>
      </w:r>
    </w:p>
    <w:p>
      <w:pPr>
        <w:pStyle w:val="TextBody"/>
        <w:bidi w:val="0"/>
        <w:spacing w:before="0" w:after="0"/>
        <w:ind w:left="0" w:right="0" w:hanging="492"/>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000" w:type="dxa"/>
        <w:jc w:val="left"/>
        <w:tblInd w:w="0" w:type="dxa"/>
        <w:tblLayout w:type="fixed"/>
        <w:tblCellMar>
          <w:top w:w="28" w:type="dxa"/>
          <w:left w:w="28" w:type="dxa"/>
          <w:bottom w:w="28" w:type="dxa"/>
          <w:right w:w="28" w:type="dxa"/>
        </w:tblCellMar>
      </w:tblPr>
      <w:tblGrid>
        <w:gridCol w:w="591"/>
        <w:gridCol w:w="520"/>
        <w:gridCol w:w="523"/>
        <w:gridCol w:w="359"/>
        <w:gridCol w:w="359"/>
        <w:gridCol w:w="359"/>
        <w:gridCol w:w="1248"/>
        <w:gridCol w:w="1248"/>
        <w:gridCol w:w="1793"/>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Honest Company, Inc.</w:t>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Carla Vernón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Carla Vernón </w:t>
            </w:r>
          </w:p>
          <w:p>
            <w:pPr>
              <w:pStyle w:val="TableContents"/>
              <w:bidi w:val="0"/>
              <w:spacing w:lineRule="auto" w:line="242"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 and Director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Loretta</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2" w:before="0" w:after="0"/>
              <w:jc w:val="center"/>
              <w:rPr>
                <w:rFonts w:ascii="Times New Roman;sans-serif" w:hAnsi="Times New Roman;sans-serif"/>
                <w:b/>
                <w:color w:val="000000"/>
                <w:sz w:val="20"/>
              </w:rPr>
            </w:pPr>
            <w:r>
              <w:rPr>
                <w:rFonts w:ascii="Times New Roman;sans-serif" w:hAnsi="Times New Roman;sans-serif"/>
                <w:b/>
                <w:color w:val="000000"/>
                <w:sz w:val="20"/>
              </w:rPr>
              <w:t>David Loretta</w:t>
            </w:r>
          </w:p>
          <w:p>
            <w:pPr>
              <w:pStyle w:val="TableContents"/>
              <w:bidi w:val="0"/>
              <w:spacing w:lineRule="auto" w:line="242" w:before="0" w:after="0"/>
              <w:jc w:val="center"/>
              <w:rPr>
                <w:rFonts w:ascii="Times New Roman;sans-serif" w:hAnsi="Times New Roman;sans-serif"/>
                <w:b/>
                <w:color w:val="000000"/>
                <w:sz w:val="20"/>
              </w:rPr>
            </w:pPr>
            <w:r>
              <w:rPr>
                <w:rFonts w:ascii="Times New Roman;sans-serif" w:hAnsi="Times New Roman;sans-serif"/>
                <w:b/>
                <w:color w:val="000000"/>
                <w:sz w:val="20"/>
              </w:rPr>
              <w:t>Executive Vice President, 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(Principal Financial Officer and </w:t>
              <w:br/>
              <w:t>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Carla Vernón, certify that: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10-Q of The Honest Company, Inc.;</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1080"/>
        <w:jc w:val="left"/>
        <w:rPr/>
      </w:pPr>
      <w:r>
        <w:rPr/>
      </w:r>
    </w:p>
    <w:p>
      <w:pPr>
        <w:pStyle w:val="TextBody"/>
        <w:bidi w:val="0"/>
        <w:spacing w:before="0" w:after="0"/>
        <w:jc w:val="left"/>
        <w:rPr/>
      </w:pPr>
      <w:r>
        <w:rPr/>
      </w:r>
    </w:p>
    <w:tbl>
      <w:tblPr>
        <w:tblW w:w="5157"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914"/>
        <w:gridCol w:w="914"/>
        <w:gridCol w:w="129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Carla Vernón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Carla Vernón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David Loretta, certify that: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10-Q of The Honest Company, Inc.;</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1080"/>
        <w:jc w:val="left"/>
        <w:rPr/>
      </w:pPr>
      <w:r>
        <w:rPr/>
      </w:r>
    </w:p>
    <w:tbl>
      <w:tblPr>
        <w:tblW w:w="7645" w:type="dxa"/>
        <w:jc w:val="left"/>
        <w:tblInd w:w="0" w:type="dxa"/>
        <w:tblLayout w:type="fixed"/>
        <w:tblCellMar>
          <w:top w:w="28" w:type="dxa"/>
          <w:left w:w="28" w:type="dxa"/>
          <w:bottom w:w="28" w:type="dxa"/>
          <w:right w:w="28" w:type="dxa"/>
        </w:tblCellMar>
      </w:tblPr>
      <w:tblGrid>
        <w:gridCol w:w="591"/>
        <w:gridCol w:w="520"/>
        <w:gridCol w:w="523"/>
        <w:gridCol w:w="267"/>
        <w:gridCol w:w="267"/>
        <w:gridCol w:w="272"/>
        <w:gridCol w:w="1519"/>
        <w:gridCol w:w="1519"/>
        <w:gridCol w:w="216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David Loretta</w:t>
            </w:r>
          </w:p>
        </w:tc>
      </w:tr>
      <w:tr>
        <w:trPr/>
        <w:tc>
          <w:tcPr>
            <w:tcW w:w="1634"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806"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5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David Loretta</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806"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520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The Honest Company, Inc. (the “Company”) for the period ended March 31, 2024 as filed with the Securities and Exchange Commission on the date hereof (the “Report”), I, Carla Vernón, Chief Executive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Exchange Act; and</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5157"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913"/>
        <w:gridCol w:w="913"/>
        <w:gridCol w:w="1293"/>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Carla Vernón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Carla Vernón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12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The Honest Company, Inc. (the “Company”) for the period ended March 31, 2024 as filed with the Securities and Exchange Commission on the date hereof (the “Report”), I, David Loretta, Chief Financial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Exchange Act; and</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6523"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1309"/>
        <w:gridCol w:w="1309"/>
        <w:gridCol w:w="186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Loretta</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David Loretta</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Accounting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530979/000119312521157761/d488865dex31.htm" TargetMode="External"/><Relationship Id="rId4" Type="http://schemas.openxmlformats.org/officeDocument/2006/relationships/hyperlink" Target="https://www.sec.gov/Archives/edgar/data/1530979/000153097923000038/honestcoq4-22exhibit32.htm" TargetMode="External"/><Relationship Id="rId5" Type="http://schemas.openxmlformats.org/officeDocument/2006/relationships/hyperlink" Target="https://www.sec.gov/ix?doc=/Archives/edgar/data/1530979/000153097924000042/hnst-20240408.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19696</Words>
  <Characters>110878</Characters>
  <CharactersWithSpaces>129724</CharactersWithSpaces>
  <Paragraphs>1582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