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00" w:after="6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72" w:type="dxa"/>
        <w:jc w:val="center"/>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630"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196"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w:t>
      </w:r>
      <w:r>
        <w:rPr>
          <w:rFonts w:ascii="Times New Roman;serif" w:hAnsi="Times New Roman;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Commission File Number: 001-40378</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573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5238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Trading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_____________Common Shares____________</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No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Exchange Act. Yes No ☒</w:t>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99"/>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300" w:after="60"/>
        <w:jc w:val="left"/>
        <w:rPr/>
      </w:pPr>
      <w:r>
        <w:rPr/>
      </w:r>
    </w:p>
    <w:p>
      <w:pPr>
        <w:pStyle w:val="TextBody"/>
        <w:bidi w:val="0"/>
        <w:spacing w:before="0" w:after="0"/>
        <w:jc w:val="left"/>
        <w:rPr/>
      </w:pPr>
      <w:r>
        <w:rPr/>
      </w:r>
    </w:p>
    <w:p>
      <w:pPr>
        <w:pStyle w:val="TextBody"/>
        <w:bidi w:val="0"/>
        <w:spacing w:lineRule="auto" w:line="192"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1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1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Act).Yes ☐ No ☒</w:t>
      </w:r>
    </w:p>
    <w:p>
      <w:pPr>
        <w:pStyle w:val="TextBody"/>
        <w:bidi w:val="0"/>
        <w:spacing w:before="0" w:after="0"/>
        <w:jc w:val="left"/>
        <w:rPr/>
      </w:pPr>
      <w:r>
        <w:rPr/>
      </w:r>
    </w:p>
    <w:p>
      <w:pPr>
        <w:pStyle w:val="TextBody"/>
        <w:bidi w:val="0"/>
        <w:spacing w:lineRule="auto" w:line="276"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shares of common stock held by non-affiliates of the Registrant, based on the closing price of the Registrant’s shares of common stock on the Nasdaq Global Select Market on June 30, 2025, was approximately $524,069,469. In determining the market value of the voting equity held by non-affiliates, shares of common stock of the Registrant beneficially owned by each director and officer and each person who owns 10% or more of the Registrant’s outstanding common stock have been excluded. This determination of affiliate status is not necessarily a conclusive determination for other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20, 2026, the registrant had 112,474,217 shares of common stock, $0.0001 par value per share outstanding.</w:t>
      </w:r>
    </w:p>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color w:val="000000"/>
          <w:sz w:val="22"/>
        </w:rPr>
      </w:pPr>
      <w:r>
        <w:rPr>
          <w:rFonts w:ascii="Times New Roman;serif" w:hAnsi="Times New Roman;serif"/>
          <w:b/>
          <w:color w:val="000000"/>
          <w:sz w:val="22"/>
        </w:rPr>
        <w:t>DOCUMENTS INCORPORATED BY REFERENCE</w:t>
      </w:r>
    </w:p>
    <w:p>
      <w:pPr>
        <w:pStyle w:val="TextBody"/>
        <w:bidi w:val="0"/>
        <w:spacing w:before="0" w:after="0"/>
        <w:jc w:val="left"/>
        <w:rPr/>
      </w:pPr>
      <w:r>
        <w:rPr/>
      </w:r>
    </w:p>
    <w:p>
      <w:pPr>
        <w:pStyle w:val="TextBody"/>
        <w:bidi w:val="0"/>
        <w:spacing w:lineRule="auto" w:line="288"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pStyle w:val="TextBody"/>
        <w:bidi w:val="0"/>
        <w:spacing w:before="0" w:after="0"/>
        <w:jc w:val="left"/>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01"/>
        <w:gridCol w:w="3050"/>
        <w:gridCol w:w="3082"/>
        <w:gridCol w:w="167"/>
        <w:gridCol w:w="167"/>
        <w:gridCol w:w="238"/>
      </w:tblGrid>
      <w:tr>
        <w:trPr/>
        <w:tc>
          <w:tcPr>
            <w:tcW w:w="3501"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818ad6685c2b40a8a9210ef03e954439_16">
              <w:r>
                <w:rPr>
                  <w:rStyle w:val="InternetLink"/>
                  <w:rFonts w:ascii="Times New Roman;serif" w:hAnsi="Times New Roman;serif"/>
                  <w:b/>
                  <w:color w:val="000000"/>
                  <w:sz w:val="20"/>
                  <w:u w:val="single"/>
                </w:rPr>
                <w:t>Part I</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818ad6685c2b40a8a9210ef03e954439_16">
              <w:r>
                <w:rPr>
                  <w:rStyle w:val="InternetLink"/>
                  <w:rFonts w:ascii="Times New Roman;serif" w:hAnsi="Times New Roman;serif"/>
                  <w:b w:val="false"/>
                  <w:color w:val="000000"/>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9">
              <w:r>
                <w:rPr>
                  <w:rStyle w:val="InternetLink"/>
                  <w:rFonts w:ascii="Times New Roman;serif" w:hAnsi="Times New Roman;serif"/>
                  <w:b w:val="false"/>
                  <w:color w:val="000000"/>
                  <w:sz w:val="20"/>
                  <w:u w:val="single"/>
                </w:rPr>
                <w:t>Item 1.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22">
              <w:r>
                <w:rPr>
                  <w:rStyle w:val="InternetLink"/>
                  <w:rFonts w:ascii="Times New Roman;serif" w:hAnsi="Times New Roman;serif"/>
                  <w:b w:val="false"/>
                  <w:color w:val="000000"/>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22">
              <w:r>
                <w:rPr>
                  <w:rStyle w:val="InternetLink"/>
                  <w:rFonts w:ascii="Times New Roman;serif" w:hAnsi="Times New Roman;serif"/>
                  <w:b w:val="false"/>
                  <w:color w:val="000000"/>
                  <w:sz w:val="20"/>
                  <w:u w:val="single"/>
                </w:rPr>
                <w:t>Item 1A. Risk Factors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25">
              <w:r>
                <w:rPr>
                  <w:rStyle w:val="InternetLink"/>
                  <w:rFonts w:ascii="Times New Roman;serif" w:hAnsi="Times New Roman;serif"/>
                  <w:b w:val="false"/>
                  <w:color w:val="000000"/>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25">
              <w:r>
                <w:rPr>
                  <w:rStyle w:val="InternetLink"/>
                  <w:rFonts w:ascii="Times New Roman;serif" w:hAnsi="Times New Roman;serif"/>
                  <w:b w:val="false"/>
                  <w:color w:val="000000"/>
                  <w:sz w:val="20"/>
                  <w:u w:val="single"/>
                </w:rPr>
                <w:t>Item 1B. 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25">
              <w:r>
                <w:rPr>
                  <w:rStyle w:val="InternetLink"/>
                  <w:rFonts w:ascii="Times New Roman;serif" w:hAnsi="Times New Roman;serif"/>
                  <w:b w:val="false"/>
                  <w:color w:val="000000"/>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28">
              <w:r>
                <w:rPr>
                  <w:rStyle w:val="InternetLink"/>
                  <w:rFonts w:ascii="Times New Roman;serif" w:hAnsi="Times New Roman;serif"/>
                  <w:b w:val="false"/>
                  <w:color w:val="000000"/>
                  <w:sz w:val="20"/>
                  <w:u w:val="single"/>
                </w:rPr>
                <w:t>Item 1C. Cybersecurity</w:t>
              </w:r>
            </w:hyperlink>
            <w:r>
              <w:rPr>
                <w:color w:val="000000"/>
              </w:rPr>
              <w:t xml:space="preserve">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28">
              <w:r>
                <w:rPr>
                  <w:rStyle w:val="InternetLink"/>
                  <w:rFonts w:ascii="Times New Roman;serif" w:hAnsi="Times New Roman;serif"/>
                  <w:b w:val="false"/>
                  <w:color w:val="000000"/>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31">
              <w:r>
                <w:rPr>
                  <w:rStyle w:val="InternetLink"/>
                  <w:rFonts w:ascii="Times New Roman;serif" w:hAnsi="Times New Roman;serif"/>
                  <w:b w:val="false"/>
                  <w:color w:val="000000"/>
                  <w:sz w:val="20"/>
                  <w:u w:val="single"/>
                </w:rPr>
                <w:t>Item 2. Properties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31">
              <w:r>
                <w:rPr>
                  <w:rStyle w:val="InternetLink"/>
                  <w:rFonts w:ascii="Times New Roman;serif" w:hAnsi="Times New Roman;serif"/>
                  <w:b w:val="false"/>
                  <w:color w:val="000000"/>
                  <w:sz w:val="20"/>
                  <w:u w:val="singl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34">
              <w:r>
                <w:rPr>
                  <w:rStyle w:val="InternetLink"/>
                  <w:rFonts w:ascii="Times New Roman;serif" w:hAnsi="Times New Roman;serif"/>
                  <w:b w:val="false"/>
                  <w:color w:val="000000"/>
                  <w:sz w:val="20"/>
                  <w:u w:val="single"/>
                </w:rPr>
                <w:t>Item 3.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34">
              <w:r>
                <w:rPr>
                  <w:rStyle w:val="InternetLink"/>
                  <w:rFonts w:ascii="Times New Roman;serif" w:hAnsi="Times New Roman;serif"/>
                  <w:b w:val="false"/>
                  <w:color w:val="000000"/>
                  <w:sz w:val="20"/>
                  <w:u w:val="singl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37">
              <w:r>
                <w:rPr>
                  <w:rStyle w:val="InternetLink"/>
                  <w:rFonts w:ascii="Times New Roman;serif" w:hAnsi="Times New Roman;serif"/>
                  <w:b w:val="false"/>
                  <w:color w:val="000000"/>
                  <w:sz w:val="20"/>
                  <w:u w:val="single"/>
                </w:rPr>
                <w:t>Item 4. Mine Safety Disclosures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37">
              <w:r>
                <w:rPr>
                  <w:rStyle w:val="InternetLink"/>
                  <w:rFonts w:ascii="Times New Roman;serif" w:hAnsi="Times New Roman;serif"/>
                  <w:b w:val="false"/>
                  <w:color w:val="000000"/>
                  <w:sz w:val="20"/>
                  <w:u w:val="singl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818ad6685c2b40a8a9210ef03e954439_40">
              <w:r>
                <w:rPr>
                  <w:rStyle w:val="InternetLink"/>
                  <w:rFonts w:ascii="Times New Roman;serif" w:hAnsi="Times New Roman;serif"/>
                  <w:b/>
                  <w:color w:val="000000"/>
                  <w:sz w:val="20"/>
                  <w:u w:val="single"/>
                </w:rPr>
                <w:t>Part II</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40">
              <w:r>
                <w:rPr>
                  <w:rStyle w:val="InternetLink"/>
                  <w:rFonts w:ascii="Times New Roman;serif" w:hAnsi="Times New Roman;serif"/>
                  <w:b w:val="false"/>
                  <w:color w:val="000000"/>
                  <w:sz w:val="20"/>
                  <w:u w:val="single"/>
                </w:rPr>
                <w:t>48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818ad6685c2b40a8a9210ef03e954439_43">
              <w:r>
                <w:rPr>
                  <w:rStyle w:val="InternetLink"/>
                  <w:rFonts w:ascii="Times New Roman;serif" w:hAnsi="Times New Roman;serif"/>
                  <w:b w:val="false"/>
                  <w:color w:val="000000"/>
                  <w:sz w:val="20"/>
                  <w:u w:val="single"/>
                </w:rPr>
                <w:t>Item 5. 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43">
              <w:r>
                <w:rPr>
                  <w:rStyle w:val="InternetLink"/>
                  <w:rFonts w:ascii="Times New Roman;serif" w:hAnsi="Times New Roman;serif"/>
                  <w:b w:val="false"/>
                  <w:color w:val="000000"/>
                  <w:sz w:val="20"/>
                  <w:u w:val="single"/>
                </w:rPr>
                <w:t>48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46">
              <w:r>
                <w:rPr>
                  <w:rStyle w:val="InternetLink"/>
                  <w:rFonts w:ascii="Times New Roman;serif" w:hAnsi="Times New Roman;serif"/>
                  <w:b w:val="false"/>
                  <w:color w:val="000000"/>
                  <w:sz w:val="20"/>
                  <w:u w:val="single"/>
                </w:rPr>
                <w:t>Item 6. [ Reserved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46">
              <w:r>
                <w:rPr>
                  <w:rStyle w:val="InternetLink"/>
                  <w:rFonts w:ascii="Times New Roman;serif" w:hAnsi="Times New Roman;serif"/>
                  <w:b w:val="false"/>
                  <w:color w:val="000000"/>
                  <w:sz w:val="20"/>
                  <w:u w:val="single"/>
                </w:rPr>
                <w:t>48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49">
              <w:r>
                <w:rPr>
                  <w:rStyle w:val="InternetLink"/>
                  <w:rFonts w:ascii="Times New Roman;serif" w:hAnsi="Times New Roman;serif"/>
                  <w:b w:val="false"/>
                  <w:color w:val="000000"/>
                  <w:sz w:val="20"/>
                  <w:u w:val="single"/>
                </w:rPr>
                <w:t>Item 7.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49">
              <w:r>
                <w:rPr>
                  <w:rStyle w:val="InternetLink"/>
                  <w:rFonts w:ascii="Times New Roman;serif" w:hAnsi="Times New Roman;serif"/>
                  <w:b w:val="false"/>
                  <w:color w:val="000000"/>
                  <w:sz w:val="20"/>
                  <w:u w:val="single"/>
                </w:rPr>
                <w:t>49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52">
              <w:r>
                <w:rPr>
                  <w:rStyle w:val="InternetLink"/>
                  <w:rFonts w:ascii="Times New Roman;serif" w:hAnsi="Times New Roman;serif"/>
                  <w:b w:val="false"/>
                  <w:color w:val="000000"/>
                  <w:sz w:val="20"/>
                  <w:u w:val="single"/>
                </w:rPr>
                <w:t>Item 7A.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52">
              <w:r>
                <w:rPr>
                  <w:rStyle w:val="InternetLink"/>
                  <w:rFonts w:ascii="Times New Roman;serif" w:hAnsi="Times New Roman;serif"/>
                  <w:b w:val="false"/>
                  <w:color w:val="000000"/>
                  <w:sz w:val="20"/>
                  <w:u w:val="single"/>
                </w:rPr>
                <w:t>63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55">
              <w:r>
                <w:rPr>
                  <w:rStyle w:val="InternetLink"/>
                  <w:rFonts w:ascii="Times New Roman;serif" w:hAnsi="Times New Roman;serif"/>
                  <w:b w:val="false"/>
                  <w:color w:val="000000"/>
                  <w:sz w:val="20"/>
                  <w:u w:val="single"/>
                </w:rPr>
                <w:t>Item 8. 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55">
              <w:r>
                <w:rPr>
                  <w:rStyle w:val="InternetLink"/>
                  <w:rFonts w:ascii="Times New Roman;serif" w:hAnsi="Times New Roman;serif"/>
                  <w:b w:val="false"/>
                  <w:color w:val="000000"/>
                  <w:sz w:val="20"/>
                  <w:u w:val="single"/>
                </w:rPr>
                <w:t>65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48">
              <w:r>
                <w:rPr>
                  <w:rStyle w:val="InternetLink"/>
                  <w:rFonts w:ascii="Times New Roman;serif" w:hAnsi="Times New Roman;serif"/>
                  <w:b w:val="false"/>
                  <w:color w:val="000000"/>
                  <w:sz w:val="20"/>
                  <w:u w:val="single"/>
                </w:rPr>
                <w:t>Item 9. Changes in and Disagreements With Accountants on Accounting and Financial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48">
              <w:r>
                <w:rPr>
                  <w:rStyle w:val="InternetLink"/>
                  <w:rFonts w:ascii="Times New Roman;serif" w:hAnsi="Times New Roman;serif"/>
                  <w:b w:val="false"/>
                  <w:color w:val="000000"/>
                  <w:sz w:val="20"/>
                  <w:u w:val="single"/>
                </w:rPr>
                <w:t>93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51">
              <w:r>
                <w:rPr>
                  <w:rStyle w:val="InternetLink"/>
                  <w:rFonts w:ascii="Times New Roman;serif" w:hAnsi="Times New Roman;serif"/>
                  <w:b w:val="false"/>
                  <w:color w:val="000000"/>
                  <w:sz w:val="20"/>
                  <w:u w:val="single"/>
                </w:rPr>
                <w:t>Item 9A. Controls and Procedures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51">
              <w:r>
                <w:rPr>
                  <w:rStyle w:val="InternetLink"/>
                  <w:rFonts w:ascii="Times New Roman;serif" w:hAnsi="Times New Roman;serif"/>
                  <w:b w:val="false"/>
                  <w:color w:val="000000"/>
                  <w:sz w:val="20"/>
                  <w:u w:val="single"/>
                </w:rPr>
                <w:t>93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54">
              <w:r>
                <w:rPr>
                  <w:rStyle w:val="InternetLink"/>
                  <w:rFonts w:ascii="Times New Roman;serif" w:hAnsi="Times New Roman;serif"/>
                  <w:b w:val="false"/>
                  <w:color w:val="000000"/>
                  <w:sz w:val="20"/>
                  <w:u w:val="single"/>
                </w:rPr>
                <w:t>Item 9B.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54">
              <w:r>
                <w:rPr>
                  <w:rStyle w:val="InternetLink"/>
                  <w:rFonts w:ascii="Times New Roman;serif" w:hAnsi="Times New Roman;serif"/>
                  <w:b w:val="false"/>
                  <w:color w:val="000000"/>
                  <w:sz w:val="20"/>
                  <w:u w:val="single"/>
                </w:rPr>
                <w:t>94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60">
              <w:r>
                <w:rPr>
                  <w:rStyle w:val="InternetLink"/>
                  <w:rFonts w:ascii="Times New Roman;serif" w:hAnsi="Times New Roman;serif"/>
                  <w:b w:val="false"/>
                  <w:color w:val="000000"/>
                  <w:sz w:val="20"/>
                  <w:u w:val="single"/>
                </w:rPr>
                <w:t>Item 9C. Disclosure Regarding Foreign Jurisdiction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60">
              <w:r>
                <w:rPr>
                  <w:rStyle w:val="InternetLink"/>
                  <w:rFonts w:ascii="Times New Roman;serif" w:hAnsi="Times New Roman;serif"/>
                  <w:b w:val="false"/>
                  <w:color w:val="000000"/>
                  <w:sz w:val="20"/>
                  <w:u w:val="single"/>
                </w:rPr>
                <w:t>95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818ad6685c2b40a8a9210ef03e954439_163">
              <w:r>
                <w:rPr>
                  <w:rStyle w:val="InternetLink"/>
                  <w:rFonts w:ascii="Times New Roman;serif" w:hAnsi="Times New Roman;serif"/>
                  <w:b w:val="false"/>
                  <w:color w:val="000000"/>
                  <w:sz w:val="20"/>
                  <w:u w:val="single"/>
                </w:rPr>
                <w:t>Part III</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63">
              <w:r>
                <w:rPr>
                  <w:rStyle w:val="InternetLink"/>
                  <w:rFonts w:ascii="Times New Roman;serif" w:hAnsi="Times New Roman;serif"/>
                  <w:b w:val="false"/>
                  <w:color w:val="000000"/>
                  <w:sz w:val="20"/>
                  <w:u w:val="single"/>
                </w:rPr>
                <w:t>95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66">
              <w:r>
                <w:rPr>
                  <w:rStyle w:val="InternetLink"/>
                  <w:rFonts w:ascii="Times New Roman;serif" w:hAnsi="Times New Roman;serif"/>
                  <w:b w:val="false"/>
                  <w:color w:val="000000"/>
                  <w:sz w:val="20"/>
                  <w:u w:val="single"/>
                </w:rPr>
                <w:t>Item 10. Directors, Executive Officers and Corporate Governance</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66">
              <w:r>
                <w:rPr>
                  <w:rStyle w:val="InternetLink"/>
                  <w:rFonts w:ascii="Times New Roman;serif" w:hAnsi="Times New Roman;serif"/>
                  <w:b w:val="false"/>
                  <w:color w:val="000000"/>
                  <w:sz w:val="20"/>
                  <w:u w:val="single"/>
                </w:rPr>
                <w:t>95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69">
              <w:r>
                <w:rPr>
                  <w:rStyle w:val="InternetLink"/>
                  <w:rFonts w:ascii="Times New Roman;serif" w:hAnsi="Times New Roman;serif"/>
                  <w:b w:val="false"/>
                  <w:color w:val="000000"/>
                  <w:sz w:val="20"/>
                  <w:u w:val="single"/>
                </w:rPr>
                <w:t>Item 11. Executive Compensation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69">
              <w:r>
                <w:rPr>
                  <w:rStyle w:val="InternetLink"/>
                  <w:rFonts w:ascii="Times New Roman;serif" w:hAnsi="Times New Roman;serif"/>
                  <w:b w:val="false"/>
                  <w:color w:val="000000"/>
                  <w:sz w:val="20"/>
                  <w:u w:val="single"/>
                </w:rPr>
                <w:t>95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72">
              <w:r>
                <w:rPr>
                  <w:rStyle w:val="InternetLink"/>
                  <w:rFonts w:ascii="Times New Roman;serif" w:hAnsi="Times New Roman;serif"/>
                  <w:b w:val="false"/>
                  <w:color w:val="000000"/>
                  <w:sz w:val="20"/>
                  <w:u w:val="single"/>
                </w:rPr>
                <w:t>Item 12. Security Ownership of Certain Beneficial Owners and Management and Related Stockholder Matters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72">
              <w:r>
                <w:rPr>
                  <w:rStyle w:val="InternetLink"/>
                  <w:rFonts w:ascii="Times New Roman;serif" w:hAnsi="Times New Roman;serif"/>
                  <w:b w:val="false"/>
                  <w:color w:val="000000"/>
                  <w:sz w:val="20"/>
                  <w:u w:val="single"/>
                </w:rPr>
                <w:t>96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75">
              <w:r>
                <w:rPr>
                  <w:rStyle w:val="InternetLink"/>
                  <w:rFonts w:ascii="Times New Roman;serif" w:hAnsi="Times New Roman;serif"/>
                  <w:b w:val="false"/>
                  <w:color w:val="000000"/>
                  <w:sz w:val="20"/>
                  <w:u w:val="single"/>
                </w:rPr>
                <w:t>Item 13. 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75">
              <w:r>
                <w:rPr>
                  <w:rStyle w:val="InternetLink"/>
                  <w:rFonts w:ascii="Times New Roman;serif" w:hAnsi="Times New Roman;serif"/>
                  <w:b w:val="false"/>
                  <w:color w:val="000000"/>
                  <w:sz w:val="20"/>
                  <w:u w:val="single"/>
                </w:rPr>
                <w:t>96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178">
              <w:r>
                <w:rPr>
                  <w:rStyle w:val="InternetLink"/>
                  <w:rFonts w:ascii="Times New Roman;serif" w:hAnsi="Times New Roman;serif"/>
                  <w:b w:val="false"/>
                  <w:color w:val="000000"/>
                  <w:sz w:val="20"/>
                  <w:u w:val="single"/>
                </w:rPr>
                <w:t>Item 14. Principal Accountant Fees and Services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78">
              <w:r>
                <w:rPr>
                  <w:rStyle w:val="InternetLink"/>
                  <w:rFonts w:ascii="Times New Roman;serif" w:hAnsi="Times New Roman;serif"/>
                  <w:b w:val="false"/>
                  <w:color w:val="000000"/>
                  <w:sz w:val="20"/>
                  <w:u w:val="single"/>
                </w:rPr>
                <w:t>96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left"/>
              <w:rPr/>
            </w:pPr>
            <w:hyperlink w:anchor="i818ad6685c2b40a8a9210ef03e954439_181">
              <w:r>
                <w:rPr>
                  <w:rStyle w:val="InternetLink"/>
                  <w:rFonts w:ascii="Times New Roman;serif" w:hAnsi="Times New Roman;serif"/>
                  <w:b w:val="false"/>
                  <w:color w:val="000000"/>
                  <w:sz w:val="20"/>
                  <w:u w:val="single"/>
                </w:rPr>
                <w:t>Part IV</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81">
              <w:r>
                <w:rPr>
                  <w:rStyle w:val="InternetLink"/>
                  <w:rFonts w:ascii="Times New Roman;serif" w:hAnsi="Times New Roman;serif"/>
                  <w:b w:val="false"/>
                  <w:color w:val="000000"/>
                  <w:sz w:val="20"/>
                  <w:u w:val="single"/>
                </w:rPr>
                <w:t>97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84">
              <w:r>
                <w:rPr>
                  <w:rStyle w:val="InternetLink"/>
                  <w:rFonts w:ascii="Times New Roman;serif" w:hAnsi="Times New Roman;serif"/>
                  <w:b w:val="false"/>
                  <w:color w:val="000000"/>
                  <w:sz w:val="20"/>
                  <w:u w:val="single"/>
                </w:rPr>
                <w:t>Item 15. Exhibits, Financial Statement Schedules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84">
              <w:r>
                <w:rPr>
                  <w:rStyle w:val="InternetLink"/>
                  <w:rFonts w:ascii="Times New Roman;serif" w:hAnsi="Times New Roman;serif"/>
                  <w:b w:val="false"/>
                  <w:color w:val="000000"/>
                  <w:sz w:val="20"/>
                  <w:u w:val="single"/>
                </w:rPr>
                <w:t>97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0"/>
              <w:jc w:val="left"/>
              <w:rPr/>
            </w:pPr>
            <w:hyperlink w:anchor="i818ad6685c2b40a8a9210ef03e954439_187">
              <w:r>
                <w:rPr>
                  <w:rStyle w:val="InternetLink"/>
                  <w:rFonts w:ascii="Times New Roman;serif" w:hAnsi="Times New Roman;serif"/>
                  <w:b w:val="false"/>
                  <w:color w:val="000000"/>
                  <w:sz w:val="20"/>
                  <w:u w:val="single"/>
                </w:rPr>
                <w:t>Item 16. Form 10-K Summary </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87">
              <w:r>
                <w:rPr>
                  <w:rStyle w:val="InternetLink"/>
                  <w:rFonts w:ascii="Times New Roman;serif" w:hAnsi="Times New Roman;serif"/>
                  <w:b w:val="false"/>
                  <w:color w:val="000000"/>
                  <w:sz w:val="20"/>
                  <w:u w:val="single"/>
                </w:rPr>
                <w:t>99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18ad6685c2b40a8a9210ef03e954439_190">
              <w:r>
                <w:rPr>
                  <w:rStyle w:val="InternetLink"/>
                  <w:rFonts w:ascii="Times New Roman;serif" w:hAnsi="Times New Roman;serif"/>
                  <w:b w:val="false"/>
                  <w:color w:val="000000"/>
                  <w:sz w:val="20"/>
                  <w:u w:val="singl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ad6685c2b40a8a9210ef03e954439_190">
              <w:r>
                <w:rPr>
                  <w:rStyle w:val="InternetLink"/>
                  <w:rFonts w:ascii="Times New Roman;serif" w:hAnsi="Times New Roman;serif"/>
                  <w:b w:val="false"/>
                  <w:color w:val="000000"/>
                  <w:sz w:val="20"/>
                  <w:u w:val="single"/>
                </w:rPr>
                <w:t>99</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erif" w:hAnsi="Times New Roman;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erif" w:hAnsi="Times New Roman;serif"/>
          <w:b w:val="false"/>
          <w:color w:val="000000"/>
          <w:sz w:val="20"/>
        </w:rPr>
        <w:t>, those set forth in Part I, Item 1A, “Risk Factors,” and other factors set forth in other parts of this Annual Report on Form 10-K. Furthermore, such forward-looking statements speak only as of the date of this report. Except as required by law</w:t>
      </w:r>
      <w:r>
        <w:rPr>
          <w:rFonts w:ascii="Times New Roman;serif" w:hAnsi="Times New Roman;serif"/>
          <w:b w:val="false"/>
          <w:color w:val="000000"/>
          <w:sz w:val="20"/>
          <w:shd w:fill="FFFFFF" w:val="clear"/>
        </w:rPr>
        <w:t xml:space="preserve">,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expectations regarding revenue growth, Adjusted EBITDA margin expansion and our ability to achieve or maintain profitability; our ability to continue to launch new products; the implementation of our new share repurchase program and any share repurchases thereunder; our ability to attract and retain customers; our ability to execute on and to continue driving benefits from our Transformation Pillars of Brand Maximization, Margin Enhancement, and Operating Discipline; our timeline for and ability to successfully implement, execute, and derive benefits from our Powering Honest Growth program (as defined below), statements regarding the intended effect of Powering Honest Growth and our expectations regarding the estimated costs, benefits, timing of such costs and benefits and timing of completion of Powering Honest Growth; our pricing, marketing, and distribution strategies; our continued focus on research, development and innovation; our expectations regarding consumer demand or behavior and the timing and amount of orders from our largest customers; </w:t>
      </w:r>
      <w:r>
        <w:rPr>
          <w:rFonts w:ascii="Times New Roman;serif" w:hAnsi="Times New Roman;serif"/>
          <w:b w:val="false"/>
          <w:color w:val="000000"/>
          <w:sz w:val="20"/>
        </w:rPr>
        <w:t xml:space="preserve">our ability to accelerate or continue growth in the high-margin categories and to offset declines in other categories; </w:t>
      </w:r>
      <w:r>
        <w:rPr>
          <w:rFonts w:ascii="Times New Roman;serif" w:hAnsi="Times New Roman;serif"/>
          <w:b w:val="false"/>
          <w:color w:val="000000"/>
          <w:sz w:val="20"/>
          <w:shd w:fill="FFFFFF" w:val="clear"/>
        </w:rPr>
        <w:t>the effect of macroeconomic factors, including supply chain disruptions, tariffs, and inflationary pressures;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231F20"/>
          <w:sz w:val="20"/>
        </w:rPr>
      </w:pPr>
      <w:r>
        <w:rPr>
          <w:rFonts w:ascii="Times New Roman;serif" w:hAnsi="Times New Roman;serif"/>
          <w:b/>
          <w:color w:val="231F20"/>
          <w:sz w:val="20"/>
        </w:rPr>
        <w:t>Risk Factors Summary</w:t>
      </w:r>
    </w:p>
    <w:p>
      <w:pPr>
        <w:pStyle w:val="TextBody"/>
        <w:bidi w:val="0"/>
        <w:spacing w:before="0" w:after="0"/>
        <w:jc w:val="center"/>
        <w:rPr/>
      </w:pPr>
      <w:r>
        <w:rPr/>
      </w:r>
    </w:p>
    <w:p>
      <w:pPr>
        <w:pStyle w:val="TextBody"/>
        <w:bidi w:val="0"/>
        <w:spacing w:lineRule="auto" w:line="268" w:before="0" w:after="12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Investing in our common stock involves substantial risks. The risks described in the section titled “Risk Factors” may cause us to not realize the full benefits of our strengths or to be unable to successfully execute all or part of our strategy. Some of the more significant risks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strategic initiatives, including as part of the Transformation Initiative and Transformation 2.0: Powering Honest Growth, to reduce our costs could have short and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be unable to accurately forecast revenue, gross margin or operating expenses and appropriately plan our expenses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compete successfully in our highly competitive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Overall macroeconomic trends, including due to geopolitical uncertainty,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we fail to manage our inventory effectively, our business, financial condition, results of operations and liquidity may be materially and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secure, maintain and increase our presence with retailers could adversely impact our revenue, and in turn our business, financial condition, results of operations and prospects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International trade disputes and the U.S. government’s trade policy, including recently enacted tariffs and potential new tariffs, could adversely affect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may be adversely affected if we are unable to respond and adapt to rapid changes in technology.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adversely affect our business, harm our brand, cause consumer dissatisfaction, and require us to find alternative suppliers of our products or services.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Business </w:t>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Overview of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Founded in 2012, The Honest Company (the “Company,” or “Honest,” or which may also be referred to as “we,” “us” or “our”) is a personal care company dedicated to creating cleanly-formulated and sustainably-designed products for everyone from babies to adults. By combining thoughtful design with science-based innovation, we deliver personal care products for everyone from babies to adults, spanning categories across wipes, personal care, diapers, and beauty. Our commitment to our core values, continual innovation and engaging our community has differentiated and elevated our brand and our products. Since our launch, we have cultivated deep trust around what matters most to our consumers: their health, their families and their homes. We seek to meet consumers wherever they want to shop, balancing deep consumer connection with broad convenience and availability. We believe our distribution strategy positions us for continued growth through our trusted brand and award-winning multi-category product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Our Products and Product Categories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Our Chief Executive Officer, as the chief operating decision maker, organizes the Company, manages resource allocations, and measures performance on the basis of one operating segment. We offer an array of cleanly-formulated and sustainably-designed products, including a portfolio of wipes and a personal care collection for everyone from babies to adults, as well as diapers. </w:t>
      </w:r>
      <w:r>
        <w:rPr>
          <w:rFonts w:ascii="Times New Roman;serif" w:hAnsi="Times New Roman;serif"/>
          <w:b w:val="false"/>
          <w:color w:val="231F20"/>
          <w:sz w:val="20"/>
        </w:rPr>
        <w:t xml:space="preserve">We use cleanly-formulated and safe ingredients designed for the whole family, including many naturally-derived ingredients that, most importantly, are effective. We also offer a portfolio of wipes, including all-purpose wipes, flushable wipes in both toddler and adult variations, sanitizing wipes, and make-up remover wipes. </w:t>
      </w:r>
      <w:r>
        <w:rPr>
          <w:rFonts w:ascii="Times New Roman;serif" w:hAnsi="Times New Roman;serif"/>
          <w:b w:val="false"/>
          <w:color w:val="000000"/>
          <w:sz w:val="20"/>
        </w:rPr>
        <w:t>Our Clean Conscious®</w:t>
      </w:r>
      <w:r>
        <w:rPr>
          <w:color w:val="000000"/>
        </w:rPr>
        <w:t xml:space="preserve"> </w:t>
      </w:r>
      <w:r>
        <w:rPr>
          <w:rFonts w:ascii="Times New Roman;serif" w:hAnsi="Times New Roman;serif"/>
          <w:b w:val="false"/>
          <w:color w:val="000000"/>
          <w:sz w:val="20"/>
        </w:rPr>
        <w:t xml:space="preserve">wipes are compostable and plant-based, made with over 99% water and designed to protect delicate skin. </w:t>
      </w:r>
      <w:r>
        <w:rPr>
          <w:rFonts w:ascii="Times New Roman;serif" w:hAnsi="Times New Roman;serif"/>
          <w:b w:val="false"/>
          <w:color w:val="231F20"/>
          <w:sz w:val="20"/>
        </w:rPr>
        <w:t xml:space="preserve">We have an extensive collection of personal care products for everyone from babies to adults, as well as adult facial care products designed for a range of skin types and concerns, many of which are certified by trusted experts and institutions, including the National Eczema Association. Our ingredients and formulas are toxicologist-audited for potential health concerns. Primary components of our diapers include responsibly sourced, plant-based fluff pulp and other plant-derived materials. Our diapers have an extensive modern and efficient design that uses less material.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Our Distribution Strategy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seek to meet consumers wherever they want to shop, balancing deep consumer connection with broad convenience and availability. Our distribution strategy positions us for continued growth through our trusted brand and award-winning multi-category product offerings. Since our launch, we have expanded our product availability, including the launch of strategic partnerships with Target, Amazon and Walmart in 2014, 2017 and 2022, respectively</w:t>
      </w:r>
      <w:r>
        <w:rPr>
          <w:rFonts w:ascii="Times New Roman;serif" w:hAnsi="Times New Roman;serif"/>
          <w:b w:val="false"/>
          <w:color w:val="231F20"/>
          <w:sz w:val="20"/>
        </w:rPr>
        <w:t>, as well as distribution with many other retailers nationwide</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We have retail partnerships with leading retailers that sell our products through brick and mortar stores and on their own websites. Our retail partnerships expand brand awareness and product </w:t>
      </w:r>
      <w:r>
        <w:rPr>
          <w:rFonts w:ascii="Times New Roman;serif" w:hAnsi="Times New Roman;serif"/>
          <w:b w:val="false"/>
          <w:color w:val="000000"/>
          <w:sz w:val="20"/>
        </w:rPr>
        <w:t>availability</w:t>
      </w:r>
      <w:r>
        <w:rPr>
          <w:rFonts w:ascii="Times New Roman;serif" w:hAnsi="Times New Roman;serif"/>
          <w:b w:val="false"/>
          <w:color w:val="231F20"/>
          <w:sz w:val="20"/>
        </w:rPr>
        <w:t xml:space="preserve">, creating meaningful marketing efficiencies as we continue to scale. Additionally, these retail partnerships support our differentiated value proposition by making our products conveniently available in the many places where our consumer shops.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we have transitioned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Our Growth Strategy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core of our growth strategy centers around increasing physical and digital availability of our products, including through expanded stores, doors, aisles, shelves and facings. While we have made significant progress in our distribution gains, we are still under-indexed compared to competition. Our marketing strategy is focused on building a purpose-driven brand with deep connection to the community of shoppers we serve. We apply a modern, data-driven marketing approach and continuously innovate, optimize and identify new ways to reach and connect with our community. We believe this includes a best-in-class social media and influencer marketing strategy and a highly strategic approach to paid media.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our Board of Directors approved Transformation 2.0: Powering Honest Growth (“Powering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Honest Growth”) which builds upon our original Transformation Pillars of Brand Maximization, Margin Enhancement and Operating Discipline. Powering Honest Growth is aimed at improving simplicity, focus and profitability, which includes exiting certain lower margin, non-strategic categories and channels, including exiting Honest.com fulfillment and apparel, as well as exiting retail and online stores in Canada, optimizing our cost structure by rightsizing selling, general and administrative expenses, and implementing supply chain efficiencies. We expect to substantially complete the actions under Powering Honest Growth by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strategic plan is grounded in our Transformation Pillars, which set the building blocks for long-term value creation. We expect to realize revenue growth of 4% to 6% annually and continued Adjusted EBITDA margin expansion.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Supply Chain and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manage a global supply chain of highly qualified, third-party suppliers, including materials, components, manufacturing and logistics partners to produce and distribute our products. We look to identify and work with partners who share our commitment to quality, current Good Manufacturing Practices (“cGMPs”), clean ingredients in partnership with our Honest Standard, sustainability, and design. We conduct quality audits of our third-party partners and require that they follow our high standards of quality, including controlled documentation, cleaning and safety protocols, and laboratory controls. Our third-party partners are located in various locations including the United States, Mexico and China. Our supply chain team manages these relationships and processes and, with the support of our innovation team, researches materials, components and equipment, approves and manages purchasing plans, and oversees product fulfillment.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primary raw materials and components of our products include responsibly sourced, plant-based fluff pulp in our diapers and plant-based substrate in our baby wipes, among other materials. Just as important as what goes into our products, we actively work with suppliers to avoid certain materials, including parabens, paraffins and synthetic fragrances, that don’t meet our standards but are commonly used by mainstream brands.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Our distribution network includes two warehouses in Nevada and Pennsylvania, respectively, with retail fulfillment capabilities and value-added services operated by National Distribution Centers, LLC, or NFI, and GEODIS Logistics LLC, or GEODIS, respectively. The warehouse in Las Vegas is a state-of-the-art facility leased by Honest with a focus on automated large scale retail fulfillment. We manage inventory by forecasting demand tied to consumption and marketing campaigns, as well as analyzing product sell-through, and analyzing our supply chain to ensure sufficient capacity to support demand. As a result of </w:t>
      </w:r>
      <w:r>
        <w:rPr>
          <w:rFonts w:ascii="Times New Roman;serif" w:hAnsi="Times New Roman;serif"/>
          <w:b w:val="false"/>
          <w:color w:val="000000"/>
          <w:sz w:val="20"/>
        </w:rPr>
        <w:t xml:space="preserve">global pandemics or other macroeconomic </w:t>
      </w:r>
      <w:r>
        <w:rPr>
          <w:rFonts w:ascii="Times New Roman;serif" w:hAnsi="Times New Roman;serif"/>
          <w:b w:val="false"/>
          <w:color w:val="231F20"/>
          <w:sz w:val="20"/>
        </w:rPr>
        <w:t>trends, we and our distribution partners have in the past experienced and may in the future experience some supply-related disruptions to the operations of our fulfillment centers. As part of Powering Honest Growth, i</w:t>
      </w:r>
      <w:r>
        <w:rPr>
          <w:rFonts w:ascii="Times New Roman;serif" w:hAnsi="Times New Roman;serif"/>
          <w:b w:val="false"/>
          <w:color w:val="000000"/>
          <w:sz w:val="20"/>
        </w:rPr>
        <w:t>n December 2025, we notified GEODIS, pursuant to the terms of the contract, that we are terminating the agreement with them for the Pennsylvania warehouse use and services effective June 30, 2026. Following June 30, 2026, we will only be operating with the Nevada warehouse.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Competition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The markets in which we operate are highly competitive and rapidly evolving, with many new brands and product offerings emerging in the marketplace. We face significant competition from both established, well-known legacy c</w:t>
      </w:r>
      <w:r>
        <w:rPr>
          <w:rFonts w:ascii="Times New Roman;serif" w:hAnsi="Times New Roman;serif"/>
          <w:b w:val="false"/>
          <w:color w:val="000000"/>
          <w:sz w:val="20"/>
        </w:rPr>
        <w:t>onsumer packaged goods, or CPG</w:t>
      </w:r>
      <w:r>
        <w:rPr>
          <w:color w:val="231F20"/>
        </w:rPr>
        <w:t xml:space="preserve"> </w:t>
      </w:r>
      <w:r>
        <w:rPr>
          <w:rFonts w:ascii="Times New Roman;serif" w:hAnsi="Times New Roman;serif"/>
          <w:b w:val="false"/>
          <w:color w:val="231F20"/>
          <w:sz w:val="20"/>
        </w:rPr>
        <w:t>players and emerging DTC brands. Select competitors of our wipes include ZURU Edge Limited (maker of Millie Moon and Rascals), WaterWipes UC, DUDE Wipes, Inc., Edgewell Personal Care Company (maker of Wet Ones wipes) and other private label brands. Select competitors of our skin and personal care products include Kimberly-Clark Corporation (pending acquiror of Kenvue Inc.), The Clorox Company (parent company of Burt’s Bees, Inc.), Unilever PLC (maker of Shea Moisture), Estée Lauder Inc., L’Oréal S.A. and Pacifica Beauty LLC. Select competitors of our diapers include Kimberly-Clark Corporation (maker of Huggies diapers and Cottonelle wipes) and Procter &amp; Gamble Company (maker of Pampers, Pampers Pure, Luvs and Charmin). We compete based on various product attributes including clean formulation, sustainability, effectiveness and design. We believe that we compete favorably across these factors taken as a whole.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Our Industry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Our product-level point of sale consumption growth in </w:t>
      </w:r>
      <w:r>
        <w:rPr>
          <w:rFonts w:ascii="Times New Roman;serif" w:hAnsi="Times New Roman;serif"/>
          <w:b w:val="false"/>
          <w:color w:val="000000"/>
          <w:sz w:val="20"/>
        </w:rPr>
        <w:t>2025 significantly</w:t>
      </w:r>
      <w:r>
        <w:rPr>
          <w:color w:val="231F20"/>
        </w:rPr>
        <w:t xml:space="preserve"> </w:t>
      </w:r>
      <w:r>
        <w:rPr>
          <w:rFonts w:ascii="Times New Roman;serif" w:hAnsi="Times New Roman;serif"/>
          <w:b w:val="false"/>
          <w:color w:val="231F20"/>
          <w:sz w:val="20"/>
        </w:rPr>
        <w:t xml:space="preserve">outpaced the category in wipes and baby personal care, while decline in point of sale consumption for diapers in </w:t>
      </w:r>
      <w:r>
        <w:rPr>
          <w:rFonts w:ascii="Times New Roman;serif" w:hAnsi="Times New Roman;serif"/>
          <w:b w:val="false"/>
          <w:color w:val="000000"/>
          <w:sz w:val="20"/>
        </w:rPr>
        <w:t>2025 also outpaced the category</w:t>
      </w:r>
      <w:r>
        <w:rPr>
          <w:rFonts w:ascii="Times New Roman;serif" w:hAnsi="Times New Roman;serif"/>
          <w:b w:val="false"/>
          <w:color w:val="231F20"/>
          <w:sz w:val="20"/>
        </w:rPr>
        <w:t xml:space="preserve">. Based on independent third-party consumption data for the 52 weeks ended </w:t>
      </w:r>
      <w:r>
        <w:rPr>
          <w:rFonts w:ascii="Times New Roman;serif" w:hAnsi="Times New Roman;serif"/>
          <w:b w:val="false"/>
          <w:color w:val="000000"/>
          <w:sz w:val="20"/>
        </w:rPr>
        <w:t>January 4, 2026</w:t>
      </w:r>
      <w:r>
        <w:rPr>
          <w:rFonts w:ascii="Times New Roman;serif" w:hAnsi="Times New Roman;serif"/>
          <w:b w:val="false"/>
          <w:color w:val="231F20"/>
          <w:sz w:val="20"/>
        </w:rPr>
        <w:t xml:space="preserve">, the point of sale consumption growth for wipes and baby personal care was 31% and 12%, respectively, and point of sale consumption for diapers declined 15%, each significantly outpacing the products in the industry as a whole which grew in wipes and baby personal care of 5% and 3%, respectively, and declined in diapers of 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believe that consumers' need for sensitive skin products and clean products will continue to grow in years to come and as consumers become more knowledgeable about clean credentials and our Honest Standard. We believe that certain historical leading brands that have produced products in these categories for decades generally focus on single categories and offer products made with conventional ingredients that are less aligned with increasing consumer preference for clean and naturally-derived ingredients. We believe that given consumers’ growing focus on their health and wellness, reducing waste and promoting social impact, we are well-positioned to continue to take market share from these legacy brands.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Our Purpose-Driven 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Honest Standard is our rigorous set of guiding principles that helps shape every step of product innovation and development, reflecting our ongoing dedication to safety, transparency and integrity. We believe that consumers should never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have to worry about the safety of the products they bring into their home. That’s why we ri</w:t>
      </w:r>
      <w:r>
        <w:rPr>
          <w:rFonts w:ascii="Times New Roman;serif" w:hAnsi="Times New Roman;serif"/>
          <w:b w:val="false"/>
          <w:color w:val="000000"/>
          <w:sz w:val="20"/>
        </w:rPr>
        <w:t>gorously test and research every product. We maintain a NO List™ of over 3,500 chemicals and materials we will not formulate with, including parabens, phthalates, formaldehyde donors and synthetic fragrances. We have an in-house toxicologist and an eco-toxicologist with in-depth audit protocols. Our in-house R&amp;D team selects ingredients with care. We meet the requirements of many independent organizations or certification authorities for several of our products. This includes the USDA’s BioPreferred® Program for biobased content, the National Eczema Association’s Seal of Acceptance,</w:t>
      </w:r>
      <w:r>
        <w:rPr>
          <w:color w:val="231F20"/>
        </w:rPr>
        <w:t xml:space="preserve"> </w:t>
      </w:r>
      <w:r>
        <w:rPr>
          <w:rFonts w:ascii="Times New Roman;serif" w:hAnsi="Times New Roman;serif"/>
          <w:b w:val="false"/>
          <w:color w:val="231F20"/>
          <w:sz w:val="20"/>
        </w:rPr>
        <w:t xml:space="preserve">the IWSFG standard for flushable wipes, </w:t>
      </w:r>
      <w:r>
        <w:rPr>
          <w:rFonts w:ascii="Times New Roman;serif" w:hAnsi="Times New Roman;serif"/>
          <w:b w:val="false"/>
          <w:color w:val="000000"/>
          <w:sz w:val="20"/>
        </w:rPr>
        <w:t>Environmental Working Group (</w:t>
      </w:r>
      <w:r>
        <w:rPr>
          <w:color w:val="231F20"/>
        </w:rPr>
        <w:t>“</w:t>
      </w:r>
      <w:r>
        <w:rPr>
          <w:rFonts w:ascii="Times New Roman;serif" w:hAnsi="Times New Roman;serif"/>
          <w:b w:val="false"/>
          <w:color w:val="231F20"/>
          <w:sz w:val="20"/>
        </w:rPr>
        <w:t>EWG”</w:t>
      </w:r>
      <w:r>
        <w:rPr>
          <w:rFonts w:ascii="Times New Roman;serif" w:hAnsi="Times New Roman;serif"/>
          <w:b w:val="false"/>
          <w:color w:val="000000"/>
          <w:sz w:val="20"/>
        </w:rPr>
        <w:t xml:space="preserve">) Verified™ and OEKO-TEX® STANDARD 100. We have over 100 EWG Verified™ SKUs across the organization, which are products that do not include EWG's chemicals of concern while also meeting their strict health-based guidelines. We conduct quality audits of our third-party manufacturing partners. We require our third-party manufacturers to commit to follow our high standards of controlled documentation, cleaning and safety protocols, and laboratory controls.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Community impact is also very important to us. We work closely with our charity partners, including Baby2Baby, to help provide children and families across the country with the basic essentials and resources they need to live healthy lives. Since the start of our relationship with Baby2Baby and other partners in 2012, we have donated more than 44 million family personal care, feminine care, clean beauty products and other essentials to those in need and our compassionate team has volunteered over 20,800 hours giving back to our communities and providing disaster relief. Our partnership with March of Dimes helps fund research, advocacy and service programs addressing maternal and infant mortality with critical healthcare and support. Since this partnership, we have donated more than $0.8 million and reached more than an estimated 402,000 mothers in 2025 with health education and programs to support the organization, including its new Mom and Baby Action Network.</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a values-driven organization, we take a holistic approach to caring for our employees, with benefits and programs designed to support physical, mental, emotional and financial well-being. We offer a competitive compensation and benefits program, and our award-winning learning and development program, Honest University, delivers opportunities for all employees to grow and develop personally, professionally and financially. Our corporate social responsibility efforts provide opportunities for employees to give back to communities in need through volunteerism and donation matching. The Honest Company provides an Employee Assistance Program (EAP) at no cost to employees to support emotional well-being and a fitness reimbursement to encourage a healthy lifestyle for Honest employees. </w:t>
      </w:r>
      <w:r>
        <w:rPr>
          <w:rFonts w:ascii="Times New Roman;serif" w:hAnsi="Times New Roman;serif"/>
          <w:b w:val="false"/>
          <w:color w:val="231F20"/>
          <w:sz w:val="20"/>
        </w:rPr>
        <w:t xml:space="preserve">As of December 31, 2025, we had a total of 174 employees, all who are full-time, as well as a limited number of temporary employees and consultants.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believe small changes in the right direction start ripple effects that have the potential to change entire industries and how products are made. Our commitment to environmental mindfulness shows up through our product development, packaging processes and in many parts of our business on a daily basis. For example, the cartons used in our baby personal care line are environmentally-friendly, Forest Stewardship Council (“FSC”)-certified, and/or made from 100% recycled, PCW (pre/post consumer waste) materials. 100% of our full-size baby personal care bottles are recyclable or include recycled materials and we are regularly looking to increase the amount of post-consumer resin in our components. Our diapers feature an innovative design that uses less material than our previous diaper innovation.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Government Regulation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Substantially all of our products are subject to regulation by the Consumer Product Safety Commission, or the CPSC, the EPA, and the Federal Trade Commission, or the FTC, as well as various other federal, state, local and foreign regulatory authorities. These laws and regulations principally relate to the ingredients or components, proper labeling, advertising, packaging, marketing, manufacture, registration, safety, shipment and disposal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cosmetic, over-the-counter drugs, food (vitamins/dietary supplements) and cleansing products are subject to regulation by the Food and Drug Administration, or the FDA. Under the Federal Food, Drug and Cosmetic Act, or the FDCA, cosmetics are defined as articles or components of articles that are applied to the human body and intended to cleanse, beautify or alter its appearance, with the exception of soap. The labeling of cosmetic products is also subject to the requirements of the FDCA, the Fair Packaging and Labeling Act, the Poison Prevention Packaging Act and other FDA regulations. Cosmetics are not subject to pre-market approval by the FDA, however certain ingredients, such as color additives, must be pre-authorized. If safety of the products or ingredients has not been adequately substantiated, a specific warning label is required. Other warnings may also be mandated pursuant to FDA regulations. The FDA monitors compliance of cosmetic products through market surveillance, inquiry data, consumer complaints, and import surveillance and inspection of cosmetic manufacturers and distributors to ensure that the products neither contain false nor misleading labeling and that they are not manufactured under unsanitary conditions. Inspections also may arise from consumer or competitor complaints filed with the FDA. In the event the FDA identifies false or misleading labeling or unsanitary conditions or otherwise a failure to comply with FDA requirements, we may be required by a regulatory authority or we may independently decide to conduct a recall or market withdrawal of our product or to make changes to our manufacturing processes or product formulations or labels. In addition, the Modernization of Cosmetics Regulation Act (“MoCRA”), enacted in December 2022, expanded the FDA’s regulatory authority over cosmetic products, including by providing the FDA with new mandatory recall authority over cosmetics and by requiring the registration of cosmetic manufacturing facilities, the reporting of certain adverse events, the issuance of cGMP requirements and the establishment of safety substantiation requirements. The cGMP regulations under MoCRA are yet to be proposed by FDA.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If a product is intended for use in the diagnosis, cure, mitigation, treatment or prevention of a disease condition or to affect the structure or function of the human body, the FDA will regulate the product as a drug. Our current products that are intended to soothe diaper rash and skin care products with colloidal oatmeal are considered over-the-counter, or OTC, drug products by the FDA. Our OTC products are subject to regulation through the FDA’s “monograph” system which specifies, among other things, permitted active drug ingredients and their concentrations. The FDA’s monograph system also provides the permissible product claims and certain product labeling requirements, based on the intended use of the product. Our OTC drug products must be manufactured consistent with the FDA’s current drug good manufacturing practices requirements, and the failure to maintain compliance with these requirements could require us to conduct recalls, market withdrawal, or make changes to our manufacturing practices.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FDA may change the regulations as to any product category, requiring a change in labeling, product formulation or analytical testing.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also subject to a number of data privacy and security obligations, including U.S. federal, state, local and foreign laws, regulations, guidance, and industry standards . Many of these obligations are evolving and becoming increasingly stringent, and could be interpreted and applied in ways that could harm our business. In the ordinary course of our business, we process personal (including, at times, sensitive) data. Obligations related to personal data include and may in the future include, without limitation, the Federal Trade Commission Act, the Telephone Consumer Protection Act of 1991, the Controlling the Assault of Non-Solicited Pornography And Marketing Act of 2003, the California Consumer Privacy Act of 2018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the ePrivacy Directive, various US state comprehensive consumer privacy laws, and the Payment Card Industry Data Security Standard (“PCI DSS”). As applicable, these laws require us to include specific disclosures and afford individuals certain rights regarding their personal data. Data protection obligations impact our business and ability to provide our products and services and create potential liability for non-compliance. Additionally, we are subject to various U.S. federal and state consumer protection laws which require us to publish statements that accurately and fairly describe how we handle personal data and choices individuals may have about the way we handle their personal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Additional obligations regarding privacy, data protection, content, intellectual property, distribution, electronic contracts and other communications, automatically renewing product subscriptions, competition, protection of minors, consumer protection, telecommunications, product liability, taxation, economic or other trade prohibitions or sanctions and online payment services continue to apply to our business. See the section titled “Risk Factors – Risks Related to Legal and Governmental Regulation” for additional information about the laws and regulations to which we may become subject and about the risks to our business associated with such laws and regulations.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Trademarks and Other Intellectual Property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protect our intellectual property through a combination of trademarks, domain names, copyrights, trade secrets and patents, as well as contractual provisions and restrictions on access to our proprietary technology. Our principal trademark assets include the trademarks “Honest” and “The Honest Co.,” which are registered in the United States and targeted foreign jurisdictions, our logos and taglines, and multiple product brand names. We have applied to register or registered many of our trademarks in the United States and other jurisdictions, and we will pursue additional trademark registrations to the extent we believe they would be beneficial and cost- effective.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one patent issued in the United States. Our issued patent will expire in April 2037. We intend to pursue additional patent protection to the extent we believe it would be beneficial and cost-effective.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the registered holder of multiple domestic and international domain names that include “honest” and similar variations. We also hold domain registrations for many of our product names and other related trade names and slogans. In addition to the protection provided by our intellectual property rights, we enter into confidentiality and proprietary rights agreements with our employees, consultants, contractors and business partners. Our employees are also subject to invention assignment agreements. We further control the use of our proprietary technology and intellectual property through provisions in both our customer terms of use on our website and the terms and conditions governing our agreements with other third parties.</w:t>
      </w:r>
    </w:p>
    <w:p>
      <w:pPr>
        <w:pStyle w:val="TextBody"/>
        <w:bidi w:val="0"/>
        <w:spacing w:before="0" w:after="0"/>
        <w:ind w:left="0" w:right="0" w:firstLine="50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The Company’s Annual Report on Form 10-K, Quarterly Reports on Form 10-Q and Current Reports on Form 8-K and amendments to those reports filed or furnished pursuant to Sections 13(a) or 15(d) of the Exchange Act are available on the Company’s website, free of charge, as soon as reasonably practicable after the reports are electronically filed with or furnished to the SEC. These reports are available at investors.honest.com under Financial Information/SEC Filings. Additionally, the Company routinely posts additional important information, including press releases, on its website and corporate LinkedIn account and recognizes its website and corporate LinkedIn account as channels of distribution to reach public investors and as a means of disclosing material non-public information for complying with disclosure obligations under Regulation FD.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investors should monitor our website and corporate LinkedIn account in addition to our SEC filings and public webcasts. These items are available at investors.honest.com under News and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Information relating to corporate governance at Honest, including the Company’s Code of Business Conduct and Ethics, the Honest Company Corporate Governance Guidelines and Committee charters for the Audit Committee, Compensation Committee and the Nominating and Corporate Governance Committee, is available at investors.honest.com under Corporate Governance or https://investors.honest.com/corporate-governance/douments-charters. The Company will provide any of the foregoing information without charge upon written request to Corporate Communications, The Honest Company, 12130 Millennium Drive, #500, Los Angeles, CA 90094. The information contained on the Company’s website is not included as a part of, or incorporated by reference into,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231F20"/>
          <w:sz w:val="20"/>
        </w:rPr>
      </w:pPr>
      <w:r>
        <w:rPr>
          <w:rFonts w:ascii="Times New Roman;serif" w:hAnsi="Times New Roman;serif"/>
          <w:b w:val="false"/>
          <w:i/>
          <w:color w:val="231F20"/>
          <w:sz w:val="20"/>
        </w:rPr>
        <w:t>Investing in our common stock involves a high degree of risk. You should carefully consider the following risk factors, as well as the other information in this Form 10-K, including our consolidated financial statements and the related notes and “Management’s Discussion and Analysis of Financial Condition and Results of Operations,” before deciding whether to invest in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prospects could be adversely affected. In this case, the trading price of our common stock could decline and you might lose part or all your investment.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Risks Related to Our Business, Our Brand, Our Products and Our Industry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Past growth has placed demands on our management, financial, operational, technological and other resources. The anticipated growth and expansion of our business depends on a number of factors, including our ability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increase awareness of our brand and successfully compete with other companies;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effectively market our products through retail partnerships to increase sales velocity;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price our products effectively so that we are able to attract new consumers and expand sales to our existing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expand distribution and points of sales (the number of SKUs) with new and existing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continue to innovate and introduce new products;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expand our supplier and fulfillment capacities;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maintain quality control over our product offerings;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effectively implement our business strategies.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Such growth and expansion of our business will place significant demands on our management and operations teams and require significant additional resources, financial and otherwise, to meet our needs, which may not be available in a cost-effective manner, or at all. We expect to continue to expend substantial resources 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sales and marketing efforts to increase brand awareness, further engaging our existing and prospective consumers, and driving sales of our products;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technology platforms to support sales of our products and make our supply chain and operations more efficient;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product innovation and development;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general administration, including increased finance, legal and accounting expenses associated with being a public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These investments may not result in the growth of our business. Even if these investments do result in the growth of our business, if we do not effectively manage our growth we may not be able to execute on our business plan, respond to competitive pressures, take advantage of market opportunities, satisfy consumer requirements or maintain high-quality product offerings, any of which could adversely affect our business, financial condition, results of operations and prospects. You should not rely on our historical rate of revenue growth as an indication of our future performance or the rate of growth we may experience in any new category, as well as revenue growth may be different in light of Powering Honest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to support continued growth, we must effectively integrate, develop and motivate new employees while maintaining our corporate culture. We continue to face significant competition for personnel. To attract top talent, we have had to offer, and expect to continue to offer, competitive compensation and benefits packages before we can validate the productivity of new employees. We may also need to increase our employee compensation levels to remain competitive in attracting and retaining talented employees. In the past few years we have also seen heightened demand for labor and escalating labor prices in the market. The risks associated with a rapidly evolving workforce will be particularly acute as we execute Powering Honest Growth. Additionally, we may not be able to hire new employees quickly enough to meet our needs or retain our existing employees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face of competitive hiring trends. If we fail to effectively manage our hiring needs, successfully integrate new hires or retain existing employees, our efficiency, ability to meet forecasts and employee morale, productivity and retention could suffer,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also required to manage numerous relationships with various retailers and distribution partners, vendors and other third parties. Further growth of our operations, retailers and distribution partners, vendor base, fulfillment centers, information technology systems or internal controls and procedures may not be adequate to support our operations. If we are unable to manage the growth of our organization effectively, our business, financial condition, results of operations and prospects may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quarterly operating results may fluctuate, which could cause our stock price to decline.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quarterly operating results may fluctuate for a variety of reasons, many of which are beyond our control,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fluctuations in revenue due to consumer and customer demand, including as a result of adverse economic and market conditions driven by the challenging macroeconomic environment, the seasonality of market transactions and fluctuations in sales and inflationary pressures;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000000"/>
          <w:sz w:val="20"/>
        </w:rPr>
        <w:t>inflation in key input costs, including the cost to import products and tariff costs, transportation, labor and warehouse costs;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increased costs of the components and raw materials that go into making our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the amount and timing of our operating expenses;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our success in attracting new and maintaining relationships with existing retail and ecommerce partners, as well as any price concessions they may demand or promotional activities they participate in;</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our success in executing on our strategy and the impact of any changes in our strategy;</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the timing and success of product launches, including new products that we may introduce;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efficiency of our marketing efforts;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disruptions in our supply chain, the ability of our third-party manufacturers to produce our products, ability of our distributors to distribute our products, or disruptions, delays, or increased costs in our shipping arrangements;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disruptions or defects in our technology platform, such as privacy or data security breaches, errors in our software or other incidents that impact the availability, reliability, or performance of our platform;</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impact of competitive developments and our response to those developments;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fluctuations in inventory and working capital;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ability to manage our business and future growth;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ability to recruit and retain employees.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Fluctuations in our quarterly operating results and the price of our common stock may be particularly pronounced in the current economic environment due to the uncertainty caused by inflation, tariffs and other macroeconomic factors and consumer and customer spending patterns.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other problems, including, for example, analysts or investors changing their models for valuing our common stock. We could experience short-term liquidity issues, our ability to retain or attract key personnel may diminish, and other unanticipated issues may arise.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quarterly operating results have varied in the past and we believe that they will continue to vary in the future and that period-to-period comparisons of our operating results may not be meaningful. Any seasonal effects may change or become more pronounced over time, which could also cause our operating results to fluctuate. You should not rely on the results of any given quarter as an indication of future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future success depends, in part, on our ability to achieve our long-term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Achieving our long-term strategy will require investment in new capabilities, employees, products, distribution channels, supply chain facilities and technologies. These investments may result in short-term costs without any current sales and, therefore, may be dilutive to our earnings. In addition, we have in the past, will in the near term, and may in the future dispose of or discontinue select products or streamline operations and incur costs or restructuring and other charges in doing so. For example, effective December 31, 2025, we ceased our fulfillment of orders via Honest.com, and exited retail and online stores in Canada and on November 5, 2025 we sent notice of termination of our Supplier Services Agreement with Butterblu for the sale of Honest apparel as part of Powering Honest Growth. We have updated our strategic focus, which could impact our business and results of operations. Although we are committed to ensuring that our updated strategy will lead to long-term growth in sales and profitability, we may not realize the anticipated benefits. The failure to realize benefits from our updated strategy, which may be due to our inability to execute plans, global or local economic conditions, geopolitical instability, competition, changes in our industry and the other risks described herein, could have an adverse effect on our business, financial condition, results of operations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 xml:space="preserve">Our strategic initiatives, including as part of the Transformation Initiative and Powering Honest Growth, to reduce our costs could have short and long-term adverse effects on our business, financial condition, results of operations and prospects, could result in total costs and expenses that are greater than expected, and we may not realize the operational or financial benefits from such actions.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In November 2025, we announced Powering Honest Growth to power growth through </w:t>
      </w:r>
      <w:r>
        <w:rPr>
          <w:rFonts w:ascii="Times New Roman;serif" w:hAnsi="Times New Roman;serif"/>
          <w:b w:val="false"/>
          <w:color w:val="000000"/>
          <w:sz w:val="20"/>
        </w:rPr>
        <w:t>improved simplicity, focus and profitability of the business</w:t>
      </w:r>
      <w:r>
        <w:rPr>
          <w:rFonts w:ascii="Times New Roman;serif" w:hAnsi="Times New Roman;serif"/>
          <w:b w:val="false"/>
          <w:color w:val="231F20"/>
          <w:sz w:val="20"/>
        </w:rPr>
        <w:t>. The Transformation Initiative and Powering Honest Growth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In addition, any changes we make to reduce our cost structure, including changes to our products, formulations, or packaging, may result in reduced consumer demand for our products and increased carrying costs, and have been and may in the future be negatively impacted by macroeconomic factors. For example, changes made to our cost structure and brand maximization efforts under the Transformation Initiative were negatively impacted by changing macroeconomic factors like tariffs, consumer behavior, and rising input costs. Our future financial performance will depend, in part, on our ability to effectively manage any future growth or restructuring, as applicable, including Powering Honest Growth, and evolving macroeconomic factors. We may not realize, in full or in part, the anticipated benefits, savings, efficiencies and improvements in our cost structure from the Transformation Initiative and Powering Honest Growth due to unforeseen difficulties, delays or unexpected costs. If we are unable to realize the anticipated savings and efficiencies of our strategic initiatives, or if they result in unintended negative consequences, then our operating and financial results would be adversely affected and could differ materially from our expectations.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Additionally, the Transformation Initiative and Powering Honest Growth have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executing the Transformation Initiative or Powering Honest Growth. The Transformation Initiative and Powering Honest Growth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distribution strategy includes selling our products through third-party ecommerce and retail customers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has in the past and could in the future negatively impact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2025, our three largest retailers, Amazon, Target and Walmart accounted for approximately 39%, 28% and 8% of our total revenue, respectively. We sell products to Amazon, Target and Walmart under each of their standard vendor agreements. Our vendor agreements with Amazon, Target and Walmart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and our vendor agreement with Walmart provides that either party may terminate the agreement with 30 days’ prior written notice. Our vendor agreement with Target does not include any termination provisions. The loss of Amazon, Target and Walmart or any other large customer, the reduction of purchasing levels or the cancellation of any business from Amazon, Target or Walmart or any other large customer for an extended length of time could negatively impact our sales and ability to achieve or maintain profitability. For example, during 2024 and 2025, distribution losses with two of our largest retail customers on certain diaper SKUs, mainly related to these retailers' footprint changes for certain product categories overall and a shift to more exclusive non-gendered prints, has impacted our revenue and we expect will continue to negatively impact our diaper revenue in the future.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Third-party ecommerce or retail customers may take actions that affect us for reasons that we cannot always anticipate or control, such as their financial condition, changes in their business strategy or operations, the introduction of competing products or the perceived quality of our products. For example, a few of our retail customers filed for bankruptcy in 2023, which impacted the timing of payments, the ability for us to collect amounts due to us, and our gross margin due to markdowns in 2023. Our third-party ecommerce or retail customers may also change their purchasing levels. For example, during 2024 and 2025, we experienced diaper distribution losses with two of our largest retailer customers as noted above. In light of tariffs and macroeconomic conditions, we saw some of our retail customers hold different inventory levels or change the frequency and/or levels of their orders in 2025, which impacted our results of operations. Despite operating in different channel categories, our third-party ecommerce and retail customers sometimes compete for the same consumers. For example, our diaper revenue has fluctuated significantly from period to period based on the actions of two of our largest retail customers, including </w:t>
      </w:r>
      <w:r>
        <w:rPr>
          <w:rFonts w:ascii="Times New Roman;serif" w:hAnsi="Times New Roman;serif"/>
          <w:b w:val="false"/>
          <w:color w:val="000000"/>
          <w:sz w:val="20"/>
        </w:rPr>
        <w:t>distribution losses, the lapping of certain retailer promotional events and changes in consumer shopping behavior</w:t>
      </w:r>
      <w:r>
        <w:rPr>
          <w:rFonts w:ascii="Times New Roman;serif" w:hAnsi="Times New Roman;serif"/>
          <w:b w:val="false"/>
          <w:color w:val="231F20"/>
          <w:sz w:val="20"/>
        </w:rPr>
        <w:t>. Additionally, in 2025, a change in size of diaper box assortment at a key retail customer impacted sales velocities and revenue, which we expect to continue in the future.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may be unable to accurately forecast revenue, gross margin or operating expenses and appropriately plan our expenses in the future.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as well as the U.S. government's evolving trade policy. We base our expense levels and investment plans on our estimates of revenue and gross margin. We cannot be sure prior growth rates and trends are meaningful predictors of future growth. For example, during 2024 and 2025, distribution losses with two of our largest customers on certain diaper SKUs, mainly related to these retailers' footprint changes for certain product categories overall and a shift to more exclusive non-gendered prints, has impacted our revenue in 2025 and we expect will negatively impact our diaper revenue in the future. In addition, we have seen certain retailer promotional events on our diaper SKUs that did not repeat in 2025 and slower conversion to our new diaper SKUs at certain retailers, which have negatively impacted our diaper revenue in 2025. 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may not be able to compete successfully in our highly competitive market.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markets in which we operate are highly competitive and rapidly evolving, with many new brands and product offerings emerging in the marketplace. We face significant competition from both established, well-known legacy CPG players and emerging clean brands. Numerous brands and products compete for limited shelf space in the retail channel, and for favorable positioning and promotion among ecommerce channels. We compete based on various product attributes including clean formulation, sustainability, effectiveness and design.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Select competitors of our wipes include ZURU Edge Limited (maker of Millie Moon and Rascals), WaterWipes UC, DUDE Wipes, Inc., Edgewell Personal Care Company (maker of Wet Ones wipes) and other private label brands. Select competitors of our skin and personal care products include Kimberly-Clark Corporation (pending acquiror of Kenvue Inc.), The Clorox Company (parent company of Burt’s Bees, Inc.), Unilever PLC (maker of Shea Moisture), Estée Lauder Inc., L’Oréal S.A. and Pacifica Beauty LLC. Select competitors of our diapers include Kimberly-Clark Corporation (maker of Huggies diapers and Cottonelle wipes) and Procter &amp; Gamble Company (maker of Pampers, Pampers Pure, Luvs and Charmin). Many of these competitors have substantially greater financial and other resources than us and some of whose products are well accepted in the marketplace today. Many also have longer operating histories, larger fulfillment infrastructures, greater technical capabilities, faster shipping times, lower-cost shipping, lower operating costs, greater financial, marketing, institutional and other resources and larger consumer bases than we do. These factors may also allow our competitors to derive greater revenue and profits from their existing consumer bases, acquire consumers at lower costs or respond more quickly than we can to new or emerging technologies and changes in product trends and consumer shopping behavior. These competitors may engage in more extensive research and development efforts, enter or expand their presence in any or all of the ecommerce or retail channels where we compete, undertake more far-reaching marketing campaigns, and adopt more aggressive pricing policies, which may allow them to build larger consumer bases or generate revenue from their existing consumer bases more effectively than we do. As a result, these competitors may be able to offer comparable or substitute products to consumers at similar or lower costs. This could put pressure on us to lower our prices, resulting in lower revenue and margins or cause us to lose market share even if we lower prices.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cannot be certain that we will successfully compete with larger competitors that have greater financial, sales, technical and other resources. Companies with greater resources may acquire our competitors or launch new products, including clean products, and they may be able to use their resources and scale to respond to competitive pressures and changes in consumer preferences by reducing prices or increasing promotional activities, among other things. Retailers also market competitive products under their own private labels, which are generally sold at lower prices, and may change the merchandising of our products so they have less favorable placement. Competitive pressures or other factors could cause us to lose market share, which may require us to lower prices, increase marketing expenditures, or increase the use of discounting or promotional campaigns,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each of which would adversely affect our margins and could result in a decrease in our operating results and ability to achieve or maintain profitability.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expect competition in the CPG industry to continue to increase, especially as more companies introduce clean products and enter this market. We believe that our ability to compete successfully in this market depends upon many factors both within and beyond our control,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size and composition of our consumer base;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number of products that we offer and feature across our sales channels;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consumer demand for clean products developed with formulations and ingredients we use;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information technology infrastructure;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selling and marketing efforts;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quality and price of the products that we offer;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the convenience of the shopping experience that we provide on our website;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ability to distribute our products and manage our operations;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reputation and brand strength.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If we fail to compete successfully in this market, our business, financial condition, results of operations and prospects could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Further, competitors with substantially greater operations and resources than us may be less affected by the </w:t>
      </w:r>
      <w:r>
        <w:rPr>
          <w:rFonts w:ascii="Times New Roman;serif" w:hAnsi="Times New Roman;serif"/>
          <w:b w:val="false"/>
          <w:color w:val="000000"/>
          <w:sz w:val="20"/>
        </w:rPr>
        <w:t>current macroeconomic conditions</w:t>
      </w:r>
      <w:r>
        <w:rPr>
          <w:rFonts w:ascii="Times New Roman;serif" w:hAnsi="Times New Roman;serif"/>
          <w:b w:val="false"/>
          <w:color w:val="231F20"/>
          <w:sz w:val="20"/>
        </w:rPr>
        <w:t>. C</w:t>
      </w:r>
      <w:r>
        <w:rPr>
          <w:rFonts w:ascii="Times New Roman;serif" w:hAnsi="Times New Roman;serif"/>
          <w:b w:val="false"/>
          <w:color w:val="000000"/>
          <w:sz w:val="20"/>
        </w:rPr>
        <w:t xml:space="preserve">urrent macroeconomic conditions, such as uncertainty around tariffs, inflation and interest rates, the health of the U.S. consumer (such as increasing debt and delinquency rates and resumption of student loan repayments), and geopolitical instability, could increase the risk of a potential recession and can negatively impact consumer discretionary spend for our products. </w:t>
      </w:r>
      <w:r>
        <w:rPr>
          <w:rFonts w:ascii="Times New Roman;serif" w:hAnsi="Times New Roman;serif"/>
          <w:b w:val="false"/>
          <w:color w:val="231F20"/>
          <w:sz w:val="20"/>
        </w:rPr>
        <w:t xml:space="preserve">Although we are monitoring the situation, we cannot predict for how long, or the ultimate extent to which, the </w:t>
      </w:r>
      <w:r>
        <w:rPr>
          <w:rFonts w:ascii="Times New Roman;serif" w:hAnsi="Times New Roman;serif"/>
          <w:b w:val="false"/>
          <w:color w:val="000000"/>
          <w:sz w:val="20"/>
        </w:rPr>
        <w:t xml:space="preserve">current geopolitical and macroeconomic conditions </w:t>
      </w:r>
      <w:r>
        <w:rPr>
          <w:rFonts w:ascii="Times New Roman;serif" w:hAnsi="Times New Roman;serif"/>
          <w:b w:val="false"/>
          <w:color w:val="231F20"/>
          <w:sz w:val="20"/>
        </w:rPr>
        <w:t xml:space="preserve">may disrupt our operations, or our suppliers’ operations, or if we will be required to implement other changes, such as further price increases or cost savings initiatives, in addition to the price increases already implemented in 2023 and cost savings initiatives implemented in 2025. Any significant disruption resulting from geopolitical conflict, global pandemics or similar events on a large scale or over a prolonged period of time could cause significant delays and disruption to our business until we would be able to resume normal business operations or shift to other third-party vendors, negatively affecting our revenue and other financial results, which would adversely affect our business, financial condition, results of operations and prospects. A prolonged disruption of our business could also damage our reputation and brand strength.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success, and our ability to increase revenue and achieve profitability, depend in part on our ability to cost-effectively acquire new consumers, retain existing consumers and keep existing consumers engaged so that they continue to purchase our products. While we intend to continue to invest significantly in sales and marketing to educate consumers about our brand, our values and our products, there is no assurance that these efforts will generate further demand for our products or expand our consumer base. Our ability to attract new consumers and retain our existing consumers will depend on, among other items, the perceived value and quality of our products, consumer demand for cleanly-formulated, sustainably-designed and effective products at a premium price, competitive offerings, the elasticity of our price increases, our ability to offer new and relevant products and the effectiveness of our marketing efforts. We may also lose loyal consumers to our competitors if we are unable to meet consumer demand in a timely manner. If we are unable to cost-effectively acquire new consumers, retain existing consumers and keep existing consumers engaged,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Any strategies we employ to pursue this growth are subject to numerous factors outside of our control. Our retail and ecommerce competitors continue to aggressively market their private label or competitive products, which could reduce demand for our products. The expansion of our business also depends on our ability to increase sales through ecommerce channels and increase breadth and depth of distribution at retail customers. Any growth within our existing distribution channels may also affect our existing consumer relationships and present additional challenges, including those related to pricing strategies. For example, throughout 2023, we rolled-out mid-single digit price increases across approximately two-thirds of our product portfolio, including in wipes, personal care and diaper products which has in the past and may in the future negatively impact consumer demand. To a lesser extent, in 2023, we rolled-out price increases on certain beauty and personal care products. We plan to take additional price increases in the future as needed to offset input cost inflation. Our direct connections to our consumers may become more limited as we expand our non-DTC channels. Further in 2023 and 2025, we exited distribution in low-margin products and channels which negatively impacted our revenue. Additionally, we may need to increase or reallocate spending on marketing and promotional activities, such as temporary price reductions, off-invoice discounts, retailer advertisements, product coupons, emphasis on specific product categories, and other trade activities, and these expenditures are subject to risks,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risks related to consumer acceptance of our efforts. Our failure to obtain new consumers, or expand our business with existing consumers,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As social networking and ecommerce channels continue to rapidly evolve, we may be unable to develop or maintain a presence within these channels. If our online or offline presence declines, our ability to acquire new consumers could be adversely affected. Additionally, if we fail to increase our revenue per active consumer, generate repeat purchases or maintain high levels of consumer engagement,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 xml:space="preserve">Overall macroeconomic trends, including due to geopolitical uncertainty, have had and may continue to have an adverse effect on our business, financial condition, results of operations and prospects.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Recent macroeconomic trends, including those resulting from geopolitical uncertainty, have impacted our business, financial condition, results of operations and prospects, in particular due to the negative impact from supply chain disruptions, tariffs, i</w:t>
      </w:r>
      <w:r>
        <w:rPr>
          <w:rFonts w:ascii="Times New Roman;serif" w:hAnsi="Times New Roman;serif"/>
          <w:b w:val="false"/>
          <w:color w:val="000000"/>
          <w:sz w:val="20"/>
        </w:rPr>
        <w:t xml:space="preserve">ncreasing commodity costs and shifting consumer demand. </w:t>
      </w:r>
      <w:r>
        <w:rPr>
          <w:rFonts w:ascii="Times New Roman;serif" w:hAnsi="Times New Roman;serif"/>
          <w:b w:val="false"/>
          <w:color w:val="231F20"/>
          <w:sz w:val="20"/>
        </w:rPr>
        <w:t>The impact of overall macroeconomic trends on any of our suppliers, manufacturers, retail or ecommerce customers or transportation or logistics providers has and may continue to negatively affect the price and availability of our raw materials and products and impact our supply chain. If the disruptions caused by overall macroeconomic trends continue for an extended period of time, our ability to meet the demands of our consumers may be materially impacted. The conditions caused by macroeconomic conditions may negatively impact collections of accounts receivable, result in reduced orders from retail customers or cause some of our retail customers to go out of business, all of which could adversely affect our business, financial condition, results of operations and prospects. For example, a few of our retail customers filed for bankruptcy in 2023, which impacted the timing of payment, the ability for us to collect amounts due to us and impacted our gross margin due to markdowns in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In addition, any depression or recession resulting from macroeconomic factors could change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changes to trade policies, tariffs, import/export regulations of the U.S. and other nations, labor costs, input costs and transportation costs have impacted our gross margin and could impact consumer spending decisions to choose lower priced products, particularly as a result of our price increases implemented in 2022 and 2023 intended to offset these input costs. We may not be able to increase our prices or productivity sufficiently enough to offset these costs. For example, as part of our Transformation Initiative in 2023, we e</w:t>
      </w:r>
      <w:r>
        <w:rPr>
          <w:rFonts w:ascii="Times New Roman;serif" w:hAnsi="Times New Roman;serif"/>
          <w:b w:val="false"/>
          <w:color w:val="000000"/>
          <w:sz w:val="20"/>
        </w:rPr>
        <w:t xml:space="preserve">xited low-margin elements of the cleaning and sanitization business </w:t>
      </w:r>
      <w:r>
        <w:rPr>
          <w:rFonts w:ascii="Times New Roman;serif" w:hAnsi="Times New Roman;serif"/>
          <w:b w:val="false"/>
          <w:color w:val="231F20"/>
          <w:sz w:val="20"/>
        </w:rPr>
        <w:t xml:space="preserve">as the demand for sanitizing and disinfecting products declined significantly after the COVID-19 pandemic. The current macroeconomic conditions, </w:t>
      </w:r>
      <w:r>
        <w:rPr>
          <w:rFonts w:ascii="Times New Roman;serif" w:hAnsi="Times New Roman;serif"/>
          <w:b w:val="false"/>
          <w:color w:val="000000"/>
          <w:sz w:val="20"/>
        </w:rPr>
        <w:t>including as a result of changing consumer attitudes or behaviors or other macroeconomic conditions (such as inflation, tariffs, supply chain disruptions, trade disputes, foreign exchange volatility, geopolitical uncertainty, financial market instability and any resulting recession or slowed economic growth)</w:t>
      </w:r>
      <w:r>
        <w:rPr>
          <w:color w:val="231F20"/>
        </w:rPr>
        <w:t xml:space="preserve"> </w:t>
      </w:r>
      <w:r>
        <w:rPr>
          <w:rFonts w:ascii="Times New Roman;serif" w:hAnsi="Times New Roman;serif"/>
          <w:b w:val="false"/>
          <w:color w:val="231F20"/>
          <w:sz w:val="20"/>
        </w:rPr>
        <w:t xml:space="preserve">can negatively impact consumer discretionary spend for our products.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fail to manage our inventory effectively, our business, financial condition, results of operations and liquidity may be materially and adversely affected.</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231F20"/>
          <w:sz w:val="20"/>
        </w:rPr>
        <w:t>Our business requires us to manage a large volume of inventory effectively. We depend on our forecasts of demand for various products to make purchase decisions and to manage our inventory. Demand for products, however, can change significantly between the time inventory or package components are ordered and the date of sale. Demand may be affected by new product launches of our competitors, rapid changes in product cycles and pricing, product defects, promotions, changes in consumer spending patterns, changes in consumer tastes with respect to our products and other factors, unseasonable weather conditions, weakening of economic conditions or consumer or customer confidence in future economic conditions, our failure to accurately forecast acceptance for our new products or our consumers not purchasing products in the quantities that we expect and unanticipated changes in general market conditions or other factors. It may be difficult to accurately forecast demand and determine appropriate levels of product. We generally do not have the right to return unsold products to our suppliers. If we fail to manage our inventory effectively or negotiate favorable credit terms with third-party manufacturers and suppliers, we may be subject to a heightened risk of inventory obsolescence, a shortage of product to deliver to our consumers and customers, a decline in inventory values, and significant inventory write-downs or write-offs. For example, i</w:t>
      </w:r>
      <w:r>
        <w:rPr>
          <w:rFonts w:ascii="Times New Roman;serif" w:hAnsi="Times New Roman;serif"/>
          <w:b w:val="false"/>
          <w:color w:val="000000"/>
          <w:sz w:val="20"/>
        </w:rPr>
        <w:t>n connection with Powering Honest Growth, we recorded a discrete apparel inventory write-down of $15.9 million, inclusive of overhead costs and tariffs.</w:t>
      </w:r>
      <w:r>
        <w:rPr>
          <w:color w:val="231F20"/>
        </w:rPr>
        <w:t xml:space="preserve"> </w:t>
      </w:r>
      <w:r>
        <w:rPr>
          <w:rFonts w:ascii="Times New Roman;serif" w:hAnsi="Times New Roman;serif"/>
          <w:b w:val="false"/>
          <w:color w:val="231F20"/>
          <w:sz w:val="20"/>
        </w:rPr>
        <w:t xml:space="preserve">If we are required to lower sale prices or fund markdowns in order to reduce inventory level or to pay higher prices to our suppliers, our gross margins might be negatively affected.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in the first quarter of 2025, we recorded an inventory write-down of $3.2 million, inclusive of overhead and tariffs, which included a $3.0 million write-down related to our new diaper renovation as we transitioned to our new diaper products, and we may record inventory write-downs in the future. </w:t>
      </w:r>
      <w:r>
        <w:rPr>
          <w:rFonts w:ascii="Times New Roman;serif" w:hAnsi="Times New Roman;serif"/>
          <w:b w:val="false"/>
          <w:color w:val="000000"/>
          <w:sz w:val="20"/>
        </w:rPr>
        <w:t>Additionally, unrelated to Powering Honest Growth, we earmarked donations of $2.1 million related to diaper inventory forecast reductions with a key retailer.</w:t>
      </w:r>
      <w:r>
        <w:rPr>
          <w:color w:val="231F20"/>
        </w:rPr>
        <w:t xml:space="preserve"> </w:t>
      </w:r>
      <w:r>
        <w:rPr>
          <w:rFonts w:ascii="Times New Roman;serif" w:hAnsi="Times New Roman;serif"/>
          <w:b w:val="false"/>
          <w:color w:val="231F20"/>
          <w:sz w:val="20"/>
        </w:rPr>
        <w:t xml:space="preserve">In addition, if we underestimate the demand for our products, our third-party manufacturers may not be able to produce products to meet our consumer or customer requirements, and this could result in delays in the shipment of our products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20"/>
        </w:rPr>
        <w:t>ability to recognize revenue, lost sales, as well as damage to our reputation and retailer and distributor relationships. F</w:t>
      </w:r>
      <w:r>
        <w:rPr>
          <w:rFonts w:ascii="Times New Roman;serif" w:hAnsi="Times New Roman;serif"/>
          <w:b w:val="false"/>
          <w:color w:val="000000"/>
          <w:sz w:val="20"/>
        </w:rPr>
        <w:t>uture out-of-stock disruptions may negatively impact our results of operations, reputation and distributor relationships.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inability to secure, maintain and increase our presence with retailers could adversely impact our revenue, and in turn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Our operations include sales to retailers and their related websites, which in 2025, accounted for approximately </w:t>
      </w:r>
      <w:r>
        <w:rPr>
          <w:rFonts w:ascii="Times New Roman;serif" w:hAnsi="Times New Roman;serif"/>
          <w:b w:val="false"/>
          <w:color w:val="000000"/>
          <w:sz w:val="20"/>
        </w:rPr>
        <w:t>91%</w:t>
      </w:r>
      <w:r>
        <w:rPr>
          <w:color w:val="231F20"/>
        </w:rPr>
        <w:t xml:space="preserve"> </w:t>
      </w:r>
      <w:r>
        <w:rPr>
          <w:rFonts w:ascii="Times New Roman;serif" w:hAnsi="Times New Roman;serif"/>
          <w:b w:val="false"/>
          <w:color w:val="231F20"/>
          <w:sz w:val="20"/>
        </w:rPr>
        <w:t>of our revenue. The success of our business is largely dependent on our continuing development of strong relationships with major retail chains. Amazon, Target and Walmart represented 39%</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231F20"/>
          <w:sz w:val="20"/>
        </w:rPr>
        <w:t xml:space="preserve">28% and 8%, respectively, of our retail sales in 2025. The loss of our relationship with Amazon, Target, Walmart or any other large retail customer could have a significant impact on our revenue. For example, in 2023 and 2025 we exited </w:t>
      </w:r>
      <w:r>
        <w:rPr>
          <w:rFonts w:ascii="Times New Roman;serif" w:hAnsi="Times New Roman;serif"/>
          <w:b w:val="false"/>
          <w:color w:val="000000"/>
          <w:sz w:val="20"/>
        </w:rPr>
        <w:t>distribution in low-margin products and channels and</w:t>
      </w:r>
      <w:r>
        <w:rPr>
          <w:color w:val="231F20"/>
        </w:rPr>
        <w:t xml:space="preserve"> </w:t>
      </w:r>
      <w:r>
        <w:rPr>
          <w:rFonts w:ascii="Times New Roman;serif" w:hAnsi="Times New Roman;serif"/>
          <w:b w:val="false"/>
          <w:color w:val="231F20"/>
          <w:sz w:val="20"/>
        </w:rPr>
        <w:t xml:space="preserve">our rotational program with Costco was not renewed. Additionally, in 2024, we exited selling certain products with a drug store customer and in 2024 and 2025 we experienced distribution losses with two of our largest retail customers on certain diaper SKUs, which has impacted our revenue and we expect will negatively impact our diaper revenue in the future. In addition, we may be unable to secure adequate shelf space in new markets, or any shelf space at all, until we develop relationships with the retailers that operate in such markets. We also may not be successful in executing our launches with new retailers. Consequently, growth opportunities may be limited and our revenue, business, financial condition, results of operations and prospects could be adversely affected if we are unable to successfully establish or maintain relationships with other retailers in new or current markets.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also face significant competition to display our products on store shelves and obtain optimal presence on those shelves. Due to the intense competition for limited shelf space, retailers are in a position to negotiate favorable terms of sale, including price discounts, allowances and product return policies. To the extent we elect to increase discounts or allowances in an effort to secure shelf space, our operating results could be adversely affected. We may not be able to increase or sustain our volume of retail shelf space or offer retailers price discounts sufficient to overcome competition and, as a result, our sales and results of operations could be adversely affected. In addition, many of our competitors have significantly greater financial, manufacturing, marketing, management and other resources than we do and may have greater name recognition, a more established distribution network and a larger base of wholesale customers and distributors. Many of our competitors also have well-established relationships with our current and potential consumers who purchase our products in retail stores, and have extensive knowledge of our target markets. As a result, these competitors may be able to devote greater resources to the development, promotion and sale of their products and respond more quickly to evolving consumer preferences. If our competitors’ sales surpass ours, retailers may give higher priority to our competitors’ products, causing such retailers to reduce their efforts to sell our products and resulting in the loss of advantageous shelf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Failure to introduce new products may adversely affect our ability to continue to grow.</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A key element of our growth strategy depends on our ability to </w:t>
      </w:r>
      <w:r>
        <w:rPr>
          <w:rFonts w:ascii="Times New Roman;serif" w:hAnsi="Times New Roman;serif"/>
          <w:b w:val="false"/>
          <w:color w:val="000000"/>
          <w:sz w:val="20"/>
        </w:rPr>
        <w:t xml:space="preserve">increase the physical availability of our products through expanded stores, doors, aisles, shelves and facings while </w:t>
      </w:r>
      <w:r>
        <w:rPr>
          <w:rFonts w:ascii="Times New Roman;serif" w:hAnsi="Times New Roman;serif"/>
          <w:b w:val="false"/>
          <w:color w:val="231F20"/>
          <w:sz w:val="20"/>
        </w:rPr>
        <w:t>developing and marketing new and innovative ways to use our products that meet our standards for quality and appeal to our consumers. The success of our innovation and product development efforts is affected by our ability to anticipate changes in consumer preferences, the technical capability of our innovation staff, including chemists, a toxicologist and an eco-toxicologist, developing and testing product formulas and prototypes, our ability to comply with applicable governmental regulations, and the success of our management and sales and marketing teams in introducing and marketing new products. Our product offerings have changed since our launch, which makes it difficult to forecast our future results of operations. Demand for certain product offerings can be volatile. There can be no assurance that demand for our products will be maintained or grow after introduction or that we will successfully develop and market new products that appeal to consumers. For example, product formulas we develop may not contain the product attributes desired by our consumers. Any such failure may lead to a decrease in our growth, sales and ability to achieve profitability, which could adversely affect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Additionally, the development and introduction of new products requires substantial marketing expenditures, which we may be unable to recoup if new products do not gain widespread market acceptance. If we are unsuccessful in meeting our objectives with respect to new or improved products,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one of our marketing or advertising partners, which may prove to be unsuccessful. Substantial advertising and promotional expenditures have been required in the past and may be required in the future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In addition, since 2022 the industry experienced an increase in paid advertising which impacted our ability to cost-effectively drive traffic to Honest.com. Further, social media platforms frequently change the algorithms that determine the ranking and display of results of a user’s search and may make other changes to the way results are displayed, which may negatively affect the placement of our links. Social media platforms and other digital advertising platforms have increased the costs of digital advertising which has made such marketing less cost effective and partially led us to shift our advertising budget toward retail channels, and in turn reduced the number of visits to our website and social media channels.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social media platforms typically require compliance with their policies and procedures, which may be subject to change or new interpretation with limited ability to negotiate, which could negatively impact our marketing capabilities. We may need to shift our marketing strategy and associated costs and those shifts, including any decrease in marketing spend, may negatively impact our consumer awareness and ultimately our operating results. If we are unable to maintain and promote a favorable perception of our brand and products on a cost-effective basis,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Failure to leverage our brand value propositions to compete against private label products, especially during an economic downturn, may adversely affect our ability to achieve or maintain profitability.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 many product categories, we compete not only with other widely advertised branded products, but also with private label products that generally are sold at lower prices. Consumers are more likely to purchase our products if they believe that our products provide greater value than less expensive alternatives. If the difference in perceived value between our brand and private label products narrows, or if there is a perception of such a narrowing, consumers may choose not to buy our products at prices that are profitable for us. </w:t>
      </w:r>
      <w:r>
        <w:rPr>
          <w:rFonts w:ascii="Times New Roman;serif" w:hAnsi="Times New Roman;serif"/>
          <w:b w:val="false"/>
          <w:color w:val="000000"/>
          <w:sz w:val="20"/>
        </w:rPr>
        <w:t xml:space="preserve">We believe that in periods of economic uncertainty, such as the current economic uncertainty surrounding changes to trade policies and tariffs, the </w:t>
      </w:r>
      <w:r>
        <w:rPr>
          <w:rFonts w:ascii="Times New Roman;serif" w:hAnsi="Times New Roman;serif"/>
          <w:b w:val="false"/>
          <w:color w:val="231F20"/>
          <w:sz w:val="20"/>
        </w:rPr>
        <w:t xml:space="preserve">continuing effects of </w:t>
      </w:r>
      <w:r>
        <w:rPr>
          <w:rFonts w:ascii="Times New Roman;serif" w:hAnsi="Times New Roman;serif"/>
          <w:b w:val="false"/>
          <w:color w:val="000000"/>
          <w:sz w:val="20"/>
        </w:rPr>
        <w:t xml:space="preserve">inflation, increased interest rates, </w:t>
      </w:r>
      <w:r>
        <w:rPr>
          <w:rFonts w:ascii="Times New Roman;serif" w:hAnsi="Times New Roman;serif"/>
          <w:b w:val="false"/>
          <w:color w:val="231F20"/>
          <w:sz w:val="20"/>
        </w:rPr>
        <w:t>increasing prices of our products</w:t>
      </w:r>
      <w:r>
        <w:rPr>
          <w:rFonts w:ascii="Times New Roman;serif" w:hAnsi="Times New Roman;serif"/>
          <w:b w:val="false"/>
          <w:color w:val="000000"/>
          <w:sz w:val="20"/>
        </w:rPr>
        <w:t xml:space="preserve">, and risk of a recession, consumers may purchase more lower-priced private label or other economy brands. </w:t>
      </w:r>
      <w:r>
        <w:rPr>
          <w:rFonts w:ascii="Times New Roman;serif" w:hAnsi="Times New Roman;serif"/>
          <w:b w:val="false"/>
          <w:color w:val="231F20"/>
          <w:sz w:val="20"/>
        </w:rPr>
        <w:t>To the extent this occurs, we could experience a reduction in the sales volume of our products or an unfavorable shift in our product mix,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fail to develop and maintain our brand, our business could suffer.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developed a strong and trusted brand that has contributed significantly to the success of our business, and we believe our continued success depends on our ability to maintain and grow the value of The Honest Company brand. Maintaining, promoting and positioning our brand and reputation will depend on, among other factors, the success of our product offerings, product safety, quality assurance, marketing and merchandising efforts, our continued focus on delivering cleanly-formulated, sustainably-designed, and effective products to our consumers and our ability to provide a consistent, high-quality consumer experience. If our manufacturers or suppliers fail to comply with their contractual obligations, including our quality standards, our brand could be harmed.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Any negative publicity, regardless of its accuracy, could have an adverse effect on our business. Brand value is based on perceptions of subjective qualities, and any incident that erodes the loyalty of our consumers, suppliers or manufacturers, including changes to our products or packaging, adverse publicity or a governmental investigation, litigation or regulatory enforcement action, could significantly reduce the value of our brand and adversely affect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believe our consumers rely on us to provide them with cleanly-formulated, sustainably-designed, and effective products. Any loss of confidence on the part of consumers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consumers to choose other products. Allegations of contamination or other adverse effects on product safety or efficacy or suitability for use by a particular consumer or on the environment,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ability to achieve or maintain profitability and brand image.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We have also been the subject of litigation claiming our labels contain inaccurate or misleading information. For example, in 2022, a class action lawsuit was filed against us alleging that our plant-based claim on certain wipes products was deceptive to purchasers. In response to similar claims in the past, we have updated the language on certain of our labels. In addition, we voluntarily recalled certain of our baby wipes and baby powder products in 2017 and one of our bubble bath products in January 2021 due to concerns about potential contamination. Despite successfully completing these recalls, these incidents negatively affected our brand image and required significant time and resources to address.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also have no control over our products once purchased by consumers. For example, consumers may store or use our products under conditions and for periods of time inconsistent with approved directions for use or the listed “Period After Opening,” or required warnings or other governmental guidelines on our labels, which may adversely affect the quality and safety of our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If our products are found to be, or perceived to be, defective or unsafe, or if they otherwise fail to meet our consumers’ expectations, our relationships with consumers could suffer, the appeal of our brand could be diminished, we may need to recall some of our products and/or become subject to regulatory action, and we could lose sales or market share or become subject to boycotts or liability claims. In addition, safety or other defects in our competitors’ products or products using the Honest name in other consumer categories, like beverages and pet food in which we do not own the Honest brand, could reduce consumer demand for our own products if consumers view them to be similar. Any such adverse effect could be exacerbated by our market positioning as a purveyor of cleanly-formulated, sustainably-designed, and effective products and may significantly reduce our brand value. Issues regarding the safety, efficacy, quality, composition or environmental impact of any of our products, regardless of the cause, may have an adverse effect on our brand, reputation and operating results. Further,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Any loss of confidence on the part of consumers in the quality, safety, efficacy or environmental suitability of our products would be difficult and costly to overcome, even if such concerns were based on inaccurate or misleading information. If we do not maintain the favorable perception of our brand,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Economic downturns or a change in consumer preferences, perception and spending habits in the clean products categories, in particular, could limit consumer demand for our products and negatively affect our business.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have positioned our brand to capitalize on growing consumer interest in </w:t>
      </w:r>
      <w:r>
        <w:rPr>
          <w:rFonts w:ascii="Times New Roman;serif" w:hAnsi="Times New Roman;serif"/>
          <w:b w:val="false"/>
          <w:color w:val="000000"/>
          <w:sz w:val="20"/>
        </w:rPr>
        <w:t>Clean Conscious®</w:t>
      </w:r>
      <w:r>
        <w:rPr>
          <w:color w:val="231F20"/>
        </w:rPr>
        <w:t xml:space="preserve"> </w:t>
      </w:r>
      <w:r>
        <w:rPr>
          <w:rFonts w:ascii="Times New Roman;serif" w:hAnsi="Times New Roman;serif"/>
          <w:b w:val="false"/>
          <w:color w:val="231F20"/>
          <w:sz w:val="20"/>
        </w:rPr>
        <w:t xml:space="preserve">products. The clean consumer product industry is sensitive to national and regional economic conditions and the demand for the products that we distribute may be adversely affected from time to time by economic downturns that impact consumer spending, including discretionary spending. Current macroeconomic conditions, </w:t>
      </w:r>
      <w:r>
        <w:rPr>
          <w:rFonts w:ascii="Times New Roman;serif" w:hAnsi="Times New Roman;serif"/>
          <w:b w:val="false"/>
          <w:color w:val="000000"/>
          <w:sz w:val="20"/>
        </w:rPr>
        <w:t>including as a result of changing consumer attitudes or behaviors or other macroeconomic conditions (such as inflation, tariffs, supply chain disruptions, trade disputes, foreign exchange volatility, geopolitical uncertainty, financial market instability and any resulting recession or slowed economic growth)</w:t>
      </w:r>
      <w:r>
        <w:rPr>
          <w:color w:val="231F20"/>
        </w:rPr>
        <w:t xml:space="preserve"> </w:t>
      </w:r>
      <w:r>
        <w:rPr>
          <w:rFonts w:ascii="Times New Roman;serif" w:hAnsi="Times New Roman;serif"/>
          <w:b w:val="false"/>
          <w:color w:val="231F20"/>
          <w:sz w:val="20"/>
        </w:rPr>
        <w:t xml:space="preserve">can negatively impact consumer discretionary spend for our products. These external economic conditions, including geopolitical uncertainty, have become more challenging and uncertain in recent years. Current and any </w:t>
      </w:r>
      <w:r>
        <w:rPr>
          <w:rFonts w:ascii="Times New Roman;serif" w:hAnsi="Times New Roman;serif"/>
          <w:b w:val="false"/>
          <w:color w:val="000000"/>
          <w:sz w:val="20"/>
        </w:rPr>
        <w:t>f</w:t>
      </w:r>
      <w:r>
        <w:rPr>
          <w:rFonts w:ascii="Times New Roman;serif" w:hAnsi="Times New Roman;serif"/>
          <w:b w:val="false"/>
          <w:color w:val="231F20"/>
          <w:sz w:val="20"/>
        </w:rPr>
        <w:t xml:space="preserve">uture economic conditions such as employment levels, business conditions, housing starts, market volatility, interest rates, inflation rates, potential changes in tariffs and trade barriers, energy and fuel costs and tax rates, or our actions in response to these conditions, such as price increases, </w:t>
      </w:r>
      <w:r>
        <w:rPr>
          <w:rFonts w:ascii="Times New Roman;serif" w:hAnsi="Times New Roman;serif"/>
          <w:b w:val="false"/>
          <w:color w:val="000000"/>
          <w:sz w:val="20"/>
        </w:rPr>
        <w:t xml:space="preserve">including our price increases in 2022 and 2023, </w:t>
      </w:r>
      <w:r>
        <w:rPr>
          <w:rFonts w:ascii="Times New Roman;serif" w:hAnsi="Times New Roman;serif"/>
          <w:b w:val="false"/>
          <w:color w:val="231F20"/>
          <w:sz w:val="20"/>
        </w:rPr>
        <w:t>could reduce consumer spending or change consumer purchasing habits. Among these changes could be a reduction in the number of clean consumer products that consumers purchase where there are alternatives, given that many products in this category often have higher retail prices than do their conventional counterparts.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Further, the product categories in which we operate are subject to changes in consumer preference, perception and spending habits. Our performance depends significantly on factors that may affect the level and pattern of consumer spending in the markets in which we operate. Such factors include consumer preference, consumer confidence, consumer income, consumer perception of the safety and quality of our products and shifts in the perceived value for our products relative to alternatives. The market for diapers and wipes is also subject to changes in birthrates, which have been declining in developed countries like the United States. In addition, media coverage regarding the safety, quality, and environmental suitability of our products or the raw materials, ingredients or processes involved in their manufacturing may damage consumer confidence in our products. A general decline in the consumption of our products could occur at any time as a result of change in consumer preference, perception, confidence and spending habits, including an unwillingness to pay a premium or an inability to purchase our products due to financial hardship or increased price sensitivity, inflationary pressures and economic uncertainty. If consumer preferences shift away from clean products, our business, financial condition and results of operations could be adversely affected.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success of our products depends on a number of factors including our ability to accurately anticipate changes in market demand and consumer preferences, our ability to differentiate the quality of our products from those of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and the effectiveness of our marketing and advertising campaigns for our products. We may not be successful in identifying trends in consumer preferences and developing products that respond to such trends in a timely manner. We also may not be able to effectively promote our products by our marketing and advertising campaigns and gain market acceptance. If our products fail to gain market acceptance, are restricted by regulatory requirements or have quality problems, we may not be able to fully recover costs and expenses incurred in our operations, and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cannot maintain our Company culture or focus on our purpose as we grow, our success and our business and competitive position may be harmed.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believe our culture and our mission have been key contributors to our success to date and that the critical nature of the platform that we provide promotes a sense of greater purpose and fulfillment in our employees. Any failure to preserve our culture or focus on our mission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values. If we fail to maintain our Company culture or focus on our mission, our competitive position and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ability to maintain our competitive position is largely dependent on the services of our senior management and other key personnel.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maintain our competitive position is largely dependent on the services of our senior management and other key personnel, and the loss of their services could have an adverse effect on our business,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Jessica Alba departed as our Chief Creative Officer on April 9, 2024. Jessica Alba is a globally recognized Latina business leader, entrepreneur, advocate, actress, and New York Times bestselling author. We believe that the success of our brand has historically been based in part on our affiliation with Jessica Alba. We had an agreement with Jessica Alba, or the Likeness Agreement, which, among other things, included a license for her likeness and imposed various obligations on us. The Likeness Agreement was terminated as part of Ms. Alba's departure from her Chief Creative Officer position. In connection with the termination of the Likeness Agreement we recorded an inventory write-down of $0.8 million during the year ended December 31, 2024, inclusive of overhead costs and tariffs. Additionally, we earmarked donations of $0.4 million, inclusive of overhead costs and tariffs. We may have future inventory write-offs as we are prohibited from selling existing inventory that uses certain specified licensed intellectual prope</w:t>
      </w:r>
      <w:r>
        <w:rPr>
          <w:rFonts w:ascii="Times New Roman;serif" w:hAnsi="Times New Roman;serif"/>
          <w:b w:val="false"/>
          <w:color w:val="000000"/>
          <w:sz w:val="20"/>
        </w:rPr>
        <w:t xml:space="preserve">rty on its packaging. </w:t>
      </w:r>
      <w:r>
        <w:rPr>
          <w:rFonts w:ascii="Times New Roman;serif" w:hAnsi="Times New Roman;serif"/>
          <w:b w:val="false"/>
          <w:color w:val="231F20"/>
          <w:sz w:val="20"/>
        </w:rPr>
        <w:t>We have also historically depended on Ms. Alba’s social media reach and influence to connect with consumers and provide insight on current trends. For example, the Honest Beauty social channels where Ms. Alba was featured frequently in the past have lost significant viewership and engagement over the past two years. The loss of the services of Ms. Alba and the loss of our ability to use Ms. Alba’s likeness, could have an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 addition, our future success depends on our continued ability to attract, develop, motivate and retain highly qualified and skilled employees, including Carla Vernón, who became our CEO in 2023 and Curtiss Bruce, who became our CFO in 2025.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w:t>
      </w:r>
      <w:r>
        <w:rPr>
          <w:rFonts w:ascii="Times New Roman;serif" w:hAnsi="Times New Roman;serif"/>
          <w:b w:val="false"/>
          <w:color w:val="000000"/>
          <w:sz w:val="20"/>
        </w:rPr>
        <w:t xml:space="preserve">The loss of one or more of our executive officers could harm morale, cause additional personnel to depart, or introduce operational delays or risks as successor executives learn our business, each of which could harm our operating results. </w:t>
      </w:r>
      <w:r>
        <w:rPr>
          <w:rFonts w:ascii="Times New Roman;serif" w:hAnsi="Times New Roman;serif"/>
          <w:b w:val="false"/>
          <w:color w:val="231F20"/>
          <w:sz w:val="20"/>
        </w:rPr>
        <w:t xml:space="preserve">If we fail to retain talented senior management and other key personnel, or if we do not succeed in attracting well-qualified employees or retaining and motivating existing employees, our business, financial condition and results of operations could be adversely affected.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 xml:space="preserve">Use of social media and influencers may adversely affect our reputation or subject us to fines or other penalties.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use third-party social media platforms as, among other things, marketing tools. For example, we maintain Instagram, Facebook, Pinterest, X (formerly Twitter) and TikTok accounts. We also maintain relationships with thousands of social media influencers and engage in sponsorship initiatives. As existing ecommerce and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discontinue or reduce their operations or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an increase in the use of social media influencers for product promotion and marketing may cause an increase in the burden on us to monitor compliance of the content they post and increase the risk that such content could contain problematic product or marketing claims in violation of applicable laws and regulations. For example, in some cases, the Federal Trade Commission, or the FTC, has brought enforcement action where an endorsement has failed to clearly and conspicuously disclose a financial relationship or material connection between an influencer and an advertiser. We do not control the content that our influencers post, and if we were held responsible for any false, misleading or otherwise unlawful content of their posts or their actions, we could be fined or subjected to other monetary liabilities or forced to alter our practices, which could have an adverse impact on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Negative commentary regarding us, our products or influencers and other third parties who are affiliated with us has in the past and may in the future also be posted on social media platforms and may be adverse to our reputation or business. Influencers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Employee litigation and unfavorable publicity could negatively affect our future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employees have in the past, and may in the future, bring employment-related lawsuits against us, including regarding injuries, a hostile workplace, discrimination, wage and hour disputes, sexual harassment, or other employment issues. In recent years there has been an increase in the number of discrimination and harassment claims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Any employment-or harassment-related claims against our Company or key personnel could negatively affect us in similar or other ways.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have a history of net losses and we may not be able to achieve or maintain profitability in the future.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We have incurred net losses periodically since our inception and we may not be able to achieve or maintain profitability in the future. We incurred net losses of </w:t>
      </w:r>
      <w:r>
        <w:rPr>
          <w:rFonts w:ascii="Times New Roman;serif" w:hAnsi="Times New Roman;serif"/>
          <w:b w:val="false"/>
          <w:color w:val="000000"/>
          <w:sz w:val="20"/>
        </w:rPr>
        <w:t>$15.7 million, $6.1 million</w:t>
      </w:r>
      <w:r>
        <w:rPr>
          <w:color w:val="231F20"/>
        </w:rPr>
        <w:t xml:space="preserve"> </w:t>
      </w:r>
      <w:r>
        <w:rPr>
          <w:rFonts w:ascii="Times New Roman;serif" w:hAnsi="Times New Roman;serif"/>
          <w:b w:val="false"/>
          <w:color w:val="231F20"/>
          <w:sz w:val="20"/>
        </w:rPr>
        <w:t xml:space="preserve">and $39.2 million in the years ended </w:t>
      </w:r>
      <w:r>
        <w:rPr>
          <w:rFonts w:ascii="Times New Roman;serif" w:hAnsi="Times New Roman;serif"/>
          <w:b w:val="false"/>
          <w:color w:val="000000"/>
          <w:sz w:val="20"/>
        </w:rPr>
        <w:t>December 31, 2025, 2024</w:t>
      </w:r>
      <w:r>
        <w:rPr>
          <w:color w:val="231F20"/>
        </w:rPr>
        <w:t xml:space="preserve"> </w:t>
      </w:r>
      <w:r>
        <w:rPr>
          <w:rFonts w:ascii="Times New Roman;serif" w:hAnsi="Times New Roman;serif"/>
          <w:b w:val="false"/>
          <w:color w:val="231F20"/>
          <w:sz w:val="20"/>
        </w:rPr>
        <w:t>and 2023, respectively. Even as we try to manage our expenses and despite executing the Transformation Initiative and Powering Honest Growth, these efforts may be more costly than we expect and may not result in increased revenue or growth or margin improvements in our business in the future.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have a limited operating history at our current scale, which may make it difficult to evaluate our business and future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began commercial operations in 2012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Certain of the data that we track is subject to inherent challenges in measurement, and any inaccuracies in such data may negatively affect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track certain data using internal data analytics tools and we rely on data received from third parties, including third-party platforms, which have certain limitations. Data from these sources may include information relating to fraudulent accounts and interactions with our sites or the social media accounts of our business or of our influencers (including as a result of the use of bots, or other automated or manual mechanisms to generate false impressions that are delivered through our sites or their accounts). We have only a limited ability to verify data from our sites or third parties, and perpetrators of fraudulent impressions may change their tactics and may become more sophisticated, which would make it still more difficult to detect such activity.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methodologies for tracking data may also change over time. If we undercount or overcount performance due to the internal data analytics tools we use or experience issues with the data received from third parties, or if our internal data analytics tools contain algorithmic or other technical errors, the data we track may not be accurate. In addition, limitations, changes or errors with respect to how we measure data may affect our understanding of certain details of our business, which could affect our longer-term strategies. If we are not able to obtain and track accurate data,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rely on independent certification for a number of our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rely on independent third-party certification to differentiate our products from others. We must comply with the requirements of independent organizations or certification authorities in order to label our products with specific certification claims, such as the USDA’s BioPreferred Program for certified biobased products, the National Eczema Association’s NEA Seal of Acceptance, and the IWSFG standard for flushable wipes. For example, we can lose our certifications if we use unapproved raw materials or incorrectly use a certification on product labels or in marketing materials. The loss of any independent certifications could adversely affect our market position and brand reputation as a maker of clean products, and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results of operations may fluctuate as a result of price concessions, promotional activities, credits and other factors.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Retailers and third-party ecommerce partners may require price concessions that would negatively impact our margins and our ability to achieve or maintain profitability. If we are not able to lower our cost structure adequately in response to consumer pricing demands, and if we are not able to attract and retain a profitable consumer mix and a profitable product mix, our ability to achieve or maintain profitability could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we periodically offer credits through various programs to our retail and ecommerce customers, including temporary price reductions, off-invoice discounts, retailer advertisements, product coupons, market development funds, in-store merchandising and product displays and other trade activities. We also periodically provide credits or other accommodations to our retail and ecommerce customers in the event that products do not conform to specifications or meet expected demand. The cost associated with promotions and credits is estimated and recorded as a reduction in revenue. These price concessions and promotional activities could adversely impact our revenue and changes in such activities could adversely impact period-over-period results. If we are not correct in predicting the performance of such promotions, or if we are not correct in estimating credits,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Significant product returns or refunds could harm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Some of our agreements with our retail or third-party ecommerce partners provide that we are responsible for the costs of certain returns. If product returns or refunds are significant or higher than anticipated and forecasted, our business, financial condition, results of operations and prospects could be adversely affected. Further, we and our retail and third-party ecommerce partners modify policies relating to returns or refunds from time to time, and may do so in the future, which may result in consumer dissatisfaction and harm to our reputation or brand, or an increase in the number of product returns or the amount of refunds we make. Additionally, from time to time our products are damaged in transit, which can increase return rates and harm our brand.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business may be adversely affected if we are unable to respond and adapt to rapid changes in technology.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number of people who access the Internet through devices other than personal computers, including mobile phones, handheld computers such as notebooks and tablets and television set-top devices, has increased dramatically over the past decade. The versions of our website and mobile applications developed for these devices may not be compelling to consumers and may be costly to maintain. If we or our retail or ecommerce partners are unable to attract consumers to our or their websites or mobile applications through these devices or are slow to develop a version of such websites or mobile applications that are more compatible with alternative devices, we may fail to capture a significant share of consumers in our product categories and could also lose consumers, which could have an adverse effect on our business, financial condition, results of operations and prospects.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Further, we continually upgrade existing technologies and business applications and we may be required to implement new technologies or business applications in the future. The implementation of upgrades and changes requires significant investments and may cause disruption to our business. Our results of operations may be affected by the timing, effectiveness and costs associated with the successful implementation of any upgrades or changes to our systems and infrastructure.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we are increasingly incorporating artificial intelligence (“AI”) and data analytics into our operations. Our ability to compete effectively depends in part on our capacity to adopt these technologies in a timely and responsible manner. If we fail, or are perceived to have failed, to keep pace with competitors' use of AI to improve operating efficiencies, develop commercial insights, or anticipate consumer preferences, our competitive position, market share, and financial results could be adversely affected. The adoption of AI technologies (including generative AI and autonomous or "agentic" AI systems) also introduces operational risks. AI systems may produce inaccurate, biased, or unreliable outputs that could lead to, among other things, flawed business decisions, inefficient resource allocation, or errors in manufacturing, ordering, or fulfillment processes. We rely on third-party AI platforms and service providers, and disruptions, errors, security vulnerabilities or other issues in those systems could harm (including interrupt) our operations and otherwise expose us to liability. Additionally, the use of AI tools by our employees, contractors, service providers, or other third parties with whom we work may, among other things, inadvertently disclose confidential information, compromise trade secrets, or generate content that infringes third-party rights (including intellectual property). Outputs generated by AI tools could be inconsistent with our brand values.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rapid evolution of AI technologies has in the past and may in the future also intensify cybersecurity risks, as threat actors increasingly use AI to develop more sophisticated attacks, including enhanced phishing, malware, deepfake impersonation, and social engineering techniques. Cybersecurity incidents involving AI systems and/or data processed through such systems could result in, among other things, business disruption, reputational harm, regulatory penalties, and loss of customer trust. In addition, the legal and regulatory environment for AI is evolving rapidly across multiple jurisdictions. Governments have in the past and may in the future enact laws governing the development, deployment, and use of AI, including requirements related to transparency, algorithmic accountability, data privacy, and bias mitigation. Compliance with these diverse and potentially conflicting requirements has in the past and may in the future increase our costs, limit how we (or the third parties with whom we work) deploy AI technologies, as well as expose us to enforcement actions, litigation, reputational harm and other consequences.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Intellectual property rights related to AI-generated content remain uncertain. We may face claims that our use of AI tools infringes third-party copyrights, patents, or other intellectual property, and we may have limited ability to obtain intellectual property protection for AI-generated outputs. These uncertainties could affect our ability to protect our brand and proprietary information. In addition, shifts in consumer behavior driven by AI, including the emergence of AI-powered shopping agents or recommendation systems, could reduce demand for our products if such systems favor competitors' offerings. We may also be required to invest significant resources to develop, acquire, or integrate AI-driven and agentic technologies, and there can be no assurance that such investments will be successful, cost-effective, or result in increased demand for our offerings. Our failure, or perceived failure, to effectively leverage AI to understand and respond to changing consumer preferences could erode our market position.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Severe weather, including hurricanes, earthquakes and natural disasters, could disrupt normal business operations, which could result in increased costs and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services and operations, including several of our fulfillment centers, customer service centers, data centers and corporate offices are located in California, Minnesota, Nevada and Pennsylvania, and other areas and cross dock facilities that are vulnerable to damage or interruption from natural disasters, power losses, telecommunication failures, terrorist attacks, human errors, break-ins and similar events. The occurrence of a natural disaster or other unanticipated problems at our facilities could result in lengthy interruptions in our services as well as higher insurance premiums. We may not be able to efficiently relocate our fulfillment and delivery operations due to disruptions in service if one of these events occurs and our insurance coverage may be insufficient to compensate us for such losses. Because the Los Angeles area, where our corporate offices are located, is in an earthquake fault zone and because the Los Angeles area is subject to the increased risk of wildfires, we are particularly sensitive to the risk of damage to, or total destruction of, our primary offices and one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A disruption in our operations could have an adverse effect on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operations, including those of our third-party manufacturers, suppliers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or other public health emergencies, border disputes, acts of terrorism and other external factors over which we and our third-party manufacturers, suppliers and delivery service providers have no control. The loss of, or damage to, the manufacturing facilities or fulfillment centers of our third-party manufacturers, suppliers and delivery service providers could have an adverse effect on our business, financial condition, results of operations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depend heavily on ocean container delivery to receive shipments of certain of our products such as wipes from our third-party manufacturers located in China and contracted third-party delivery service providers to deliver our products to our fulfillment centers located in Las Vegas, Nevada and Breinigsville, Pennsylvania, and from there to our consumers and retail customers. Our third-party manufacturers also rely on ocean container delivery to receive shipments of raw materials and components for our products. Further, we rely on one major carrier for our domestic freight. Interruptions to or failures in these international and domestic transportation and delivery services have in the past prevented and could in the future prevent the timely or successful delivery of our products. These interruptions or failures may also be due to unforeseen events that are beyond our control or the control of our third-party delivery and transportation service providers, such as truck shortages, labor unrest, political turmoil or natural disasters. There is no assurance that these interruptions or failures will not happen again. For example, a labor strike at a port could negatively impact the delivery of our imported wipes, and the escalating trade dispute between the United States and China, United States and Mexico, and United States and Canada, including any potential tariff or trade barriers, and the increased demand for shipping containers have and may in the future restrict the flow of the goods, including our components and wipes from China to the United States and our diapers from Mexico to the United States. Any failure to provide high-quality delivery services to our consumers may negatively affect the shopping experience of our consumers, damage our reputation and cause us to lose consumers.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ability to meet the needs of our consumers and retail customers depends on our and our distribution partners’ proper operation of our fulfillment centers in Las Vegas, Nevada and Breinigsville, Pennsylvania, where most of our inventory that is not in transit is housed. Although we currently insure our inventory, our insurance coverage may not be sufficient to cover the full extent of any loss or damage to our inventory or fulfillment centers, and any loss, damage or disruption of this facility, or loss or damage of the inventory stored there,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may incur significant losses from fraud.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may in the future incur losses from various types of fraud, including from phishing attempts and merchant fraud. Although we have measures in place to detect and reduce the occurrence of fraudulent activity, those measures may not always be effective. Our failure to adequately prevent fraudulent transactions could damage our reputation, result in litigation or regulatory action and additional expenses and our business, financial condition, results of operations and prospects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ability to raise capital in the future may be limited and our failure to raise capital may limit our ability to invest in strategic priorities and grow our business.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 the future, we could be required to raise capital through public or private financing or other arrangements. Such financing may not be available on acceptable terms, or at all, and our failure to raise capital when needed could harm our business. We may sell common stock, convertible securities and other equity securities in one or more transactions at prices and in a manner as we may determine from time to time. If we sell any such securities in subsequent transactions, investors in our common stock may be materially diluted. New investors in such subsequent transactions could gain rights, preferences and privileges senior to those of holders of our common stock. Debt financing, if available, may involve restrictive covenants and could reduce our operational flexibility or ability to achieve or maintain profitability. </w:t>
      </w:r>
      <w:r>
        <w:rPr>
          <w:rFonts w:ascii="Times New Roman;serif" w:hAnsi="Times New Roman;serif"/>
          <w:b w:val="false"/>
          <w:color w:val="000000"/>
          <w:sz w:val="20"/>
        </w:rPr>
        <w:t xml:space="preserve">Additionally, our ability to raise additional funds may be adversely impacted by potential worsening global economic conditions and the recent disruptions to, and volatility in, the credit and financial markets in the United States and worldwide, resulting from increased volatility in the trading markets, or otherwise. </w:t>
      </w:r>
      <w:r>
        <w:rPr>
          <w:rFonts w:ascii="Times New Roman;serif" w:hAnsi="Times New Roman;serif"/>
          <w:b w:val="false"/>
          <w:color w:val="231F20"/>
          <w:sz w:val="20"/>
        </w:rPr>
        <w:t>If we cannot raise funds on acceptable terms, we may be forced to raise funds on undesirable terms, or our business may contract or we may be unable to grow our business or respond to competitive pressures, any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The agreements governing our indebtedness require us to meet certain operating and financial covenants and place restrictions on our operating and financial flexibility. If we raise capital through additional debt financing, the terms of any new debt could further restrict our ability to operate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In January 2023, we entered into a first lien credit agreement, or 2023 Credit Facility, with JPMorgan Chase Bank, N.A., as administrative agent and lender, and the other lenders party thereto, which provides for a $35.0 million revolving credit facility maturing on April 30, 2026. Debt under the 2023 Credit Facility is guaranteed by our material domestic subsidiaries and is secured by our and such subsidiaries’ assets and property</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2023 Credit Facility also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make restricted payments including dividends and distributions on, redemptions of, repurchases or retirement of our capital stock;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make certain intercompany distributions;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incur additional indebtedness and issue certain types of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sell assets, including capital stock of subsidiaries;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enter into certain transactions with affiliates;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incur liens;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enter into fundamental changes including mergers and consolidations;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make investments, acquisitions, loans or advances;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create negative pledges or restrictions on the payment of dividends or payment of other amounts owed from subsidiaries;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make prepayments or modify documents governing material debt that is subordinated with respect to right of payment;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engage in certain sale leaseback transactions;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change our fiscal year;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change our lines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2023 Credit Facility also contains a financial covenant that requires us to maintain a minimum total fixed charge coverage ratio during the periods set forth in the 2023 Credit Facility. As a result of the restrictions described above, we are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ability to comply with the covenants and restrictions contained in the 2023 Credit Facility may be affected by economic, financial and industry conditions beyond our control. The restrictions in the 2023 Credit Facility may prevent us from taking actions that we believe would be in the best interests of our business and may have made it difficult for us to execute our business strategy successfully or effectively compete with companies that are not similarly restricted. Even if the 2023 Credit Facility is terminated, any additional debt that we incur in the future could subject us to similar or additional covenants.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2023 Credit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 Employee Retirement Income Security Act of 1974; certain undischarged judgments; material invalidity of guarantees or grant of security interest; and change of control, in certain cases subject to certain thresholds and grace periods.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2023 Credit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to which a cross-acceleration or cross-default provision applies. If we are unable to repay our indebtedness, lenders having secured obligations, such as the lenders under the 2023 Credit Facility, could proceed against the collateral securing the indebtedness. In any such case, we may be unable to borrow under our credit facilities and may not be able to repay the amounts due under our credit facilities. This could have an adverse effect on our business, financial condition, results of operations and prospects and could cause us to become bankrupt or insolvent.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could be required to collect additional sales taxes or be subject to other tax liabilities that may increase the costs our consumers would have to pay for our products and adversely affect our operating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On June 21, 2018, the U.S. Supreme Court held in South Dakota v. Wayfair, Inc. that states could impose sales tax collection obligations on out-of-state retailers even if those retailers lack any physical presence within the states imposing sales taxes. Under the Wayfair decision, a person requires only a “substantial nexus” with the taxing state before the state may subject the person to sales tax collection obligations therein. An increasing number of states, both before and after the Supreme Court’s ruling, have considered or adopted laws that attempt to impose sales tax collection obligations on out-of-state retailers. The Supreme Court’s Wayfair decision has removed a significant impediment to the enactment of these laws, and it is possible that states may seek to tax out-of-state retailers, including for prior tax years. Although we believe that we currently collect sales taxes in all states that have adopted laws imposing sales tax collection obligations on out-of-state retailers since Wayfair was decided, a successful assertion by one or more jurisdictions requiring us to collect sales taxes where we presently do not do so, or to collect more taxes in a jurisdiction in which we currently do collect some sales taxes, could result in substantial tax liabilities, including taxes on past sales, as well as penalties and interest. The imposition by state governments of sales tax collection obligations on out-of-state retailers in jurisdictions where we do not currently collect sales taxes, whether for prior years or prospectively, could also create additional administrative burdens for us, put us at a competitive disadvantage if they do not impose similar obligations on our competitors and decrease our future sales, which could have an adverse effect on our business, financial condition, results of operations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231F20"/>
          <w:sz w:val="20"/>
        </w:rPr>
      </w:pPr>
      <w:r>
        <w:rPr>
          <w:rFonts w:ascii="Times New Roman;serif" w:hAnsi="Times New Roman;serif"/>
          <w:b/>
          <w:i/>
          <w:color w:val="231F20"/>
          <w:sz w:val="20"/>
        </w:rPr>
        <w:t>We may seek to grow our business through acquisitions of, or investments in, new or complementary businesses, facilities, technologies or products, or through strategic alliances, and the failure to successfully manage or execute these acquisitions, investments or alliances, or to integrate them with our existing business, could have an adverse effect on us.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From time to time we may consider opportunities to acquire or make investments in new or complementary businesses, facilities, technologies, offerings or products, or enter into strategic alliances, which may enhance our capabilities, expand our outsourcing and supplier network, complement our current products or expand the breadth of our markets.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Acquisitions, investments and other strategic alliances involve numerous risks,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problems integrating the acquired business, facilities, technologies or products, including issues maintaining uniform standards, procedures, controls and policies;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risks associated with quality control and brand reputation;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unanticipated costs associated with acquisitions, investments or strategic alliances;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diversion of management’s attention from our existing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adverse effects on existing business relationships with suppliers, outsourced private brand manufacturing partners and retail and ecommerce partners;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risks associated with any dispute that may arise with respect to such strategic alliance;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risks associated with entering new markets in which we may have limited or no experience;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potential loss of key employees of acquired businesses;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increased legal and accounting compliance costs.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For example, we have terminated our strategic alliance with Butterblu and sued Butterblu for alleged breaches of the supplier services agreement </w:t>
      </w:r>
      <w:r>
        <w:rPr>
          <w:rFonts w:ascii="Times New Roman;serif" w:hAnsi="Times New Roman;serif"/>
          <w:b w:val="false"/>
          <w:color w:val="000000"/>
          <w:sz w:val="20"/>
        </w:rPr>
        <w:t xml:space="preserve">pursuant to which Butterblu provided certain design, manufacturing, sales and marketing services to us. Litigation related to our respective obligations under the supplier services agreement and the terms of termination, and costs to us related to the inventory we agreed to purchase and own for the term of the supplier service agreement have adversely affected our results of operations for the year ended December 31, 2025 and will continue to adversely affect our results of operations in the future. In addition, the loss of the relationship with Butterblu will negatively impact sales of our apparel, which will adversely affect our results of operations. For additional information regarding termination of the supplier services agreement with Butterblu and related litigation, see section titled “Supplier Services Agreement” in Item 7 “Management’s Discussion and Analysis of Financial Condition and Results of Operations.” Revenue generated from apparel was </w:t>
      </w:r>
      <w:r>
        <w:rPr>
          <w:rFonts w:ascii="Times New Roman;serif" w:hAnsi="Times New Roman;serif"/>
          <w:b w:val="false"/>
          <w:color w:val="000000"/>
          <w:sz w:val="22"/>
        </w:rPr>
        <w:t>10%</w:t>
      </w:r>
      <w:r>
        <w:rPr>
          <w:color w:val="000000"/>
        </w:rPr>
        <w:t xml:space="preserve"> </w:t>
      </w:r>
      <w:r>
        <w:rPr>
          <w:rFonts w:ascii="Times New Roman;serif" w:hAnsi="Times New Roman;serif"/>
          <w:b w:val="false"/>
          <w:color w:val="000000"/>
          <w:sz w:val="20"/>
        </w:rPr>
        <w:t>and 12%, respectively, of our total revenue during the year ended December 31, 2025 and 2024.</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 xml:space="preserve">Our ability to utilize our net operating loss carryforwards and certain other tax attributes may be limited.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We have incurred substantial losses since inception. As of December 31, 2025, we had federal and state net operating loss carryforwards of $313.0 million and $274.0 million, respectively. The federal loss carryforwards, except the federal loss carryforwards arising in tax years beginning after December 31, 2017, begin to expire in 2032 unless previously utilized. Federal net operating losses, or NOLs, arising in tax years beginning after December 31, 2017 have an indefinite carryforward period and do not expire, but the deduction for these carryforwards is limited to 80% of current-year taxable income for taxable years beginning after 2020. In general, under Sections 382 and 383 of the U.S. Internal Revenue Code of 1986, as amended,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may have experienced ownership changes in the past and may experience ownership changes in the future. </w:t>
      </w:r>
      <w:r>
        <w:rPr>
          <w:rFonts w:ascii="Times New Roman;serif" w:hAnsi="Times New Roman;serif"/>
          <w:b w:val="false"/>
          <w:color w:val="231F20"/>
          <w:sz w:val="20"/>
        </w:rPr>
        <w:t>We performed a study to determine whether net operating losses and credit carryover limitations exist under Section 382 as of December 31, 2025, and determined that a portion of the net operating losses that were generated during 2022 and prior are subject to Section 382 annual limitations. As of December 31, 2025 and 2024, these limitations did not cause any of the limited net operating losses to be permanently lost.</w:t>
      </w:r>
      <w:r>
        <w:rPr>
          <w:color w:val="000000"/>
        </w:rPr>
        <w:t xml:space="preserve"> </w:t>
      </w:r>
      <w:r>
        <w:rPr>
          <w:rFonts w:ascii="Times New Roman;serif" w:hAnsi="Times New Roman;serif"/>
          <w:b w:val="false"/>
          <w:color w:val="000000"/>
          <w:sz w:val="20"/>
        </w:rPr>
        <w:t>In addition, for state income tax purposes, there may be periods during which the use of NOLs or tax credits is suspended or otherwise limited, which could accelerate or permanently increase state taxes owed, including California tax legislation that, with certain exceptions, suspends the ability to use California net operating losses to offset California income and limits the ability to use California business tax credits to offset California taxes, for taxable years beginning after 2023 and before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Risks Related to Our Dependence on Third Parties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We renegotiated and agreed to higher purchase prices in 2024 with one of our third-party manufacturers, which may negatively impact our cost of revenue and may have a negative impact on our results of operations in the future. We implemented price increases that took effect in 2022 and 2023 and plan to implement additional price increases in the future as needed to offset input cost inflation. The implementation of these price increases is dependent on acceptance from our customers and accurate input of these pricing changes into our systems and our customers' systems. As we expand into new categories and product types, we expect that we may not have strong purchasing power in these new areas, which could lead to higher costs than we have historically seen in our current product categories. Failure to incorporate these price increases into our and our customers' systems may negatively impact our revenue and business results. We may also be limited in our ability to pass increased costs on to consumers, and may experience reduced demand from consumers as a result of our price increases,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brand or reputation could be harmed if customers or consumers and potential consumers believe that our products do not meet their expectations, are not properly labeled or are damaged.</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In addition, we do not maintain long-term supply contracts with many of our suppliers and these suppliers could discontinue selling to us at any time. We do have a long-term supply agreement with Ontex for the manufacture and supply of certain diaper products that ends on January 1, 2027, which either party may terminate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 In the fourth quarter of 2025, Ontex asked for additional price increases for 2026. If we are not successful in negotiating this requested price increase or future renewals, or if we are subject to increased pricing terms, our business, financial condition, results of operations and prospects could be adversely affected.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suppliers and customers currently provide us with certain incentives such as volume rebates, trade discounts, cooperative advertising and market development funds. A reduction or discontinuance of these incentives would increase our costs and could reduce our ability to achieve or maintain profitability. Similarly, if one or more of our suppliers or customers were to offer these incentives, including preferential pricing, to our competitors, our competitive advantage would be reduced, which could have an adverse effect on our business, financial condition, results of operations and prospects.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2023, we entered into an agreement with </w:t>
      </w:r>
      <w:r>
        <w:rPr>
          <w:rFonts w:ascii="Times New Roman;serif" w:hAnsi="Times New Roman;serif"/>
          <w:b w:val="false"/>
          <w:color w:val="231F20"/>
          <w:sz w:val="20"/>
        </w:rPr>
        <w:t xml:space="preserve">National Distribution Centers, LLC, or NFI </w:t>
      </w:r>
      <w:r>
        <w:rPr>
          <w:rFonts w:ascii="Times New Roman;serif" w:hAnsi="Times New Roman;serif"/>
          <w:b w:val="false"/>
          <w:color w:val="000000"/>
          <w:sz w:val="20"/>
        </w:rPr>
        <w:t xml:space="preserve">that replaced GEODIS in providing services at our Las Vegas, Nevada fulfillment center. GEODIS Logistics LLC, or GEODIS, still manages our warehouse fulfillment center located in Breinigsville, Pennsylvania. NFI and GEODIS provide warehousing, distribution and fulfillment services to us. Our agreements with NFI or GEODIS may be terminated for any reason by us or by NFI or GEODIS, as applicable, on delivery of prior written notice, and are renewable on an annual basis. In December 2025, we notified GEODIS, pursuant to the terms of the contract, that we are terminating the agreement with them for the Pennsylvania warehouse use and services effective June 30, 2026. If the agreement with NFI or GEODIS is terminated, is not renewed or if one fulfillment center is consolidated into another warehouse fulfillment center or if NFI or GEODIS becomes insolvent, ceases or significantly reduces its operations or experiences financial distress,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If we are not successful negotiating such renewals or consolidating our warehouses, our business, financial condition, results of operations and prospects could be adversely affected as we may have to work with a new provider of warehousing, distribution and fulfillment services which could be disruptive to our operations and further increase our costs.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rely on third-party suppliers, manufacturers, retail and ecommerce customers and other vendors, and they may not continue to produce products or provide services that are consistent with our standards or applicable regulatory requirements, which could adversely affect our business, harm our brand, cause consumer dissatisfaction, and require us to find alternative suppliers of our products or services.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We have previously negotiated and agreed to higher purchase prices, which has negatively impacted our cost of revenue, and additional negotiations could negatively impact our cost of revenue in the future. In 2025, we agreed to increased purchase costs from our diaper manufacturer and received requests to renegotiate purchase costs from other third-party manufacturers. </w:t>
      </w:r>
      <w:r>
        <w:rPr>
          <w:rFonts w:ascii="Times New Roman;serif" w:hAnsi="Times New Roman;serif"/>
          <w:b w:val="false"/>
          <w:color w:val="000000"/>
          <w:sz w:val="20"/>
        </w:rPr>
        <w:t xml:space="preserve">In the fourth quarter of 2025, Ontex asked for additional price increases for 2026. </w:t>
      </w:r>
      <w:r>
        <w:rPr>
          <w:rFonts w:ascii="Times New Roman;serif" w:hAnsi="Times New Roman;serif"/>
          <w:b w:val="false"/>
          <w:color w:val="231F20"/>
          <w:sz w:val="20"/>
        </w:rPr>
        <w:t>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In addition, if we experience significant decreases in demand, our third-party manufacturers may increase product purchase costs. Furthermore, our reliance on suppliers and manufacturers outside of the United States, the number of third parties with whom we transact and the number of jurisdictions to which we sell complicates our efforts to comply with customs duties, tariffs and excise taxes; any failure to comply could adversely affect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faced supply chain challenges during the COVID-19 pandemic, decelerating market demand and aging and slower turning inventory, we had received some product quality complaints from customers and consumers that resulted in additional refunds, returns, write-offs and remediation costs. Remediation costs would be significant, including the cost to rework a product to be in sellable condition or the cost to destroy a product that cannot be remediated, and while immaterial as of December 31, 2025, they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also outsourced portions of our fulfillment process, as well as certain technology-related functions to third-party service providers. Specifically, we rely on third parties in a number of foreign countries and territories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Further, our third-party manufacturers, suppliers and retail and ecommerce customers may:</w: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economic or business interests or goals that are inconsistent with ours;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take actions contrary to our instructions, requests, policies or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financial difficulties;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raw material or labor shortages;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increases in raw material or labor costs which may affect our procurement costs;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difficulties with proper payment of custom duties, tariffs or excise taxes;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disclose our confidential information or intellectual property to competitors or third parties;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engage in activities or employ practices that may harm our reputation; and</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work with, be acquired by, or come under control of, our competitors.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our third-party suppliers and manufacturers do not comply with ethical business practices or with applicable laws and regulations, our reputation, business, financial condition, results of operations and prospects could be harmed.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reputation and our consumers’ willingness to purchase our products depend in part on our suppliers’, manufacturers’, and retail customers’ compliance with ethical employment practices, such as with respect to child labor, wages and benefits, forced labor, discrimination, safe and healthy working conditions, and with all legal and regulatory requirements relating to the conduct of their businesses. While we require that our suppliers agree to our Supplier Code of Conduct, we do not exercise control over our suppliers, manufacturers, and retail customers and cannot guarantee their compliance with ethical and lawful business practices. If our suppliers, manufacturers, or retail customers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or our distribution partners do not successfully optimize, operate and manage the expansion of the capacity of our warehouse fulfillment centers, our business, financial condition, results of operations and prospects could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warehouse fulfillment centers located in Las Vegas, Nevada and Breinigsville, Pennsylvania, which are managed by our distribution partners, NFI and GEODIS, respectively. If we or any distribution partners do not optimize and operate our warehouse fulfillment centers successfully and efficiently, this could result in excess or insufficient fulfillment capacity, an increase in costs or impairment charges or harm our business in other ways. In addition, if we or any distribution partners do not have sufficient fulfillment capacity or experience a problem fulfilling orders in a timely manner, our consumers may experience delays in receiving their purchases, which could harm our reputation and our relationship with our consumers. We and our distribution partner may experience disruptions to the operations of our fulfillment centers, which may negatively impact our and our distribution partner’s ability to fulfill orders in a timely manner, which could harm our reputation, relationships with consumers and business, financial condition, results of operations and prospects. We have designed and established our own fulfillment center infrastructure, including customizing inventory and package handling software systems, which are tailored to meet the specific needs of our business. If we continue to add fulfillment and warehouse capabilities, add new businesses or categories with different fulfillment requirements or change the mix in products that we sell, our fulfillment network will become increasingly complex and operating it will become more challenging. Failure to successfully address such challenges in a cost-effective and timely manner could impair our ability to timely deliver merchandise inventory to our retail and ecommerce partners and could have an adverse effect on our reputation and ultimately, our business, financial condition,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Although we currently rely on our distribution partners, we have in the past and may in the future add short-term warehouse fulfillment centers and/or other distribution capacity as our business continues to grow.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are unable to secure new facilities for the expansion of our fulfillment operations, recruit qualified personnel to support any such facilities, or effectively control expansion-related expenses, our business, financial condition, results of operations and prospects could be adversely affected. If we grow faster than we anticipate, we may exceed our fulfillment center capacity sooner than we anticipate, we may experience problems fulfilling orders in a timely manner, which could harm our reputation and our relationships with our consumers, and we would need to increase our capital expenditures more than anticipated and in a shorter time frame than we currently anticipate. Our ability to expand our fulfillment center capacity, including our ability to secure suitable facilities and recruit qualified employees, may be affected by macroeconomic conditions, and there may be delays or increased costs associated with such expansion. Many of the expenses and investments with respect to our fulfillment centers are fixed, and any expansion of such fulfillment centers will require additional investment of capital. We would incur such expenses and make such investments in advance of expected sales, and such expected sales may not occur. Any of these factors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 xml:space="preserve">Shipping is a critical part of our business and any changes in our shipping arrangements or any interruptions in shipping could adversely affect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primarily rely on two major vendors for our inbound domestic freight. If we are not able to negotiate acceptable pricing and other terms with these vendors or they experience performance problems or other difficulties, this could negatively impact our operating results and our consumer experience. Shipping vendors have and may continue to impose shipping surcharges from time to time. In addition, our ability to receive inbound inventory efficiently and ship products to retailers may be negatively affected by inclement weather, fire, flood, power loss, earthquakes, labor disputes, acts of war or terrorism, trade embargoes, customs and tax requirements and similar factors. For example, strikes at major international shipping ports have in the past impacted our supply of inventory from our third-party manufacturers, and the escalating trade dispute between the United States and China, the United States and Mexico, and the United States and Canada has and may in the future lead to increased tariffs or trade barriers, and the revocation of current tariff exclusions for certain of our products, which may restrict the flow of goods from China, Mexico, and/or Canada to the United States. We are also subject to risks of damage or loss during delivery by our shipping vendors. If our products are not delivered in a timely fashion or are damaged or lost during the delivery process, our consumers could become dissatisfied and cease shopping on retailer or third-party ecommerce sites, which could have an adverse effect on our business, financial condition, operating results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Risks Related to Legal and Governmental Regulation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Selling our products involves inherent legal and other risks, and there is increasing governmental scrutiny of and public awareness regarding product safety. Illness, injury or death related to allergens, illnesses, foreign material contamination or other product safety incidents caused by our products, or involving our suppliers, could result in the disruption or discontinuance of sales of these products or our relationships with such suppliers, or otherwise result in increased operating costs, regulatory enforcement actions or harm to our reputation. For example, in 2015 multiple class action lawsuits were filed against us claiming that certain of our products, including our sunscreen, were ineffective and were not “natural,” which also resulted in an investigation by the Food and Drug Administration, or the FDA. In 2016 multiple class action lawsuits were filed against us claiming that we misled buyers about ingredients in our laundry detergent, dish soap and multi-surface cleaner. In 2022, a class action lawsuit was filed against us alleging that our plant-based claim on certain wipes products was deceptive to purchasers. In addition, we voluntarily recalled certain of our baby wipes and baby powder products in 2017. We also voluntarily recalled one of our bubble bath products in January 2021 due to concerns about potential contamination. Despite successfully completing these recalls, these incidents negatively affected our brand image and required significant time and resources to address.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Shipment of adulterated or misbranded products, even if inadvertent, can result in criminal or civil liability. Such incidents could also expose us to product liability, negligence, breach of warranty, false advertising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occurrence of adverse reactions, ineffectiveness or other safety incidents could also adversely affect the price and availability of affected materials, resulting in higher costs, disruptions in supply and a reduction in our sales. Furthermore, any instances of contamination, defects, or misbranding or other regulatory noncompliance, whether or not caused by our actions, could compel us, our suppliers, our retail or ecommerce customers, or our consumers, depending on the circumstances, to conduct a recall in accordance with FDA, the Consumer Product Safety Commission, or CPSC, the USDA, the U.S. Environmental Protection Agency, or EPA, or other federal regulations and policies, and comparable state laws, regulations and policies. Product recalls could result in significant losses due to their costs, the destruction of product inventory, lost sales due to the unavailability of the product for a period of time and potential loss of existing retail or ecommerce partners or consumers and a potential negative impact on our ability to attract new consumers due to negative consumer experiences or because of an adverse impact on our brand and reputation. The costs of a recall could be outside the scope of our existing or future insurance policy coverage or limits.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companies that sell similar and other products have been subject to targeted, large-scale tampering as well as to opportunistic, individual product tampering, and we, like any such company, could be a target for product tampering. Forms of tampering could include the introduction of foreign material, chemical contaminants and pathological organisms into products, as well as product substitution. Governmental regulations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Further, many products that we sell carry or are advertised with claims as to their origin, ingredients or health, wellness, environmental or other benefits or attributes, including, by way of example, the use of the terms “natural”, “organic”, “clean”, “clean conscious”, “sustainable”, “compostable”, “plant-based”, “hypoallergenic” or “naturally derived,” or similar synonyms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implied statements relating to such benefits or attributes. Although the FDA, FTC, and the USDA each has issued statements regarding the appropriate use of the word “natural,” there is no single, U.S. government regulated definition of the term “natural” or related concepts like “naturally derived” for use in the personal care industry, which is true for many other adjectives common in the clean conscious product industry. The resulting uncertainty has led to legal challenges. Plaintiffs have commenced legal actions against numerous companies that market “natural”, “naturally derived” or “clean” products or ingredients, asserting false, misleading and deceptive advertising and labeling and breach of warranty claims, including claims alleging the presence of genetically modified or synthetic ingredients, including synthetic, chemically altered or highly processed forms of otherwise natural ingredients. In limited circumstances, both the FDA and FTC have taken regulatory action against products labeled or advertised “natural” but that nonetheless contain synthetic ingredients or components. Should we become subject to similar claims, consumers may avoid purchasing products from us or seek alternatives, even if the basis for the claim is unfounded, and the cost of defending against any such claims could be significant. For example, a class action lawsuit was filed against us in 2022 alleging that our plant-based claim on certain wipes products was deceptive to purchasers. While the case was ultimately resolved, the cost of defending the lawsuit was significant. Any loss of confidence on the part of consumers in the truthfulness of our labeling, advertising or ingredient claims would be difficult and costly to overcome and may significantly reduce our brand value. Any of these events could adversely affect our reputation and brand and decrease our sales,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USDA enforces federal standards for organic production and use of the term “organic” on product labeling for food and other agricultural products. These laws prohibit a company from selling or labeling products as organic unless they are produced and handled in accordance with the applicable federal law. Failure to comply with these requirements may subject us to liability or regulatory enforcement. Consumers may also pursue state law claims challenging use of the organic label as being intentionally mislabeled or misleading or deceptive to consumers.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are subject to extensive governmental regulation and we may incur material liabilities under, or costs in order to comply with, existing or future laws and regulation, and our failure to comply may result in enforcements, recalls, and other adverse actions.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are subject to a broad range of federal, state, local, and foreign laws and regulations intended to protect public and worker health and safety, natural resources, the environment and consumers. Our operations are subject to regulation by the Occupational Safety and Health Administration, or OSHA, the FDA, the CPSC, the USDA, the FTC, EPA, and by various other federal, state, local and foreign authorities regarding the manufacture, processing, packaging, storage, sale, order fulfillment, advertising, labeling, import and export of our products.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we and our manufacturing partners are subject to additional regulatory requirements, including environmental, health and safety laws and regulations administered by the EPA,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Violations of or liability under any of these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and we may incur (directly, or indirectly through our manufacturing partners) material costs to comply with current or future laws and regulations or in any required product recalls. Liabilities under, and/or costs of compliance, and the impacts on us of any non-compliance, with any such laws and regulations could have an adverse effect on our business, financial condition, results of operations and prospects. In addition, changes in the laws and regulations to which we are subject, or in the prevailing interpretations of such laws and regulations by courts and enforcement authorities, could impose significant limitations and require changes to our business, which may increase our compliance expenses, make our business more costly and less efficient to conduct, and compromise our growth strategy,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products are also subject to state laws and regulations, such as California’s Proposition 65, or Prop 65, which requires a specific warning on any product that contains a substance listed by the State of California as having been found to cause cancer or birth defects, unless the level of such substance in the product is below a safe harbor level. We have in the past been subject to lawsuits brought under Prop 65, and if we fail to comply with Prop 65 in the future, it may result in lawsuits and regulatory enforcement that could have a material adverse effect on our reputation, business, financial condition, results of operations and prospects. Further, the inclusion of warnings on our products to comply with Prop 65 could also reduce overall consumption of our products or leave consumers with the perception (whether or not valid) that our products do not meet their health and wellness needs, all of which could adversely affect our reputation, business, financial condition, results of operations and prospects. These developments, depending on the outcome, could have an adverse effect on our reputation,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Changes in existing laws or regulations or related official guidance, or the adoption of new laws or regulations or guidance, may increase our costs and otherwise adversely affect our business, financial condition, results of operations and prospects.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manufacture and marketing of our products is highly regulated. We and our suppliers and manufacturers are subject to a variety of laws and regulations. These laws and regulations apply to many aspects of our business, including the manufacture, packaging, labeling, import, distribution and order fulfillment, advertising, sale, quality and safety of our products, as well as the health and safety of our employees and the protection of the environment.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the United States, we are subject to regulation by various government agencies, including OHSA, the FDA, the USDA, the FTC, the CPSC, and the EPA, the California Air Resources Board, or CARB, as well as various other federal, state and local agencies. We are also regulated outside the United States by various international regulatory bodies. In addition, we are subject to certain standards, such as the Global Food Safety Initiative, standards and review by voluntary organizations, such as BBB National Programs'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or unfair practices, including under the auspices of the FTC and the consumer protection statutes of some states.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regulatory environment in which we operate has changed in the past could change significantly and adversely in the future. For example, in December 2009, the FTC substantially revised its Guides Concerning the Use of Endorsements and Testimonials in Advertising, or “Endorsement Guides,” to eliminate a safe harbor principle that formerly recognized that advertisers could publish consumer testimonials that conveyed truthful but extraordinary results from using the advertiser’s product as long as the advertiser clearly and conspicuously disclosed that the endorser’s results were not typical. In 2023, the FTC updated the Endorsement Guides again to include social media tags in the definition of “endorsement” and to impose more prescriptive disclosure requirements in social media posts. Similarly, in 2012, the FTC announced revisions to its Guides For The Use Of Environmental Marketing Claims, or the “Green Guides,” that assist advertisers in avoiding the dissemination of false or deceptive environmental claims for their products. The Green Guides revisions introduced new and proscriptive guidance regarding advertisers’ use of product certifications and seals of approval, “recyclable” claims, “renewable materials” claims, “carbon offset” claims and other environmental benefit claims. Although we strive to adapt our marketing efforts to evolving regulatory requirements and related guidance, we may not always anticipate or timely identify changes in regulation or official guidance that could impact our business, with the result that we could be subjected to litigation and enforcement actions that could adversely affect our business, financial condition, results of operations and prospects. Future changes in regulations and related official guidance, including the Endorsement Guides and Green Guides, could also introduce new restrictions that impair our ability to market our products effectively and place us at a competitive disadvantage with competitors who depend less than we do on environmental marketing claims and social media influencer relationships.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Moreover, any change in manufacturing, advertising, labeling or packaging requirements for our products may lead to an increase in costs or interruptions in production, either of which could adversely affect our business, financial condition, results of operations and prospects. New or revised government laws, regulations or guidelines could result in additional compliance costs and, in the event of non-compliance, civil remedies, including fines, injunctions, withdrawals, recalls or seizures and confiscations, as well as potential criminal sanctions, any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Failure by our network of retail and ecommerce partners, suppliers or manufacturers to comply with product safety, environmental or other laws and regulations, or with the specifications and requirements of our products, may disrupt our supply of products and adversely affect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If our network of retail and ecommerce partners, suppliers or manufacturers fail to comply with environmental, health and safety or other laws and regulations, or face allegations of non-compliance, their operations may be disrupted and our reputation could be harmed. Additionally, our retail and ecommerce partners, suppliers and manufacturers are required to maintain the quality of our products and to comply with our standards and specifications. In the event of actual or alleged non-compliance, we might be forced to find alternative retail or ecommerce partners, suppliers or manufacturers and we may be subject to lawsuits and/or regulatory enforcement actions related to such non-compliance by the suppliers and manufacturers. As a result, our supply of our products could be disrupted or our costs could increase, which could adversely affect our business, financial condition, results of operations and prospects. The failure of any partner or manufacturer to produce products that conform to our standards could adversely affect our reputation in the marketplace and result in product recalls, product liability claims, government or third-party actions and economic loss. For example, a manufacturer’s failure to meet cGMPs, could result in the delivery of product that is subject to a product recall, product liability litigation, or government investigations. Additionally, actions we may take to mitigate the impact of any disruption or potential disruption in our supply of materials or finished inventory, including increasing inventory in anticipation of a potential supply or production interruption,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Class action litigation, other legal claims and regulatory enforcement actions could subject us to liability for damages, civil and criminal penalties and other monetary and non-monetary liability and could otherwise adversely affect our reputation, business, financial condition, results of operations and prospects.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operate in a highly regulated environment with constantly evolving legal and regulatory frameworks. Consequently, we are subject to a heightened risk of consumer class action litigation, other legal claims, government investigations or other regulatory enforcement actions. The product marketing and labeling practices of companies operating in our product categories and </w:t>
      </w:r>
      <w:r>
        <w:rPr>
          <w:rFonts w:ascii="Times New Roman;serif" w:hAnsi="Times New Roman;serif"/>
          <w:b w:val="false"/>
          <w:color w:val="000000"/>
          <w:sz w:val="20"/>
        </w:rPr>
        <w:t>Clean Conscious®</w:t>
      </w:r>
      <w:r>
        <w:rPr>
          <w:color w:val="231F20"/>
        </w:rPr>
        <w:t xml:space="preserve"> </w:t>
      </w:r>
      <w:r>
        <w:rPr>
          <w:rFonts w:ascii="Times New Roman;serif" w:hAnsi="Times New Roman;serif"/>
          <w:b w:val="false"/>
          <w:color w:val="231F20"/>
          <w:sz w:val="20"/>
        </w:rPr>
        <w:t>products segments of the marketplace receive close scrutiny from the private plaintiff’s class action bar and from public consumer protection agencies. Accordingly, there is risk that consumers will bring class action lawsuits and that the FTC and/or state attorneys general or other consumer protection law enforcement authorities will bring legal actions concerning the truth and accuracy of our product marketing and labeling claims. Examples of causes of action that may be asserted in a consumer class action lawsuit include fraud, false advertising, unfair and deceptive practices, negligent misrepresentation, unjust enrichment, breach of warranty and breach of state consumer protection statutes. We have been targeted with such litigation in the past. 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In 2022, a class action lawsuit was filed against us alleging that our plant-based claim on certain wipes products was deceptive to purchasers. While the case was ultimately resolved, the cost of defending the lawsuit was significant.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also been the subject of litigation claiming our labels contain inaccurate or misleading information. In response, we have updated the language on certain of our labels. Changes in our labels could reduce overall consumption of our products or leave consumers with the perception (whether or not valid) that our products do not meet their safety, efficacy or clean conscious needs, which could adversely affect our reputation, business, financial condition, results of operations and prospects. Although we have implemented policies and procedures designed to ensure compliance with existing laws and regulations, there can be no assurance that our employees, consultants, independent contractors, suppliers, manufacturers or retail or ecommerce partners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and liabilities that could adversely affect our product sales, reputation, financial condition and operating results. These liabilities could include obligations to reformulate products or remove them from the marketplace, as well as obligations to disgorge revenue and to accept burdensome injunctions that limit our freedom to market our products. In addition, the costs and other effects of defending potential and pending litigation and administrative actions against us may be difficult to determine and could adversely affect our reputation, business, brand image, financial condition,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Furthermore, 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as a result of civil or criminal penalties or otherwise, or if our business operations were interrupted for a substantial period of time, we could incur costs and suffer losses. Such liabilities, including inventory and business interruption losses, may not be covered by our insurance policies.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Additionally, in the future, insurance coverage may not be available to us at commercially acceptable premiums, or at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Litigation or legal proceedings could expose us to significant liabilities and have a negative impact on our reputation or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are, and may in the future become,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a description of our material pending legal proceedings, please see Note </w:t>
      </w:r>
      <w:r>
        <w:rPr>
          <w:rFonts w:ascii="Times New Roman;serif" w:hAnsi="Times New Roman;serif"/>
          <w:b w:val="false"/>
          <w:color w:val="000000"/>
          <w:sz w:val="20"/>
        </w:rPr>
        <w:t>10</w:t>
      </w:r>
      <w:r>
        <w:rPr>
          <w:rFonts w:ascii="Times New Roman;serif" w:hAnsi="Times New Roman;serif"/>
          <w:b w:val="false"/>
          <w:color w:val="231F20"/>
          <w:sz w:val="20"/>
        </w:rPr>
        <w:t xml:space="preserve">, </w:t>
      </w:r>
      <w:r>
        <w:rPr>
          <w:rFonts w:ascii="Times New Roman;serif" w:hAnsi="Times New Roman;serif"/>
          <w:b w:val="false"/>
          <w:i/>
          <w:color w:val="231F20"/>
          <w:sz w:val="20"/>
        </w:rPr>
        <w:t>Commitments and Contingencies</w:t>
      </w:r>
      <w:r>
        <w:rPr>
          <w:rFonts w:ascii="Times New Roman;serif" w:hAnsi="Times New Roman;serif"/>
          <w:b w:val="false"/>
          <w:color w:val="231F20"/>
          <w:sz w:val="20"/>
        </w:rPr>
        <w:t>, to the consolidated financial statements included elsewhere in this Annual Report on Form 10-K.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an adverse effect on our business, financial condition, results of operations and prospects. Any claims or litigation, even if fully indemnified or insured, could damage our reputation and make it more difficult to compete effectively or to obtain adequate insurance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Furthermore, while we maintain insurance for certain potential liabilities, such insurance does not cover all types and amounts of potential liabilities and is subject to various exclusions as well as caps on amounts recoverable. Even if we believe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claim is covered by insurance, insurers may dispute our entitlement to recovery for a variety of potential reasons, which may affect the timing and, if the insurers prevail, the amount of our recovery.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Scrutiny and evolving expectations from stakeholders with respect to our ESG practices, performance, commitments and disclosures may impact our reputation, increase our costs and impact our access to capital.</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may be subject to stakeholder scrutiny related to our Environmental, Social, Governance (</w:t>
      </w:r>
      <w:r>
        <w:rPr>
          <w:color w:val="231F20"/>
        </w:rPr>
        <w:t>“</w:t>
      </w:r>
      <w:r>
        <w:rPr>
          <w:rFonts w:ascii="Times New Roman;serif" w:hAnsi="Times New Roman;serif"/>
          <w:b w:val="false"/>
          <w:color w:val="231F20"/>
          <w:sz w:val="20"/>
        </w:rPr>
        <w:t>ESG”</w:t>
      </w:r>
      <w:r>
        <w:rPr>
          <w:rFonts w:ascii="Times New Roman;serif" w:hAnsi="Times New Roman;serif"/>
          <w:b w:val="false"/>
          <w:color w:val="000000"/>
          <w:sz w:val="20"/>
        </w:rPr>
        <w:t xml:space="preserve">) practices, commitments, performance and disclosures. We have certain policies and/or programs, including with respect to responsible ingredients and sustainability, safety and health, human capital management, social performance and community relations, human capital and/or supply chain code of conduct. Our stakeholders might be dissatisfied with these practices, commitments, performance and/or disclosures, or their adoption, implementation and success or lack thereof. Investor advocacy groups, certain institutional investors, investment funds, creditors and other investors have been focused, and may continue to focus on </w:t>
      </w:r>
      <w:r>
        <w:rPr>
          <w:rFonts w:ascii="Times New Roman;serif" w:hAnsi="Times New Roman;serif"/>
          <w:b w:val="false"/>
          <w:color w:val="231F20"/>
          <w:sz w:val="20"/>
        </w:rPr>
        <w:t>ESG practices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ESG disclosures may reflect goals, aspirations, commitments, cost estimates and other expectations and assumptions, including over long timeframes, which are based on available data and estimates, and may be refined or expanded over time, and may not be realized.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being associated with activities by suppliers, contractors or other affiliates that have or are perceived to have individual or cumulative impacts on the environment, climate, biodiversity and land management, or water access and management that do not meet our stakeholders' expectations could negatively affect our reputation and impose additional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and the third parties with whom we work are subject to stringent and changing domestic and foreign laws, regulations, and rules, contractual data privacy and security obligations, industry standards, policies and other obligations related to data privacy and security. Our (or the third parties with whom we work) actual or perceived failure to comply with obligations could lead to regulatory investigations or actions; litigation (including class claims) and mass arbitration demands; fines and penalties; have an adverse effect on our business, financial condition, results of operations and prospects; disruptions of our business operations; reputational harm; loss of revenue or profits; loss of customers or sales; and other adverse business consequences.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In the ordinary course of business we process, and our vendors process on our behalf, personal information and other sensitive information, including proprietary and confidential business information, trade secrets, intellectual property, sensitive third-party information for legal and marketing purposes, and for other business-related purposes.</w:t>
      </w:r>
      <w:r>
        <w:rPr>
          <w:color w:val="000000"/>
        </w:rPr>
        <w:t xml:space="preserve"> </w:t>
      </w:r>
      <w:r>
        <w:rPr>
          <w:rFonts w:ascii="Times New Roman;serif" w:hAnsi="Times New Roman;serif"/>
          <w:b w:val="false"/>
          <w:color w:val="231F20"/>
          <w:sz w:val="20"/>
        </w:rPr>
        <w:t>Our data processing activities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Data privacy and information security has become a significant issue in the United States, countries in Europe, and in many other countries in which we operate or where we offer our products and services. The legal and regulatory framework for privacy and security issues is rapidly evolving and is expected to increase our compliance costs and exposure to liability. There are numerous federal, state, local, and foreign laws, orders, codes, regulations and regulatory guidance regarding privacy, information security and processing consumer protection laws, and other similar laws (which we collectively refer to as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consumers for processing is obtained, could increase our costs and require us to modify our operations, possibly in a material manner, which we may be unable to complete and may limit our ability to store and process consumer information and operate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also subject to the terms of our external and internal privacy and security policies, codes, marketing materials, whitepapers, and other statements and representations, certifications, industry standards, publications and frameworks (which we collectively refer to as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(which we collectively refer to as Data Protection Obligations).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the United States, these include rules and regulations promulgated under the authority of the Federal Trade Commission, the Electronic Communications Privacy Act, the Computer Fraud and Abuse Act, the California Consumer Privacy Act, or CCPA, the Telephone Consumer Protection Act, or TCPA, the Controlling the Assault of Non-Solicited Pornography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Marketing Act, or CAN-SPAM, other state and federal laws relating to privacy or data security, and other similar laws (e.g., wiretapping laws). The TCPA and state-law equivalents impose various consumer consent requirements and other restrictions on certain telemarketing activity and other communications with consumers using technology such as telephones, mobile devices, and text messages. TCPA and state-law equivalent violations can result in significant financial penalties, as businesses can incur penalties or criminal fines imposed by the relevant regulatory authorities; for example, under the TCPA, the Federal Communications Commission. In addition, failure to comply with such laws could lead to private litigation or state attorneys general or other state actor enforcement. Class action suits are the most common method for private enforcement. Many states have enacted telemarketing laws and regulations that are even more proscriptive than the TCPA and that pose additional litigation and regulatory enforcement risks.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impacts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CCPA applies to personal information of consumers, business representatives, and employees who are California residents, and requires businesses to make specific disclosures in privacy notices and respond to requests of such individuals to exercise certain privacy rights, such as those noted below. The CCPA provides for administrative fines and allows private litigants affected by certain data breaches to recover significant statutory damages. Similar laws have been passed and continue to be considered in other states, as well as at the federal and local levels, and we expect similar laws to be passed in the future. If and as we become subject to new data privacy laws, the risk of enforcement action against us increases because we may become subject to additional obligations, and the number of individuals or entities that can initiate actions against us increases (including individuals, via a private right of action, and state actors) and these developments further complicate compliance efforts, and increase legal risk and compliance costs for us, and the third parties upon whom we rely. Additionally, under various Data Protection Laws and Data Protection Obligations, we may be required to obtain certain consents to process personal information. For example, some of our data processing practices may be challenged under wiretapping laws, as we, in certain instances, obtain consumer information from third parties through various methods, including chatbot providers, cookies, or via third-party marketing pixels. Certain of these practices may be subject to increased challenges by class action plaintiffs. Our inability or failure to do so could result in adverse consequences, including class action litigation and mass arbitration demands.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we are also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and those vendors may be subject to PCI DSS, and our business may be negatively affected if our vendors are fined or suffer other consequences as a result of PCI DSS noncompliance.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Outside the United States, an increasing number of laws, regulations, and industry standards apply to data privacy and security. For example, in Canada and Mexico, as applicable, the Personal Information Protection and Electronic Documents Act (“PIPEDA”) (and various related provincial laws), the Anti-Spam Legislation (“CASL”), and the Federal Law on Protection of Personal Data Held by Private Parties, are relevant to our operations and the European Union’s General Data Protection Regulation, or GDPR, and the United Kingdom’s GDPR, or UK GDPR, imposes strict requirements for processing the personal data of individuals.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Also, following the expiry of the post-Brexit transitional arrangements, the United Kingdom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means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Although there are currently various mechanisms that may be used to transfer personal data from the EEA and UK to the United States in compliance with law, such as the EEA standard contractual clauses (SCCs),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Additional regulatory guidance has been released that seeks to impose additional obligations on companies seeking to rely on SCCs,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As such, any transfers by us or our vendors of personal information from Europe may not comply with European data protection law; may increase our exposure to the GDPR’s heightened sanctions for violations of its cross-border data transfer restrictions; may increase exposure to regulatory actions, substantial fines, and injunctions against processing or transferring personal data from Europe or elsewhere; and may reduce demand for our products from companies subject to European data protection laws.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The inability to import personal data to the United States or other jurisdictions could significantly and negatively impact our business operations, limiting our ability to collaborate with parties that are subject to European and other data privacy and security laws; or requiring us to increase our personal data processing capabilities and infrastructure in Europe and/or elsewhere at significant expense. Additionally, other countries outside of Europe have enacted or are considering enacting similar cross-border data transfer restrictions and laws requiring local data residency, which could increase the cost and complexity of delivering our products and operating our business. For example, regulators in the United States such as the Department of Justice have enacted certain data transfer prohibitions and restrictions.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Additionally, individuals are increasingly resistant to the collection, use, and sharing of personal data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For example, Apple implemented App Tracking Transparency, which requires user opt-in consent for cross-app and cross-site tracking on its devices and has limited, and may continue to limit, our ability to collect and use certain data for advertising, measurement, and attribution purposes. Google has similarly expanded privacy controls on its Android devices and related services that allow users to limit data sharing for targeted advertising and cross-app tracking. Other browsers, such as Firefox and Safari, have already adopted similar measures.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are also bound by contractual data privacy and security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whitepapers, and other statements, such as statements related to compliance with certain certifications or self-regulatory principles, regarding data privacy and security. </w:t>
      </w:r>
      <w:r>
        <w:rPr>
          <w:rFonts w:ascii="Times New Roman;serif" w:hAnsi="Times New Roman;serif"/>
          <w:b w:val="false"/>
          <w:color w:val="000000"/>
          <w:sz w:val="20"/>
        </w:rPr>
        <w:t>Regulators in the United States are increasingly scrutinizing these statements, and i</w:t>
      </w:r>
      <w:r>
        <w:rPr>
          <w:rFonts w:ascii="Times New Roman;serif" w:hAnsi="Times New Roman;serif"/>
          <w:b w:val="false"/>
          <w:color w:val="231F20"/>
          <w:sz w:val="20"/>
        </w:rPr>
        <w:t>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obligations related to data privacy and security (and consumers’ data privacy expectations) are quickly changing, becoming increasingly stringent and creating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Our business model materially depends on our ability to process personal data, so we are particularly exposed to the risks associated with the rapidly changing legal landscape. For example, we may be at heightened risk of regulatory scrutiny, and any changes in the regulatory framework could require us to fundamentally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data privacy and security obligations could result in adverse effects, including inability to operate our business and proceedings against us by governmental entities or others.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If we or the third parties with whom we work fail, or are perceived to have failed, to address or comply with data privacy and security obligations, we could face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revision or restructuring of our business model or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231F20"/>
          <w:sz w:val="20"/>
        </w:rPr>
      </w:pPr>
      <w:r>
        <w:rPr>
          <w:rFonts w:ascii="Times New Roman;serif" w:hAnsi="Times New Roman;serif"/>
          <w:b/>
          <w:i/>
          <w:color w:val="231F20"/>
          <w:sz w:val="20"/>
        </w:rPr>
        <w:t>Government regulation of the Internet and ecommerce is evolving, and unfavorable changes or failure by us to comply with these regulations could have an adverse effect on our business, financial condition, results of operations and prospects.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consumer protection, sales practices and Internet neutrality. It is not clear how some existing laws governing issues such as property ownership, sales and other taxes and consumer privacy apply to the Internet as many of these laws were adopted prior to the advent of the Internet and do not contemplate or address the unique issues raised by the Internet or ecommerce. Our website is also subject to a complex and evolving body of domestic and international consumer protection laws and regulations that govern data privacy, cookies, website tools, compliance and content and that vary from jurisdiction to jurisdiction. It is possible that general business regulations and laws and laws specifically governing the Internet, websites or ecommerce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applications by customers and suppliers and may result in the imposition of monetary liabilities and burdensome injunctions. We may also be contractually liable to indemnify and hold harmless third parties from the costs or consequences of non-compliance with any such laws or regulations. As a result, adverse developments with respect to these laws and regulations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rely on a variety of marketing techniques and practices, including email and social media marketing, online targeted advertising, cookie-based processing, and postal mail to sell our products and services and to attract new consumers,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Developments in labor and employment law and any unionizing efforts by employees could have an adverse effect on our business, financial condition, results of operations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face the risk that Congress, federal agencies or one or more states could approve legislation or regulations significantly affecting our businesses and our relationship with our employees and other individuals providing valuable services to us, such as our influencers. For example, the previously proposed federal legislation referred to as the Employee Free Choice Act would have substantially liberalized the procedures for union organization. None of our employees are currently covered by a collective bargaining agreement, but any attempt by our employees to organize a labor union could result in increased legal and other associated costs. Additionally, given the National Labor Relations Board’s “speedy election” rule, our ability to timely and effectively address any unionizing efforts would be difficult. If we enter into a collective bargaining agreement with our employees, the terms could have an adverse effect on our costs, efficiency and ability to generate acceptable returns on the affected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Federal and state wage and hour rules establish minimum salary requirements for employees to be exempt from overtime payments. For example, among other requirements, California law requires employers to pay employees who are classified as exempt from overtime a minimum salary of at least twice the minimum wage, which is $70,304 per year as of January 1, 2026 for executive, administrative and professional employees with employers that have 26 or more employees. Minimum salary requirements impact the way we classify certain employees, increases our payment of overtime wages and provision of meal or rest breaks, and increases the overall salaries we are required to pay to currently exempt employees to maintain their exempt status. As such, these requirements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Risks Related to Our Intellectual Property and Information Technology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are increasingly dependent on information technology and our ability to process data in order to operate and sell our products, and if we (or our information technology systems or those third parties with whom we work or our data, are or were compromised),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information technology networks and systems and data processing (some of which are managed by third-parties) to market, sell and deliver our products and services, to fulfill orders, to collect, receive, store, process, generate, use, transfer, disclose, make accessible, protect, secure, dispose of and share personal information, sensitive, confidential or proprietary information, financial information and other information (which we collectively refer to as sensitive information), to manage a variety of business processes and activities, for financial reporting purposes, to operate our business, process orders and to comply with regulatory, legal and tax requirements (which we collectively refer to as Business Functions).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fundamentally change our business model. The risk of unauthorized circumvention of our security measures or those of our third parties has been heightened by advances in computer and software capabilities and the increasing sophistication of hackers, threat actors, personnel (such as through theft or misuse), sophisticated nation-states, and nation-state-supported actors who now engage and are expected to engage in cyber-attacks.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 We and the third parties with whom we work may be subject to a variety of evolving threats, including without limitation, the theft or misuse of personal and financial information, counterfeiting, “phishing” or social engineering attacks, ransomware, extortion, publicly announcing security breaches, account takeover attacks, denial or degradation of service attacks (such as credential stuffing), malicious code (such as viruses and worms), supply-chain attacks, software bugs, server malfunctions, software or hardware failures, loss of data or other information technology assets, adware, telecommunications failures, malware (including as a result of advanced persistent threat intrusion), fraudulent payment and identity theft, earthquakes, fires, floods, and other similar threats. Because the techniques used by hackers change frequently, we may be unable to anticipate these techniques or implement adequate preventive measures. Our applications, systems, networks, software and physical facilities could have material vulnerabilities, be breached or personal or confidential information could be otherwise compromised due to employee error or malfeasance. Third parties may also exploit vulnerabilities in, or obtain unauthorized access to, platforms, software, applications, systems, networks, sensitive information, and/or physical facilities utilized by our vendors. Improper access to our systems or databases could result in the theft, publication, deletion or modification of personal information, confidential or proprietary information, financial information and other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Ransomware attacks, including those perpetrated by organized criminal threat actors, nation-states, and nation-state-supported actors, are becoming increasingly prevalent and severe and can lead to significant interruptions in our operations, loss of information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 parties’ supply chains have not been compromised or that they do not contain exploitable defects or bugs that could result in a breach of or disruption to our information technology systems (including our products and services) or the third-party information technology systems that support us and our services.</w:t>
      </w:r>
      <w:r>
        <w:rPr>
          <w:color w:val="231F20"/>
        </w:rPr>
        <w:t xml:space="preserve"> </w:t>
      </w:r>
      <w:r>
        <w:rPr>
          <w:rFonts w:ascii="Times New Roman;serif" w:hAnsi="Times New Roman;serif"/>
          <w:b w:val="false"/>
          <w:color w:val="231F20"/>
          <w:sz w:val="20"/>
        </w:rPr>
        <w:t>Threat actors may also gain access to other networks and systems after a compromise of our or third parties’ networks and systems. For example, threat actors may use an initial compromise of one part of a relevant information system environment to gain access to other parts of the relevant environments, or leverage a compromise of our networks or systems to gain access to the networks or systems of third parties with whom we work, such as through phishing or supply chain attacks.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As outlined above, we work with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We also work with third-party service providers to provide other products, services, parts, or otherwise to operate our business. Our ability to monitor these third parties’ cybersecurity practices is limited outside of standard system and organizational control reports review procedures, and these third parties may not have adequate information security measures in place.</w:t>
      </w:r>
      <w:r>
        <w:rPr>
          <w:color w:val="231F20"/>
        </w:rPr>
        <w:t xml:space="preserve"> </w:t>
      </w:r>
      <w:r>
        <w:rPr>
          <w:rFonts w:ascii="Times New Roman;serif" w:hAnsi="Times New Roman;serif"/>
          <w:b w:val="false"/>
          <w:color w:val="231F20"/>
          <w:sz w:val="20"/>
        </w:rPr>
        <w:t>If our third-party service providers experience a security incident or other interruption, we could experience adverse consequences. And,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Remote work increases risks to our information technology systems and data, as more of our personnel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While we have implemented security measures designed to protect against security incidents, there can be no assurance that these measures will be effective. We may also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data. Despite our efforts to ensure, as applicable, the security, privacy, integrity, confidentiality, availability, and authenticity of our information technology networks and systems, as well as the processing of information, there can be no assurance that these measures will be effective. The recovery systems, security protocols, network protection mechanisms and other security measures that we have integrated into our systems, networks and physical facilities, which are designed to protect against, detect and minimize security breaches, may not be adequate to prevent or detect service interruption, system failure data loss or theft, or other material adverse events. No security solution, strategy, or measures can address all possible security threats or block all methods of penetrating a network or otherwise perpetrating a security breach because such threats and techniques change frequently, are often sophisticated in nature, and may not be detected until after a security breach has occurred. We also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Any of the previously identified or similar threats could cause a security breach or other interruption. Any material disruption of our networks, systems or data processing activities, or those of our third parties, could disrupt our ability to provide our products and services and cause a material adverse impact to, our Business Functions and our business, reputation and financial condition. If we (or a third party with whom we work) experience a security incident or are perceived to have experienced a security incident, or otherwise suffers damage, security breaches, vulnerabilities, disruption or shutdown, and we do not effectively resolve the issues in a timely manner, we may experience material adverse consequences, to our Business Functions and our business, </w:t>
      </w:r>
      <w:r>
        <w:rPr>
          <w:rFonts w:ascii="Times New Roman;serif" w:hAnsi="Times New Roman;serif"/>
          <w:b w:val="false"/>
          <w:color w:val="000000"/>
          <w:sz w:val="20"/>
        </w:rPr>
        <w:t>such as</w:t>
      </w:r>
      <w:r>
        <w:rPr>
          <w:color w:val="231F20"/>
        </w:rPr>
        <w:t xml:space="preserve"> </w:t>
      </w:r>
      <w:r>
        <w:rPr>
          <w:rFonts w:ascii="Times New Roman;serif" w:hAnsi="Times New Roman;serif"/>
          <w:b w:val="false"/>
          <w:color w:val="000000"/>
          <w:sz w:val="20"/>
        </w:rPr>
        <w:t xml:space="preserve">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material consequences may cause customers to stop using our products, deter new customers from using our products, and negatively impact our ability to grow and operate our business. </w:t>
      </w:r>
      <w:r>
        <w:rPr>
          <w:rFonts w:ascii="Times New Roman;serif" w:hAnsi="Times New Roman;serif"/>
          <w:b w:val="false"/>
          <w:color w:val="231F20"/>
          <w:sz w:val="20"/>
        </w:rPr>
        <w:t xml:space="preserve">For example, a security breach or other interruption could result in unauthorized, unlawful, or accidental acquisition, modification, destruction, loss, alteration, encryption, disclosure of, or access to information. Our ecommerce operations are critical to our business and our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performance. Our website serves as an effective extension of our marketing strategies by exposing potential new consumers to our brand, product offerings and enhanced content. Due to the importance of our website, any material disruption of our networks, systems or data processing activities related to our websites could damage our brand’s reputation and materially adversely impact our business. 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not always been able in the past and may be unable in the future to detect, anticipate, measure or prevent threats or techniques used to detect or exploit vulnerabilities in our (or our third parties’) information technology, services, processing, communications systems, or software. In addition, security researchers and other individuals have in the past and will continue in the future to actively search for and exploit actual and potential vulnerabilities in our (or our third parties’) information technology, services, communications or software. We expect similar issues to arise in the future as our products and services are more widely adopted, and as we continue to expand the features and functionality of existing products and services and introduce new products and services. Despite our efforts to identify and remediate vulnerabilities, if any, in our information technology systems (including our products), our efforts may not be successful. 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legal obligations (including, in certain instances, contractual) to notify relevant stakeholders of any security breaches. Most jurisdictions have enacted laws requiring companies to notify relevant stakeholders, including affected individuals, customers, regulatory authorities, investors, and others of security breaches involving certain types of data. In addition, our agreements with certain consumers and partners may require us to notify them in the event of a security breach. Such mandatory disclosures are costly, and the disclosures or the failure to comply with such requirements could lead to adverse consequences. Further, the SEC has adopted rules that require us to provide greater disclosures around our cybersecurity risk management, strategy, and governance and reactive issues (e.g., security incidents). Complying with these obligations, including making any such disclosures, can be costly, and the disclosures we make to comply with, or the failure to comply with, such requirements could lead to adverse consequences. If we (or our third parties) experience a security breach or are perceived to have experienced a security breach,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interruptions in our operations (including availability of information); financial loss; and other similar harms. Security breaches and attendant consequences may cause customers to stop using our products or services, deter new customers from using our products or services, and negatively impact our ability to grow and operate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contracts may not contain limitations of liability, and even where they do, there can be no assurance that any limitations of liability in our contracts would be enforceable or adequate or would otherwise protect us from liabilities, damages, or claims related to our data privacy and security obligations. We cannot be sure that our insurance coverage will be adequate to protect us from or to mitigate liabilities arising out of our privacy and security practices. In addition, we cannot be sure that such coverage will continue to be available on commercially reasonable and acceptable terms or at all, or that such coverage will pay any future claims or loss.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may be unable to adequately obtain, maintain, protect and enforce our intellectual property rights.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regard our brand, consumer lists, trademarks, trade dress, domain names, trade secrets, proprietary technology and similar intellectual property as critical to our success. We rely on trademark, copyright and patent law, trade secret protection, and confidentiality agreements with our employees and others to protect our proprietary rights.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Effective intellectual property protection may not be available in every country in which our products are, or may be made, available.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misappropriating or otherwise violating our proprietary rights, and we may be unable to broadly enforce all of our intellectual property rights. Any of our intellectual property rights may be challenged by others or invalidated through administrative process or litigation.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pending and future patent and trademark applications may never be granted. Additionally, the process of obtaining patent and trademark protection is expensive and time-consuming, and we may be unable to prosecute all necessary or desirable patent and trademark applications at a reasonable cost or in a timely manner. There can be no assurance that our issued patents and registered trademarks or pending applications, if issued or registered, will adequately protect our intellectual property, as the legal standards relating to the validity, enforceability and scope of protection of patent, trademark and other intellectual property rights are constantly evolving and vary by jurisdiction. We also cannot be certain that others will not independently develop or otherwise acquire equivalent or superior technology or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further rely on confidentiality agreements to protect our intellectual property rights. 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The effectiveness of these agreements are important as some of our formulations have been developed by or with our suppliers and manufacturers. However, we may fail to enter into confidentiality agreements with all parties who have access to our trade secrets or other confidential information. In addition,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Even if we are successful in prosecuting such claims, any remedy awarded may be insufficient to fully compensate us for the improper disclosure or misappropriation. In addition, 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might be required to spend significant resources to monitor and protect our intellectual property rights. For example, we may initiate claims or litigation against others for infringement, misappropriation or violation of our intellectual property rights or other proprietary rights or to establish the validity of such rights.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litigation, whether or not it is resolved in our favor, could result in significant expense to us and divert the efforts of our technical and management personnel,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The loss of any registered trademark or other intellectual property could enable other companies to compete more effectively with 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consider our trademarks to be valuable assets that reinforce our brand and consumers’ perception of our products. We have invested a significant amount of time and money in establishing and promoting our brands. Our continued success depends, to a significant degree, upon our ability to protect and preserve our registered trademarks and to successfully obtain additional trademark registrations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may not be able to obtain trademark protection in all territories that we consider to be important to our business. In addition, we cannot assure you that the steps we have taken to protect our trademarks are adequate, that our trademarks can be successfully defended and asserted in the future or that third parties will not infringe upon any such rights. Our trademark rights and related registrations may be challenged, opposed, infringed, cancelled, circumvented or declared generic, or determined to be infringing on other marks, as applicable. Failure to protect our trademark rights could prevent us in the future from challenging third parties who use names and logos similar to our trademarks, which may in turn cause consumer confusion or negatively affect consumers’ perception of our brand and products. Moreover, any trademark disputes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we fail to comply with our obligations under our existing license agreements or cannot license rights to use technologies on reasonable terms or at all, we may be unable to license rights that are critical to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license or have the right to use certain intellectual property which is critical to our business, including in connection with the Mutual Separation Agreement with Jessica Alba. If we fail to comply with any of the obligations under our license agreements or the Mutual Separation Agreement with Jessica Alba, including not selling licensed products after the agreed timeframe, we may be required to pay damages, dispose of licensed products, increase our reserves for licensed products that cannot be sold, and the licensor may have the right to terminate the license, which could adversely impact our business, financial condition and result of operations. Termination by the licensor would cause us to lose valuable rights, and could inhibit our ability to commercialize our products. If any contract interpretation disagreement were to arise, the resolution could narrow what we 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royalties or other fees. If we are unable to enter into the necessary licenses on acceptable terms or at all, it could have an adverse effect on our business, financial condition, results of operations and prospects.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may be subject to claims or other allegations that we infringe, misappropriate or otherwise violate the intellectual property rights of third parties, which could result in substantial damages and diversion of management’s efforts and attention.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Third parties have from time to time claimed, and may claim in the future, that we have infringed, misappropriated or otherwise violated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result in the payment of substantial damages or injunctions against us, or require us to enter into costly royalty or licensing agreements, if available. As a result of a third-party claim, we have agreed to certain restrictions regarding the goods and services that may be offered under our trademarks.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Any payments we are required to make and any injunctions we are required to comply with as a result of these claims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reliance on software-as-a-service, or SaaS, technologies from third parties may adversely affect our business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rely on SaaS technologies from third parties, including Salesforce, in order to operate critical functions of our business, including financial management services, customer relationship management services, supply chain services and data storage services. If these services become unavailable due to extended outages or interruptions or because they are no longer available on commercially reasonable terms or prices, or for any other reason, our expenses could increase, our ability to manage our finances could be interrupted, our processes for managing sales of our offerings and supporting our consumers could be impaired, our ability to communicate with our suppliers could be weakened and our ability to access or save data stored to the cloud may be impaired until equivalent services, if available, are identified, obtained and implemented, all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must successfully maintain, scale and upgrade our information technology systems, and our failure to do so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could have an adverse effect on our business, financial condition, results of operations and prospects.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Risks Related to Conducting Business Internationally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231F20"/>
          <w:sz w:val="20"/>
        </w:rPr>
        <w:t xml:space="preserve">International trade disputes and the U.S. government’s trade policy, including </w:t>
      </w:r>
      <w:r>
        <w:rPr>
          <w:rFonts w:ascii="Times New Roman;serif" w:hAnsi="Times New Roman;serif"/>
          <w:b/>
          <w:i/>
          <w:color w:val="000000"/>
          <w:sz w:val="20"/>
        </w:rPr>
        <w:t>recently enacted tariffs and potential new tariffs,</w:t>
      </w:r>
      <w:r>
        <w:rPr>
          <w:color w:val="231F20"/>
        </w:rPr>
        <w:t xml:space="preserve"> </w:t>
      </w:r>
      <w:r>
        <w:rPr>
          <w:rFonts w:ascii="Times New Roman;serif" w:hAnsi="Times New Roman;serif"/>
          <w:b/>
          <w:i/>
          <w:color w:val="231F20"/>
          <w:sz w:val="20"/>
        </w:rPr>
        <w:t>have in the past and may in the future adversely affect our business, financial condition,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International trade disputes or changes in government priorities could result in tariffs and other protectionist measures that adversely affect our business. Tariffs have increased the cost of our products and the components and raw materials that go into making them, and we could face similar cost increases in the future. These increased costs impacted the gross margin that we earn on the sale of our products. Countries may also adopt other protectionist measures that could limit our ability to offer our products. The imposition of tariffs and other restrictive trade policies and resulting legal challenges have created a dynamic and unpredictable trade landscape, which have adversely impacted our business and could adversely impact our business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U.S. government has adopted, and indicated its intent to continue to adopt, a new approach to trade policy, and in some cases to renegotiate, or potentially terminate, certain existing bilateral or multi-lateral trade agreements. It has also initiated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20"/>
        </w:rPr>
        <w:t>tariffs on certain foreign goods and has raised the possibility of imposing significant, additional tariff increases or expanding the tariffs to capture other types of goods. The tariffs initiated as of December 31, 2025 have had a material impact on our operating results, and to the extent that significant additional tariffs are imposed, including the new tariffs being imposed under the current presidential administration, they could have a further material impact on our operating results. Certain products, such as our baby wipes, are imported from China, our diapers are imported from Mexico and certain other components of our products are sourced from other countries and could be subject to the tariffs. Any</w:t>
      </w:r>
      <w:r>
        <w:rPr>
          <w:color w:val="000000"/>
        </w:rPr>
        <w:t xml:space="preserve"> </w:t>
      </w:r>
      <w:r>
        <w:rPr>
          <w:rFonts w:ascii="Times New Roman;serif" w:hAnsi="Times New Roman;serif"/>
          <w:b w:val="false"/>
          <w:color w:val="000000"/>
          <w:sz w:val="20"/>
        </w:rPr>
        <w:t xml:space="preserve">price increases on these products to mitigate these costs may not be absorbed by consumers or may lead to decreased demand. Moreover, any such tariffs could require a shift in manufacturing location, which could have an adverse effect on results of operations and could introduce uncertainty, including on product quality, with a new manufacturer.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on expected timelines or if any price increases are poorly received by our consumers. Any attempt to mitigate the adverse effects of these tariffs may not be successful.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current U.S. presidential administration has criticized existing trade agreements, and while it remains unclear what actions the current administration may continue to take with respect to existing and proposed trade agreements, or restrictions on trade generally, more stringent export and import controls may be ultimately imposed in the future. The adoption and expansion of trade restrictions, the occurrence of a trade war, or other governmental action related to tariffs or trade agreements or policies may exacerbate unfavorable macroeconomic conditions including inflationary pressures, foreign exchange volatility, geopolitical uncertainty, financial market instability, and economic recessions or downturns, which may also adversely impact demand for our products, our costs, our consumers, our suppliers, and limit our access to capital, which in turn could have an adverse effect on our business, financial condition, results of operations and prospects. Ongoing tariff, trade restrictions and macroeconomic and geopolitical uncertainty also may contribute to volatility in the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this “Risk Factors” section.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derive a significant portion of our products from third-party manufacturing and supply partners in foreign countries and territories, including countries and territories perceived to carry an increased risk of corrupt business practices. The U.S. Foreign Corrupt Practices Act, or the FCPA, prohibits U.S. corporations and their employees and representatives from, directly or indirectly, offering, promising, making, giving, or authorizing others to give anything of value to any foreign government official, political party or official thereof, or political candidate to influence official action or otherwise in an attempt to obtain or retain business. In addition, the FCPA also requires that we make and keep accurate books and records that accurately and fairly reflect the transactions of the corporation and to devise and maintain an adequate system of internal accounting controls and compliance procedures designed to prevent violations of anti-corruption laws. We may be held liable for the corrupt or other illegal activities of our employees and representatives, even if we do not explicitly authorize such activities. We cannot assure you that all of our employees and representatives will not take actions in violation of anti-corruption laws for which we may be ultimately held responsible.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sales and adversely affect our revenue. Compliance with applicable regulatory requirements regarding the export of our products may create delays in the introduction of our products into certain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If we or our employees or representatives are determined to have violated the FCPA, U.S. export control laws and economic sanctions, or any of the anti-corruption, anti-bribery, export control, and sanctions laws in the countries and territories where we and our representatives do business, we could suffer severe fines and penalties, profit disgorgement, injunctions on future conduct, securities litigation, bans on transacting certain business, and other consequences that may have an adverse effect on our business, financial condition, results of operations and prospects. In addition, the costs we may incur in defending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any investigations stemming from our or our employees’ or representatives’ improper actions could be significant. Moreover, any actual or alleged corruption or sanctions concerns in our supply chain could carry significant reputational harm, including negative publicity, loss of goodwill, and decline in share price.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Fluctuations in currency exchange rates may negatively affect our financial condition and results of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Exchange rate fluctuations may affect the costs that we incur in our operations. The main currencies to which we are exposed are the Canadian Dollar, the Euro and the British Pound.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are subject to international business uncertainties.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burdens of complying with a wide variety of laws and regulations, including more stringent regulations relating to data privacy and security, particularly in the European Union;</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adverse tax effects and foreign exchange controls making it difficult to repatriate earnings and cash;</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political and economic instability;</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terrorist activities and natural disasters;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trade restrictions;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differing employment practices and laws and labor disruptions;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the imposition of government controls;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an inability to use or to obtain adequate intellectual property protection for our brand and key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difficulties in enforcing contracts and legal decisions;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tariffs and customs duties and the classifications of our goods by applicable governmental bodies;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 legal system subject to undue influence or corruption;</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 business culture in which illegal sales practices may be prevalent;</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logistics and sourcing; and</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military conflicts.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occurrence of any of these risks could have an adverse effect on our international business and consequently our overall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consumption, the suppliers we do source oil from could pass on price increases to us, as a result of the overall increase in oil prices.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Risks Related to Ownership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 xml:space="preserve">Our stock price has been volatile, and the value of our common stock has declined.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market price of our common stock has been highly volatile and has fluctuated and declined substantially since our initial public offering (“IPO”) and may continue to fluctuate or decline as a result of a variety of factors, some of which are beyond our control,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actual or anticipated fluctuations in our financial condition or results of operations;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variance in our financial performance from expectations of securities analysts;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changes in our projected operating and financial results;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announcements by us or our competitors of significant business developments, acquisitions or new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announcements or concerns regarding real or perceived quality or health issues with our products or similar products of our competitors;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adoption of new regulations applicable to our products and industry or the expectations concerning future regulatory developments;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our involvement in litigation;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future sales of our common stock by us or our stockholders;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changes in senior management or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 xml:space="preserve">the trading volume of our common stock;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231F20"/>
          <w:sz w:val="20"/>
        </w:rPr>
        <w:t>changes in strategy and restructuring activities; and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231F20"/>
          <w:sz w:val="20"/>
        </w:rPr>
        <w:t>changes in the anticipated future size and growth rate of our market.</w:t>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Broad market and industry fluctuations, as well as general economic, political, regulatory and market conditions, may also negatively impact the market price of our common stock, particularly in light of </w:t>
      </w:r>
      <w:r>
        <w:rPr>
          <w:rFonts w:ascii="Times New Roman;serif" w:hAnsi="Times New Roman;serif"/>
          <w:b w:val="false"/>
          <w:color w:val="000000"/>
          <w:sz w:val="20"/>
        </w:rPr>
        <w:t xml:space="preserve">the challenging macroeconomic environment </w:t>
      </w:r>
      <w:r>
        <w:rPr>
          <w:rFonts w:ascii="Times New Roman;serif" w:hAnsi="Times New Roman;serif"/>
          <w:b w:val="false"/>
          <w:color w:val="231F20"/>
          <w:sz w:val="20"/>
        </w:rPr>
        <w:t>and the related impacts.</w: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i/>
          <w:color w:val="231F20"/>
          <w:sz w:val="20"/>
        </w:rPr>
      </w:pPr>
      <w:r>
        <w:rPr>
          <w:rFonts w:ascii="Times New Roman;serif" w:hAnsi="Times New Roman;serif"/>
          <w:b/>
          <w:i/>
          <w:color w:val="231F20"/>
          <w:sz w:val="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require that any action to be taken by our stockholders be effected at a duly called annual or special meeting and not by written consent;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specify that special meetings of our stockholders can be called only by our board of directors, the chairperson of our board of directors, or our chief executive officer;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establish that our board of directors is divided into three classes, with each class serving three-year staggered terms;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prohibit cumulative voting in the election of directors;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 xml:space="preserve">provide that our directors may be removed for cause only upon the vote of at least 66 </w:t>
      </w:r>
      <w:r>
        <w:rPr>
          <w:rFonts w:ascii="Times New Roman;serif" w:hAnsi="Times New Roman;serif"/>
          <w:b w:val="false"/>
          <w:color w:val="231F20"/>
          <w:sz w:val="13"/>
        </w:rPr>
        <w:t>2/3</w:t>
      </w:r>
      <w:r>
        <w:rPr>
          <w:rFonts w:ascii="Times New Roman;serif" w:hAnsi="Times New Roman;serif"/>
          <w:b w:val="false"/>
          <w:color w:val="231F20"/>
          <w:sz w:val="20"/>
        </w:rPr>
        <w:t>% of our outstanding shares of voting stock;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provide that vacancies on our board of directors may be filled only by a majority of directors then in office, even though less than a quorum;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 xml:space="preserve">require the approval of our board of directors or the holders of at least 66 </w:t>
      </w:r>
      <w:r>
        <w:rPr>
          <w:rFonts w:ascii="Times New Roman;serif" w:hAnsi="Times New Roman;serif"/>
          <w:b w:val="false"/>
          <w:color w:val="231F20"/>
          <w:sz w:val="13"/>
        </w:rPr>
        <w:t>2/3</w:t>
      </w:r>
      <w:r>
        <w:rPr>
          <w:rFonts w:ascii="Times New Roman;serif" w:hAnsi="Times New Roman;serif"/>
          <w:b w:val="false"/>
          <w:color w:val="231F20"/>
          <w:sz w:val="20"/>
        </w:rPr>
        <w:t>% of our outstanding shares of voting stock to amend our bylaws and certain provisions of our certificate of incorporation.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any derivative action or proceeding brought on our behalf;</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any action asserting a claim of breach of fiduciary duty;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any action asserting a claim against us arising under the Delaware General Corporation Law, or DGCL, our amended and restated certificate of incorporation or our amended and restated bylaws;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any action asserting a claim against us that is governed by the internal-affairs doctrine or otherwise related to our internal affairs.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litigating Securities Act claims in state court, or both state and federal court, of which could seriously harm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do not intend to pay dividends for the foreseeable future and, as a result, your ability to achieve a return on your investment will depend on appreciation in the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 In addition, the 2023 Credit Facility contains restrictions on our ability to pay dividends.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An active public trading market may not be sustained.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An active public trading market for our common stock may not be sustained. The market value of our common stock has decreased substantially from the initial public offering price. As a result of these and other factors, you may be unable to resell your shares of our common stock at or above the price you paid.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Future sales of our common stock in the public market could cause the market price of our common stock to decline.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common stock.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Our issuance of additional capital stock in connection with financings, acquisitions, investments, our equity incentive plans or otherwise will dilute all other stockholders.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expect to issue additional capital stock in the future that will result in dilution to all other stockholders. We grant equity awards to employees, directors and consultants under our equity incentive plans. The market value of our common stock has decreased substantially since it began trading in May 2021, and because the number of shares subject to such awards is typically based on dollar values, the number of shares increases as our stock price decreases. We may also raise capital through equity financings in the future. As part of our business strategy, we may acquire or make investments in companies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If securities or industry analysts do not publish research or publish unfavorable or inaccurate research about our business, the market price and trading volume of our common stock could decline.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could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are an “emerging growth company,” and we cannot be certain if the reduced reporting and disclosure requirements applicable to emerging growth companies will make our common stock less attractive to investors.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not being required to comply with the auditor attestation requirements of Section 404 of the Sarbanes-Oxley Act of 2002, or the Sarbanes-Oxley Act;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reduced disclosure obligations regarding executive compensation in our periodic reports and proxy statements;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exemptions from the requirements of holding nonbinding advisory stockholder votes on executive compensation and stockholder approval of any golden parachute payments not previously approved.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 longer qualify as an emerging growth company as of December 31, 2026, or earlier if certain conditions exist.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face increased costs as a result of operating as a public company, and our management is required to devote substantial time to compliance with our public company responsibilities and corporate governance practices.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As a public company, we incur significant finance, legal, accounting and other expenses, including director and officer liability insurance, that we did not incur as a private company, which we expect to further increase after we are no longer an “emerging growth company.” The Sarbanes-Oxley Act, the Dodd-Frank Wall Street Reform and Consumer Protection Act, the listing requirements of The Nasdaq Stock Market LLC, and other applicable securities rules and regulations impose various requirements on public companies. Our management and other personnel devote a substantial amount of time to compliance with these requirements and we may not be able to close our books on time, meet filing deadlines, or meet other public company requirements.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Moreover, these rules and regulations have increased our legal and financial compliance costs and made some activities more time-consuming and costly. We cannot predict or estimate the amount of additional costs we will incur as a public company or the specific timing of such costs.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Pursuant to Section 404 of the Sarbanes-Oxley Act, or Section 404, we are required to furnish a report by management on, among other things, the effectiveness of our internal control over financial reporting. This assessment must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annual report on Form 10-K for the fiscal year ending December 31, 2026 and fiscal years thereafter.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unable to assert in any such annual report that our internal control over financial reporting is effective, investors may lose confidence in the accuracy and completeness of our financial reports, we may face restricted access to the capital markets or other sources of funds and our stock price may be adversely affected. To comply with Section 404, we have engaged in and will continue to engage in a costly and challenging process of compiling the system and processing documentation necessary to perform the evaluation needed to comply with Section 404. Our compliance with Section 404 requires that we incur substantial expenses and expend significant management efforts. We currently do not have an internal audit group, and we have hired and may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assure you that there will not be material weaknesses in our internal control over financial reporting in the future. Failure to maintain internal control over financial reporting, including historical or future control deficiencies,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cannot guarantee that our share repurchase program will be fully consummated or that it will enhance long-term stockholder value. Share repurchases could also increase the volatility of the trading price of our stock and will reduce our cash reserves.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On February 20, 2026, our Board of Directors approved the Company’s first share repurchase program for up to $25.0 million of our outstanding common stock. </w:t>
      </w:r>
      <w:r>
        <w:rPr>
          <w:rFonts w:ascii="Times New Roman;serif" w:hAnsi="Times New Roman;serif"/>
          <w:b w:val="false"/>
          <w:color w:val="000000"/>
          <w:sz w:val="20"/>
        </w:rPr>
        <w:t>Although our Board of Directors authorized this repurchase program, the program does not obligate us to repurchase any specific dollar amount or to acquire any specific number of shares. The actual timing and amount of repurchases remain subject to a variety of factors, including liquidity, cash flow and market conditions, all of which may be negatively impacted by the current uncertain macroeconomic and geopolitical conditions. In addition, the terms of our 2023 Credit Agreement impose limitations on our ability to repurchase shares during the term of our credit facility.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will reduce our cash and cash equivalents.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1B. Unresolved Staff Comments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231F20"/>
          <w:sz w:val="20"/>
        </w:rPr>
      </w:pPr>
      <w:r>
        <w:rPr>
          <w:rFonts w:ascii="Times New Roman;serif" w:hAnsi="Times New Roman;serif"/>
          <w:b/>
          <w:color w:val="231F20"/>
          <w:sz w:val="20"/>
        </w:rPr>
        <w:t>Risk management and strategy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customer information, our brand, and confidential information that is proprietary, strategic or competitive in nature (“Information Systems and Data”).</w:t>
      </w:r>
      <w:r>
        <w:rPr>
          <w:color w:val="231F2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Information Security function is overseen by our Vice President of Technology and is supported by our information security team, legal, and various third-party service providers. In doing so, they administer our Enterprise Risk Management Program that is designed to identify and assess risks from cybersecurity threats by monitoring and evaluating our threat environment and the Company’s and industry’s risk profile using various methods including, for example, manual and automated tools, subscribing to reports and services that identify cybersecurity threats, conducting scans of potential threat environments, and conducting vulnerability assessments in order to identify vulnerabilities in our systems. We have developed a Cybersecurity Program that is designed to assess and improve the governance, identification, detection, and response of our critical systems.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maintaining a comprehensive incident response plan, conducting risk assessments, encrypting data, maintaining network security controls, access controls, physical security measures, and system monitoring tools, conducting employee training, performing periodic penetration testing, and maintaining cybersecurity insurance.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assessment and management of material risks from cybersecurity threats are integrated into the Company’s overall risk management processes. For example, cybersecurity risk is addressed as a component of the Company’s Enterprise Risk Management Program with our Board of Directors, through the Audit Committee, maintaining oversight of cybersecurity risk management. Our internal security team, in conjunction with our Sr. Infrastructure &amp; IT Operations Manager works with a third-party risk management company to perform a periodic security risk assessment across our organization's systems and processes against industry-recognized frameworks.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use third-party service providers to assist us from time to time in our efforts to identify, assess, and manage material risks from cybersecurity threats, including, for example, third-party cybersecurity software providers, managed service providers and penetration testing firms. Additionally, we use third-party service providers to perform a variety of functions throughout our business, such as application providers and hosting companies. We have a vendor management program designed to manage cybersecurity risks associated with our use of these providers, which includes collecting a security questionnaire and relevant reports from such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For a description of the risks from cybersecurity threats that may materially affect the Company and how they may do so, see our risk factors under Part 1. Item 1A. Risk Factors in this Annual Report on Form 10-K, including the risk factor titled, “We are increasingly dependent on information technology and our ability to process data in order to operate and sell our products, and if we (or our information technology systems or those third parties with whom we work or our data, are or were compromised),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231F20"/>
          <w:sz w:val="20"/>
        </w:rPr>
      </w:pPr>
      <w:r>
        <w:rPr>
          <w:rFonts w:ascii="Times New Roman;serif" w:hAnsi="Times New Roman;serif"/>
          <w:b/>
          <w:color w:val="231F20"/>
          <w:sz w:val="20"/>
        </w:rPr>
        <w:t xml:space="preserve">Governance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board of directors addresses the Company’s cybersecurity risk management as part of its general oversight function and the board of directors is responsible for overseeing the Company’s cybersecurity risk management processes, including oversight of mitigation of risks from cybersecurity threats. The Audit Committee of the board of directors is responsible for reviewing the Company's financial reporting of cybersecurity risks and incidents.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cybersecurity risk assessment and management processes are implemented and maintained by certain Company management, including our Vice President of Technology who has over twenty years of experience in leading and operating a variety of technology functions and our Sr. Infrastructure &amp; IT Operations Manager who has over eight years of experience in designing and implementing secure systems and networks, focused on information and data security.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Vice President of Technology, SVP Enterprise Strategy and Technology, and CFO are responsible for hiring appropriate personnel, helping to integrate cybersecurity risk considerations into the Company’s overall risk management strategy, and communicating key priorities to relevant personnel. Our Vice President of Technology, SVP Enterprise Strategy and Technology, and CFO are responsible for approving budgets, helping prepare for cybersecurity incidents, approving cybersecurity processes, and reviewing security assessments and other security-related reports.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Our cybersecurity incident response processes are designed to escalate certain cybersecurity incidents to members of management depending on the circumstances, including our CFO and Vice President of Technology. The CFO and Vice President of Technology work with the Sr. Infrastructure &amp; IT Operations Manager to help the Company mitigate and remediate cybersecurity incidents of which they are notified. In addition, the Company’s incident response processes include reporting to the Audit Committee certain cybersecurity incidents.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Audit Committee of the board of directors receives periodic reports from the Vice President of Technology concerning the Company’s significant cybersecurity threats and risk and the processes the Company has implemented which are designed to address them. The Audit Committee also has access to various reports, summaries or presentations related to cybersecurity threats, risk and mitigation.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lease our corporate headquarters located at 12130 Millennium Drive #500, Los Angeles, California, in a LEED certified building where we occupy approximately 46,518 square feet of office space pursuant to a lease that expires in February 2027. This lease provides us with an option to extend it for up to two consecutive periods of five years each. We also lease a corporate office located at 3033 Excelsior Boulevard #575, Minneapolis, Minnesota, where we occupy approximately 4,500 square feet of office space pursuant to a lease that expires in April 2031. This lease provides us with an option to extend it for an additional five years. We also lease a warehouse and distribution facility located in Las Vegas, Nevada where we occupy approximately 570,000 square feet pursuant to a lease that expires in December 2027, with an option to extend this lease for up to two consecutive periods of five years each. We have a second warehouse and distribution facility in Breinigsville, Pennsylvania where we occupy approximately 335,000 square feet pursuant to a servicing agreement with GEODIS Logistics LLC (“GEODIS”). From time to time we also utilize outside storage on a short-term basis. We have two distribution partners that operate our facilities on our behalf: National Distribution Centers, LLC (“NFI”) and GEODIS. Our Las Vegas, Nevada facility is operated by NFI and our Breinigsville, Pennsylvania facility is operated by GEODIS. In total, we have approximately 930,000 square feet of facility space that we leverage to fulfill retail order and, until December 31, 2025, leveraged to fulfill DTC orders. As part of Powering Honest Growth, in December 2025, we notified GEODIS, pursuant to the terms of the contract, that we are terminating the agreement with them for the Pennsylvania warehouse use and services effective June 30, 2026. Following June 30, 2026, we will only be operating with the Nevada warehouse. We believe that our current facilities are suitable and adequate to meet our current needs.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See Note </w:t>
      </w:r>
      <w:r>
        <w:rPr>
          <w:rFonts w:ascii="Times New Roman;serif" w:hAnsi="Times New Roman;serif"/>
          <w:b w:val="false"/>
          <w:color w:val="000000"/>
          <w:sz w:val="20"/>
        </w:rPr>
        <w:t>10</w:t>
      </w:r>
      <w:r>
        <w:rPr>
          <w:rFonts w:ascii="Times New Roman;serif" w:hAnsi="Times New Roman;serif"/>
          <w:b w:val="false"/>
          <w:color w:val="231F20"/>
          <w:sz w:val="20"/>
        </w:rPr>
        <w:t>, “</w:t>
      </w:r>
      <w:r>
        <w:rPr>
          <w:rFonts w:ascii="Times New Roman;serif" w:hAnsi="Times New Roman;serif"/>
          <w:b w:val="false"/>
          <w:i/>
          <w:color w:val="231F20"/>
          <w:sz w:val="20"/>
        </w:rPr>
        <w:t>Commitments and Contingencies,</w:t>
      </w:r>
      <w:r>
        <w:rPr>
          <w:color w:val="231F20"/>
        </w:rPr>
        <w:t xml:space="preserve">” </w:t>
      </w:r>
      <w:r>
        <w:rPr>
          <w:rFonts w:ascii="Times New Roman;serif" w:hAnsi="Times New Roman;serif"/>
          <w:b w:val="false"/>
          <w:color w:val="231F20"/>
          <w:sz w:val="20"/>
        </w:rPr>
        <w:t>to the financial statements contained in this report for a discussion of legal proceedings that are incorporated by reference into this Item 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began trading on Nasdaq Global Select Market on May 5, 2021, under the symbol “HNST.” Prior to that time, there was no public market for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20, 2026, we had approximately 96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Comparative Stock Performance Graph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together with our consolidated financial statements and related notes included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in this Annual Report on Form 10-K for a discussion of important factors that could cause our actual results to differ materially from those anticipated in these forward-looking statements. Unless the context otherwise requires, all references in this Annual Report on Form 10-K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discussion regarding our financial condition and results of operations for the year ended December 31, 2025 compared to the year ended December 31, 2024 is presented below. A discussion regarding our financial condition and results of operations for the year ended December 31, 2024 compared to the year ended December 31, 2023 can be found in Item 7. “Management’s Discussion and Analysis of Financial Condition and Results of Operations” in our Annual Report on Form 10-K for the year ended December 31, 2024 filed with the Securities and Exchange Commission (“SEC”) on February 26, 2025.</w:t>
      </w:r>
    </w:p>
    <w:p>
      <w:pPr>
        <w:pStyle w:val="TextBody"/>
        <w:bidi w:val="0"/>
        <w:spacing w:before="0" w:after="0"/>
        <w:ind w:left="0" w:right="0" w:firstLine="720"/>
        <w:jc w:val="left"/>
        <w:rPr/>
      </w:pPr>
      <w:r>
        <w:rPr/>
      </w:r>
    </w:p>
    <w:p>
      <w:pPr>
        <w:pStyle w:val="TextBody"/>
        <w:bidi w:val="0"/>
        <w:spacing w:lineRule="auto" w:line="268" w:before="0" w:after="0"/>
        <w:jc w:val="left"/>
        <w:rPr/>
      </w:pPr>
      <w:r>
        <w:rPr>
          <w:color w:val="000000"/>
        </w:rPr>
        <w:t> </w:t>
      </w:r>
      <w:r>
        <w:rPr>
          <w:rFonts w:ascii="Times New Roman;serif" w:hAnsi="Times New Roman;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Founded in 2012, The Honest Company (the “Company,” or “Honest,” or which may also be referred to as “we,” “us” or “our”) is a personal care company dedicated to creating cleanly-formulated and sustainably-designed products for everyone from babies to adults. By combining thoughtful design with science-based innovation, we deliver personal care products for everyone from babies to adults, spanning categories across wipes, personal care, diapers, and beauty. Our commitment to our core values, continual innovation and engaging our community has differentiated and elevated our brand and our products. Since our launch, we have cultivated deep trust around what matters most to our consumers: their health, their families and their homes. We seek to meet consumers wherever they want to shop, balancing deep consumer connection with broad convenience and availability. We believe our distribution strategy positions us for continued growth through our trusted brand and award-winning multi-category product offering.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 Honest products are available nationwide at major retailers, including Amazon, Target and Walmart.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December 31, 2025, we have transitioned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Transformation 2.0: Powering Honest Growth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our Board of Directors approved Transformation 2.0: Powering Honest Growth ("Powering Honest Growth") which builds upon our original Transformation Pillars of Brand Maximization, Margin Enhancement and Operating Discipline. Powering Honest Growth is aimed at improving simplicity, focus and profitability, which includes exiting certain lower margin, non-strategic categories and channels, including exiting Honest.com fulfillment and apparel, as well as exiting retail and online stores in Canada, optimizing our cost structure by rightsizing selling, general and administrative expenses and implementing supply chain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Powering Honest Growth is projected to result in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Costs associated with Powering Honest Growth, including restructuring costs, are expected to be approximately $30.0 million to $35.0 million to be recognized through the first quarter of 2027. During the year ended December 31, 2025, we have recognized $24.0 million of total costs related to Powering Honest Growth. See table below for additional details of total costs.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Of this range, we expect approximately $5.0 million to $8.0 million to be related to restructuring costs, primarily comprising contractual and external obligation costs, employee and personnel-related costs and asset and other restructuring-related costs, and approximately $25.0 million to $27.0 million to be related to other costs included in cost of revenue, primarily related to a discrete inventory write-down related to exiting apparel, fixed asset impairments, and costs associated with the warehouse closure, some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have already been incurred. For the year ended December 31, 2025, we have recognized $4.2 million in restructuring costs and $19.8 million in cost of revenue included on the consolidated statements of comprehensive loss.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Powering Honest Growth is expected to result in annualized benefits in the range of approximately $10.0 million to $15.0 million, and the Company expects to begin seeing benefits in 2026. These benefits include reduction in costs of revenue and reduction in operating expenses, offset by a decrease in revenue related to the exit of lower margin non-strategic portfolios.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cash impact of costs related to Powering Honest Growth is expected to be in the range of approximately $15.0 million to $20.0 million for the full year 2026, with an immaterial amount of costs incurred during the year ended December 31, 2025 and the remainder to be incurred in 2026 and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expect the restructuring element of Powering Honest Growth to be substantially completed by December 31, 2026. We may incur other costs or cash expenditures not currently contemplated as a result of or in connection with Powering Honest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driving benefits from the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Leveraging the strength of the Honest brand to drive growth through greater availability, expanded household penetration, product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Pricing strategy as a driver of revenue is also a component of Brand Maximization. </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our resources on the United States, which included the exit of our low-margin products in Europe and Asia in 2023 and, most recently, Canada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Exiting low-margin elements of cleaning and sanitization products in 2023 and apparel in 2025.</w:t>
      </w:r>
    </w:p>
    <w:p>
      <w:pPr>
        <w:pStyle w:val="TextBody"/>
        <w:bidi w:val="0"/>
        <w:spacing w:lineRule="auto" w:line="268" w:before="0" w:after="0"/>
        <w:ind w:left="0" w:right="0" w:hanging="360"/>
        <w:jc w:val="left"/>
        <w:rPr/>
      </w:pPr>
      <w:r>
        <w:rPr>
          <w:color w:val="1D1C1D"/>
        </w:rPr>
        <w:t>•</w:t>
      </w:r>
      <w:r>
        <w:rPr>
          <w:rFonts w:ascii="Times New Roman;serif" w:hAnsi="Times New Roman;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Re-directing resources to accelerate cost savings, including optimization of our contract manufacturing strategies, optimization of our supply chain footprint and inventory management, along with leveraging technology to improve systems,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Realigning resources to reflect the prioritization of higher-margin opportunities, including strategic shift away from our lower margin channels, including exiting our </w:t>
      </w:r>
      <w:r>
        <w:rPr>
          <w:rFonts w:ascii="Times New Roman;serif" w:hAnsi="Times New Roman;serif"/>
          <w:b w:val="false"/>
          <w:color w:val="231F20"/>
          <w:sz w:val="20"/>
        </w:rPr>
        <w:t>direct-to-consumer (“DTC”) channel in 2025</w:t>
      </w:r>
      <w:r>
        <w:rPr>
          <w:rFonts w:ascii="Times New Roman;serif" w:hAnsi="Times New Roman;serif"/>
          <w:b w:val="false"/>
          <w:color w:val="000000"/>
          <w:sz w:val="20"/>
        </w:rPr>
        <w:t>.</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on improving our executional excellence in how we operate as an enterprise.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Managing working capital including the reduction of inventory.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Rightsizing selling and general and administrative costs.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for the year ended December 31, 2025 were as follows (in thousands):</w:t>
      </w:r>
    </w:p>
    <w:p>
      <w:pPr>
        <w:pStyle w:val="TextBody"/>
        <w:bidi w:val="0"/>
        <w:spacing w:before="0" w:after="0"/>
        <w:ind w:left="0" w:right="0" w:firstLine="720"/>
        <w:jc w:val="left"/>
        <w:rPr/>
      </w:pPr>
      <w:r>
        <w:rPr/>
      </w:r>
    </w:p>
    <w:tbl>
      <w:tblPr>
        <w:tblW w:w="6057"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681"/>
        <w:gridCol w:w="2327"/>
        <w:gridCol w:w="351"/>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19,837 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Cost of revenue includes discrete inventory write-downs of $15.9 million related to the exit of apparel, machinery and equipment write-offs of $2.5 million, apparel purchase commitments of $1.1 million and accelerated depreciation of $0.4 million for the year ended December 31, 2025.</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(2) Refer to the restructuring table under "Results of Operations" below for further details of operating expenses included in restructuring costs on the consolidated statements of comprehensive loss.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For further details on the restructuring element of Powering Honest Growth, refer to Note 15, “Restructuring</w:t>
      </w:r>
      <w:r>
        <w:rPr>
          <w:color w:val="231F20"/>
        </w:rPr>
        <w:t>”</w:t>
      </w:r>
      <w:r>
        <w:rPr>
          <w:color w:val="000000"/>
        </w:rPr>
        <w:t xml:space="preserve"> </w:t>
      </w:r>
      <w:r>
        <w:rPr>
          <w:rFonts w:ascii="Times New Roman;serif" w:hAnsi="Times New Roman;serif"/>
          <w:b w:val="false"/>
          <w:color w:val="000000"/>
          <w:sz w:val="20"/>
        </w:rPr>
        <w:t xml:space="preserve">included in our consolidated financial statements included elsewhere in this Annual Report on Form 10-K.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growth of our business and our future success are dependent on many factors. While each of these factors presents significant opportunities for us, they also pose important challenges that we must successfully address to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us to sustain the growth of our business and improve our operations while staying true to our mission, including those discussed below and in the section of this Annual Report on Form 10-K titled “Item 1A. Risk Factors.”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Operational and Marketing Efficienc</w:t>
      </w:r>
      <w:r>
        <w:rPr>
          <w:rFonts w:ascii="Times New Roman;serif" w:hAnsi="Times New Roman;serif"/>
          <w:b/>
          <w:color w:val="000000"/>
          <w:sz w:val="20"/>
        </w:rPr>
        <w:t>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grow our business, we intend to continue to improve our operational and marketing efficiency, which includes attracting new consumers, increasing community engagement and connection with our brand,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distribution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Ability to Execute Increasing Physical and Digital Availability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core of our growth strategy centers around increasing physical and digital availability of our products through expanded stores, doors, aisles, shelves and facings.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customers on certain diaper SKUs mainly related to these retailers' footprint changes for certain product categories overall and a shift to more exclusive non-gendered prints with one of these retailers, which impacted our revenue in 2025 and we expect will continue to negatively impact our diaper revenue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Due to higher costs of shipping and fulfillment activities related to our </w:t>
      </w:r>
      <w:r>
        <w:rPr>
          <w:rFonts w:ascii="Times New Roman;serif" w:hAnsi="Times New Roman;serif"/>
          <w:b w:val="false"/>
          <w:color w:val="231F20"/>
          <w:sz w:val="20"/>
        </w:rPr>
        <w:t>DTC channel</w:t>
      </w:r>
      <w:r>
        <w:rPr>
          <w:color w:val="000000"/>
        </w:rPr>
        <w:t xml:space="preserve"> </w:t>
      </w:r>
      <w:r>
        <w:rPr>
          <w:rFonts w:ascii="Times New Roman;serif" w:hAnsi="Times New Roman;serif"/>
          <w:b w:val="false"/>
          <w:color w:val="000000"/>
          <w:sz w:val="20"/>
        </w:rPr>
        <w:t xml:space="preserve">and other related costs, we no longer utilize Honest.com as a shipping and fulfillment channel or sell products through this channel as of December 31, 2025 and instead continue to shift our focus and investments towards more efficient and scalable distribution models with our current retail and digital customers. The Honest.com website will remain a resource for educating consumers, showcasing our complete product portfolio, and driving consumers to purchase offsite. Our discontinuation of Honest.com as a direct shipping and fulfillment channel negatively impacted our revenue for the year ended December 31, 2025; however, we also expect that it will enable improved gross margin in future years.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mix is a driver of our financial performance given our focus on accretive product launches and innovation to increase product margins. Even though our growth strategy aims to boost sales across products by increasing total distribution, we intend to prioritize growth in products with attractive margin characteristics, including wipes and personal care, and leverage our brand equity and consumer insights to extend into new products.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including wipes pack size expansion and kids personal care.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w:t>
      </w:r>
      <w:r>
        <w:rPr>
          <w:rFonts w:ascii="Times New Roman;serif" w:hAnsi="Times New Roman;serif"/>
          <w:b w:val="false"/>
          <w:color w:val="231F20"/>
          <w:sz w:val="20"/>
        </w:rPr>
        <w:t xml:space="preserve">naturally-derived </w:t>
      </w:r>
      <w:r>
        <w:rPr>
          <w:rFonts w:ascii="Times New Roman;serif" w:hAnsi="Times New Roman;serif"/>
          <w:b w:val="false"/>
          <w:color w:val="000000"/>
          <w:sz w:val="20"/>
        </w:rPr>
        <w:t xml:space="preserve">product categories in which we operate. Our continued focus on research and development will be central to attracting and retaining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changing consumer attitudes or behaviors or other macroeconomic conditions (such as inflation, tariffs, supply chain disruptions, trade disputes, foreign exchange volatility, geopolitical uncertainty, financial market instability and any resulting recession or slowed economic growth), have resulted and could in the future result in fluctuations in our operating results.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uncertainty have increased due to the impact of continued inflationary pressures, adverse impact on confidence in financial markets and geopolitical events, including recently imposed tariffs on certain foreign goods, the possibility of expanding the tariffs to capture other types of goods, and related legal challenges. Additionally, the extent of the impact of macroeconomic trends on our operational and financial performance in the future will depend on future developments. Prolonged unfavorable economic conditions, including as a result of changing consumer attitudes or behaviors or other macroeconomic conditions (such as inflation, tariffs, supply chain disruptions, trade disputes, foreign exchange volatility, geopolitical uncertainty, financial market instability and any resulting recession or slowed economic growth), have had and may continue to have an adverse effect on our sales, margins and profitability. All of these factors are difficult to predict considering the rapidly evolving landscape as we continue to expect a variable operating environment going forward. </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and continues to be an adverse impact on global economic conditions, specifically tariffs and inflationary pressures, which has adversely affected our supply chain in regards to cost of revenue. We have experienced and anticipate continued increases in product costs due to inflationary pressures, which has in the past and could continue to hamper our ability to drive margin expansion. In addition, notwithstanding legal challenges, we expect tariffs to continue to negatively impact the cost of raw materials, components and finished goods, which has adversely impacted our operational expenses, and may negatively 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In addition, in early 2025 we hired a Senior Vice President of Supply Chain, a newly created role, which has enabled us to accelerate some of the cost savings opportunities we have developed. If we are not successful in our attempts to bolster our supply chain and mitigate the impact of tariffs, our product and fulfillment costs may increase and our business, financial condition, results of operations and prospects could be adversely affected. For example, the fluctuation in tariff rates during the year ended December 31, 2025 and the ongoing uncertainty of those rates, has primarily impacted our wipes product costs during this period, and may in the future impact our ability to forecast the tariff impacts on our cost of revenue. As part of Powering Honest Growth, we are also taking action to optimize our supply chain footprint and inventory management, along with leveraging technology to improve systems.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experienced purchase price increases from our third-party manufacturers in the past and could face escalation of purchase costs and cost of revenue in the future. In 2025, we agreed to increased purchase costs from our diaper manufacturer and received requests to renegotiate purchase costs from other third-party manufacturers, which negotiations are ongoing.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Given changing macroeconomic conditions, we also believe that consumers have changed their shopping behaviors and have become more price sensitive when purchasing products in some of our product categories, including diapers.</w:t>
      </w:r>
    </w:p>
    <w:p>
      <w:pPr>
        <w:pStyle w:val="TextBody"/>
        <w:bidi w:val="0"/>
        <w:spacing w:before="0" w:after="0"/>
        <w:ind w:left="0" w:right="0" w:firstLine="720"/>
        <w:jc w:val="left"/>
        <w:rPr/>
      </w:pPr>
      <w:r>
        <w:rPr/>
      </w:r>
    </w:p>
    <w:p>
      <w:pPr>
        <w:pStyle w:val="TextBody"/>
        <w:bidi w:val="0"/>
        <w:spacing w:before="1" w:after="1"/>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reflected at the lower of cost or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efforts to mitigate the impact of tariffs, we increased our inventory on hand during the first half of 2025 to delay the impact of incremental tariffs during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Powering Honest Growth, we recorded a discrete apparel inventory write-down of $15.9 million, inclusive of overhead costs and tariffs, related to the termination of our Supplier Services Agreement (defined below), which is included in cost of revenue on the consolidated statements of comprehensive loss. Additionally, unrelated to Powering Honest Growth, we earmarked donations of $2.1 million related to diaper inventory forecast reductions with a key retailer, which is included in selling, general and administrative expenses on the consolidated statements of comprehensive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termination of the Likeness Agreement with Jessica Alba, as part of Ms. Alba's departure from her Chief Creative Officer position, after April 4, 2025 we have been prohibited from selling inventory that uses certain specified licensed intellectual property on its packaging, which resulted in additional immaterial inventory write-offs during the year ended December 31, 2025.</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Supplier Services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August 2022, we entered into a supplier services agreement with Butterblu, LLC (“Butterblu”) pursuant to which Butterblu provided certain design, manufacturing, sales and marketing services to us (the “Supplier Services Agreement”). As part of the Supplier Services Agreement, we agreed to purchase and own inventory for the term of the agreement, which was originally until December 31, 2026, unless terminated sooner. On November 5, 2025, </w:t>
      </w:r>
      <w:r>
        <w:rPr>
          <w:rFonts w:ascii="Times New Roman;serif" w:hAnsi="Times New Roman;serif"/>
          <w:b w:val="false"/>
          <w:color w:val="231F20"/>
          <w:sz w:val="20"/>
        </w:rPr>
        <w:t>we had sent a Notice of Termination to Butterblu and sued the company for alleged breaches of the Supplier Services Agreement.</w:t>
      </w:r>
      <w:r>
        <w:rPr>
          <w:color w:val="000000"/>
        </w:rPr>
        <w:t xml:space="preserve"> </w:t>
      </w:r>
      <w:r>
        <w:rPr>
          <w:rFonts w:ascii="Times New Roman;serif" w:hAnsi="Times New Roman;serif"/>
          <w:b w:val="false"/>
          <w:color w:val="000000"/>
          <w:sz w:val="20"/>
        </w:rPr>
        <w:t>Through agreement of the parties following our Notice of Termination, Honest and Butterblu extended the Supplier Services Agreement on a temporary basis through December 26, 2025. The Supplier Services Agreement was formally terminated on December 26, 2025. Upon termination, Butterblu was required to discontinue using Honest’s trademarks and prints and to consummate all pending purchase orders received in writing as of the November 5, 2025 termination date, and Honest has the right to sell off all products sourced by Butterblu until and through December 26, 2026 and shall pay Butterblu the Base Service Fee, defined as 22% of Honest's net revenue for product sales and adjusted to ensure that the Base Service Fee does not exceed Honest's gross profit for product sales in the applicable quarter, for product sales through December 26, 2026. We re-filed our suit against Butterblu for the alleged breaches of the Supplier Services Agreement on January 2, 2026. Litigation related to our respective obligations under the Supplier Services Agreement, the termination of this Supplier Services Agreement, any disputes over the terms of the termination, and costs related to the apparel inventory we own have negatively impacted revenue and gross profit, offset by lower operating costs for the fourth quarter ended December 31, 2025 and full year 2025, and are expected to continue to adversely impact our results of operations going forward. In addition, the loss of the relationship with Butterblu negatively impacted apparel revenue and will negatively impact apparel revenue in the future, which may adversely affect our results of operations.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sale of our products through our leading retailers and their websites, third-party ecommerce sites and, prior to December 31, 2025, Honest.com. Our revenue is recognized net of allowances for returns, discounts, credits and any taxes collected from consumers.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general and administrative, marketing, restructuring and research and development expenses.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our apparel products; and, depreciation and amortization expenses. We expect our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the dynamic macro-environment, higher costs in digital marketing and increased retail distribution, we will continue to optimize our marketing activities for impact and efficiency. We will continue to prioritize investment in marketing initiatives around our most strategic and profitable categories, through strategic key retailers activities, as well as brand building campaigns and initiatives. As we launch new products, we expect to make marketing investments to support growth at key retailers, build brand awareness, encourage first-time use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erif" w:hAnsi="Times New Roman;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income earned on our short-term investments and our cash and cash equivalents balances. Interest expense includes fees incurred under our 2023 Credit Facility, including commitment fees and debt issuance costs.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Income Tax Provision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lineRule="auto" w:line="26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statements of comprehensive loss data for each of the periods indicated: </w:t>
      </w:r>
    </w:p>
    <w:p>
      <w:pPr>
        <w:pStyle w:val="TextBody"/>
        <w:bidi w:val="0"/>
        <w:spacing w:before="1" w:after="1"/>
        <w:jc w:val="left"/>
        <w:rPr/>
      </w:pPr>
      <w:r>
        <w:rPr/>
      </w:r>
    </w:p>
    <w:tbl>
      <w:tblPr>
        <w:tblW w:w="7973" w:type="dxa"/>
        <w:jc w:val="left"/>
        <w:tblInd w:w="0" w:type="dxa"/>
        <w:tblLayout w:type="fixed"/>
        <w:tblCellMar>
          <w:top w:w="28" w:type="dxa"/>
          <w:left w:w="28" w:type="dxa"/>
          <w:bottom w:w="28" w:type="dxa"/>
          <w:right w:w="28" w:type="dxa"/>
        </w:tblCellMar>
      </w:tblPr>
      <w:tblGrid>
        <w:gridCol w:w="1211"/>
        <w:gridCol w:w="1064"/>
        <w:gridCol w:w="1069"/>
        <w:gridCol w:w="109"/>
        <w:gridCol w:w="109"/>
        <w:gridCol w:w="231"/>
        <w:gridCol w:w="231"/>
        <w:gridCol w:w="447"/>
        <w:gridCol w:w="1753"/>
        <w:gridCol w:w="231"/>
        <w:gridCol w:w="109"/>
        <w:gridCol w:w="109"/>
        <w:gridCol w:w="109"/>
        <w:gridCol w:w="211"/>
        <w:gridCol w:w="82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123,755 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79,510 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142,216 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(18,461)</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(15,482)</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left"/>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stock-based compensation expense as follows: </w:t>
      </w:r>
    </w:p>
    <w:tbl>
      <w:tblPr>
        <w:tblW w:w="7524" w:type="dxa"/>
        <w:jc w:val="left"/>
        <w:tblInd w:w="0" w:type="dxa"/>
        <w:tblLayout w:type="fixed"/>
        <w:tblCellMar>
          <w:top w:w="28" w:type="dxa"/>
          <w:left w:w="28" w:type="dxa"/>
          <w:bottom w:w="28" w:type="dxa"/>
          <w:right w:w="28" w:type="dxa"/>
        </w:tblCellMar>
      </w:tblPr>
      <w:tblGrid>
        <w:gridCol w:w="1085"/>
        <w:gridCol w:w="955"/>
        <w:gridCol w:w="960"/>
        <w:gridCol w:w="109"/>
        <w:gridCol w:w="109"/>
        <w:gridCol w:w="250"/>
        <w:gridCol w:w="250"/>
        <w:gridCol w:w="485"/>
        <w:gridCol w:w="1658"/>
        <w:gridCol w:w="250"/>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comprehensive loss data expressed as a percentage of revenue*:</w:t>
      </w:r>
    </w:p>
    <w:p>
      <w:pPr>
        <w:pStyle w:val="TextBody"/>
        <w:bidi w:val="0"/>
        <w:spacing w:before="0" w:after="0"/>
        <w:jc w:val="left"/>
        <w:rPr/>
      </w:pPr>
      <w:r>
        <w:rPr/>
      </w:r>
    </w:p>
    <w:tbl>
      <w:tblPr>
        <w:tblW w:w="7725" w:type="dxa"/>
        <w:jc w:val="left"/>
        <w:tblInd w:w="0" w:type="dxa"/>
        <w:tblLayout w:type="fixed"/>
        <w:tblCellMar>
          <w:top w:w="28" w:type="dxa"/>
          <w:left w:w="28" w:type="dxa"/>
          <w:bottom w:w="28" w:type="dxa"/>
          <w:right w:w="28" w:type="dxa"/>
        </w:tblCellMar>
      </w:tblPr>
      <w:tblGrid>
        <w:gridCol w:w="1209"/>
        <w:gridCol w:w="1064"/>
        <w:gridCol w:w="1071"/>
        <w:gridCol w:w="109"/>
        <w:gridCol w:w="109"/>
        <w:gridCol w:w="578"/>
        <w:gridCol w:w="578"/>
        <w:gridCol w:w="578"/>
        <w:gridCol w:w="578"/>
        <w:gridCol w:w="581"/>
        <w:gridCol w:w="109"/>
        <w:gridCol w:w="109"/>
        <w:gridCol w:w="109"/>
        <w:gridCol w:w="189"/>
        <w:gridCol w:w="189"/>
        <w:gridCol w:w="193"/>
        <w:gridCol w:w="109"/>
        <w:gridCol w:w="109"/>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Amounts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not sum</w:t>
      </w:r>
      <w:r>
        <w:rPr>
          <w:color w:val="231F20"/>
        </w:rPr>
        <w:t xml:space="preserve"> </w:t>
      </w:r>
      <w:r>
        <w:rPr>
          <w:rFonts w:ascii="Times New Roman;serif" w:hAnsi="Times New Roman;serif"/>
          <w:b w:val="false"/>
          <w:color w:val="231F20"/>
          <w:sz w:val="20"/>
        </w:rPr>
        <w:t>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Comparison of the Year Ended December 31, 2025 and 2024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0205" w:type="dxa"/>
        <w:jc w:val="left"/>
        <w:tblInd w:w="0" w:type="dxa"/>
        <w:tblLayout w:type="fixed"/>
        <w:tblCellMar>
          <w:top w:w="28" w:type="dxa"/>
          <w:left w:w="28" w:type="dxa"/>
          <w:bottom w:w="28" w:type="dxa"/>
          <w:right w:w="28" w:type="dxa"/>
        </w:tblCellMar>
      </w:tblPr>
      <w:tblGrid>
        <w:gridCol w:w="997"/>
        <w:gridCol w:w="878"/>
        <w:gridCol w:w="880"/>
        <w:gridCol w:w="109"/>
        <w:gridCol w:w="109"/>
        <w:gridCol w:w="168"/>
        <w:gridCol w:w="168"/>
        <w:gridCol w:w="168"/>
        <w:gridCol w:w="168"/>
        <w:gridCol w:w="168"/>
        <w:gridCol w:w="168"/>
        <w:gridCol w:w="326"/>
        <w:gridCol w:w="1277"/>
        <w:gridCol w:w="168"/>
        <w:gridCol w:w="109"/>
        <w:gridCol w:w="109"/>
        <w:gridCol w:w="109"/>
        <w:gridCol w:w="211"/>
        <w:gridCol w:w="826"/>
        <w:gridCol w:w="109"/>
        <w:gridCol w:w="109"/>
        <w:gridCol w:w="109"/>
        <w:gridCol w:w="109"/>
        <w:gridCol w:w="211"/>
        <w:gridCol w:w="684"/>
        <w:gridCol w:w="109"/>
        <w:gridCol w:w="109"/>
        <w:gridCol w:w="109"/>
        <w:gridCol w:w="109"/>
        <w:gridCol w:w="315"/>
        <w:gridCol w:w="315"/>
        <w:gridCol w:w="316"/>
        <w:gridCol w:w="109"/>
        <w:gridCol w:w="109"/>
        <w:gridCol w:w="158"/>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8"/>
            <w:tcBorders/>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$371.3 million for the year ended December 31, 2025, as compared to $378.3 million for the year ended December 31, 2024. The decrease of $7.0 million, or 1.9%, was primarily due to the discrete exits related to Powering Honest Growth of $21.9 million (inclusive of a decrease in DTC revenue of $13.2 million, a decrease in apparel revenue of $7.7 million and a decrease in Canada revenue of $1.0 million), partially offset by an increase in retail customer revenue (excluding apparel and Canada revenue) of $14.9 million. The increase in retail customer revenue is primarily due to an increase in wipes revenue of $27.6 million and an increase in baby personal care revenue of $6.7 million, partially offset by a decline in diaper revenue of $14.4 million primarily related to distribution losses, the lapping of certain retailer promotional events and changes in consumer shopping behavior, and a decline in adult facial care (including skin care and cosmetics) of $5.7 million. Refer to the Organic Revenue table under “Non-GAAP Financial Measures” below for further details of revenue excluding the revenue associated with the discrete exits related to Powering Honest Growth.</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10205" w:type="dxa"/>
        <w:jc w:val="left"/>
        <w:tblInd w:w="0" w:type="dxa"/>
        <w:tblLayout w:type="fixed"/>
        <w:tblCellMar>
          <w:top w:w="28" w:type="dxa"/>
          <w:left w:w="28" w:type="dxa"/>
          <w:bottom w:w="28" w:type="dxa"/>
          <w:right w:w="28" w:type="dxa"/>
        </w:tblCellMar>
      </w:tblPr>
      <w:tblGrid>
        <w:gridCol w:w="973"/>
        <w:gridCol w:w="857"/>
        <w:gridCol w:w="859"/>
        <w:gridCol w:w="109"/>
        <w:gridCol w:w="109"/>
        <w:gridCol w:w="166"/>
        <w:gridCol w:w="166"/>
        <w:gridCol w:w="166"/>
        <w:gridCol w:w="166"/>
        <w:gridCol w:w="166"/>
        <w:gridCol w:w="166"/>
        <w:gridCol w:w="321"/>
        <w:gridCol w:w="1259"/>
        <w:gridCol w:w="166"/>
        <w:gridCol w:w="109"/>
        <w:gridCol w:w="109"/>
        <w:gridCol w:w="109"/>
        <w:gridCol w:w="211"/>
        <w:gridCol w:w="826"/>
        <w:gridCol w:w="109"/>
        <w:gridCol w:w="109"/>
        <w:gridCol w:w="109"/>
        <w:gridCol w:w="109"/>
        <w:gridCol w:w="211"/>
        <w:gridCol w:w="787"/>
        <w:gridCol w:w="109"/>
        <w:gridCol w:w="109"/>
        <w:gridCol w:w="109"/>
        <w:gridCol w:w="109"/>
        <w:gridCol w:w="315"/>
        <w:gridCol w:w="315"/>
        <w:gridCol w:w="316"/>
        <w:gridCol w:w="109"/>
        <w:gridCol w:w="109"/>
        <w:gridCol w:w="158"/>
      </w:tblGrid>
      <w:tr>
        <w:trPr/>
        <w:tc>
          <w:tcPr>
            <w:tcW w:w="97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8"/>
            <w:tcBorders/>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was $247.6 million for the year ended December 31, 2025, as compared to $233.7 million for the year ended December 31, 2024. The increase of $13.9 million, or 5.9%, was primarily driven by the discrete inventory write-down of $15.9 million related to the exit of apparel, machinery and equipment write-offs of $2.5 million, and apparel purchase commitments of $1.1 million, in each case as part of Powering Honest Growth, as well as an increase in tariff costs, partially offset by lower sales volume related to the discrete product and channel exits of Powering Honest Growth. Cost of revenue as a percentage of revenue decreased by 4.9% compared to the year ended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$123.8 million for the year ended December 31, 2025, as compared to $144.7 million for the year ended December 31, 2024. The decrease of $20.9 million, or 14.4%, was primarily related to the discrete exit costs related to Powering Honest Growth and the decline in diaper revenue, as well as an increase in tariff costs, partially offset by favorable product mix.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tbl>
      <w:tblPr>
        <w:tblW w:w="10205" w:type="dxa"/>
        <w:jc w:val="left"/>
        <w:tblInd w:w="0" w:type="dxa"/>
        <w:tblLayout w:type="fixed"/>
        <w:tblCellMar>
          <w:top w:w="28" w:type="dxa"/>
          <w:left w:w="28" w:type="dxa"/>
          <w:bottom w:w="28" w:type="dxa"/>
          <w:right w:w="28" w:type="dxa"/>
        </w:tblCellMar>
      </w:tblPr>
      <w:tblGrid>
        <w:gridCol w:w="1016"/>
        <w:gridCol w:w="878"/>
        <w:gridCol w:w="880"/>
        <w:gridCol w:w="109"/>
        <w:gridCol w:w="109"/>
        <w:gridCol w:w="177"/>
        <w:gridCol w:w="177"/>
        <w:gridCol w:w="177"/>
        <w:gridCol w:w="177"/>
        <w:gridCol w:w="177"/>
        <w:gridCol w:w="177"/>
        <w:gridCol w:w="343"/>
        <w:gridCol w:w="1175"/>
        <w:gridCol w:w="177"/>
        <w:gridCol w:w="109"/>
        <w:gridCol w:w="109"/>
        <w:gridCol w:w="109"/>
        <w:gridCol w:w="211"/>
        <w:gridCol w:w="721"/>
        <w:gridCol w:w="109"/>
        <w:gridCol w:w="109"/>
        <w:gridCol w:w="109"/>
        <w:gridCol w:w="109"/>
        <w:gridCol w:w="211"/>
        <w:gridCol w:w="789"/>
        <w:gridCol w:w="109"/>
        <w:gridCol w:w="109"/>
        <w:gridCol w:w="109"/>
        <w:gridCol w:w="109"/>
        <w:gridCol w:w="315"/>
        <w:gridCol w:w="315"/>
        <w:gridCol w:w="316"/>
        <w:gridCol w:w="109"/>
        <w:gridCol w:w="109"/>
        <w:gridCol w:w="161"/>
      </w:tblGrid>
      <w:tr>
        <w:trPr/>
        <w:tc>
          <w:tcPr>
            <w:tcW w:w="101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18"/>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9"/>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79,510 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$79.5 million for the year ended December 31, 2025, as compared to $99.0 million for the year ended December 31, 2024. The decrease of $19.5 million, or 19.7%, was primarily due to a $12.5 million decrease in legal expenses related to litigation settlement, a $5.4 million decrease in stock-based compensation expense, a $2.3 million decrease in commission and sales service fees, and a $1.4 million decrease in employee-related costs, partially offset by a $2.0 million increase in donations expense mainly related to diaper inventory. Selling, general and administrative expenses as a percentage of revenue decreased 4.8% as compared to the year ended December 31, 2024.</w:t>
      </w:r>
    </w:p>
    <w:p>
      <w:pPr>
        <w:pStyle w:val="TextBody"/>
        <w:bidi w:val="0"/>
        <w:spacing w:before="0" w:after="0"/>
        <w:jc w:val="left"/>
        <w:rPr/>
      </w:pPr>
      <w:r>
        <w:rPr/>
      </w:r>
    </w:p>
    <w:p>
      <w:pPr>
        <w:pStyle w:val="TextBody"/>
        <w:bidi w:val="0"/>
        <w:spacing w:lineRule="auto" w:line="268" w:before="1"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Marketing Expenses </w:t>
      </w:r>
    </w:p>
    <w:tbl>
      <w:tblPr>
        <w:tblW w:w="10205" w:type="dxa"/>
        <w:jc w:val="left"/>
        <w:tblInd w:w="0" w:type="dxa"/>
        <w:tblLayout w:type="fixed"/>
        <w:tblCellMar>
          <w:top w:w="28" w:type="dxa"/>
          <w:left w:w="28" w:type="dxa"/>
          <w:bottom w:w="28" w:type="dxa"/>
          <w:right w:w="28" w:type="dxa"/>
        </w:tblCellMar>
      </w:tblPr>
      <w:tblGrid>
        <w:gridCol w:w="1037"/>
        <w:gridCol w:w="913"/>
        <w:gridCol w:w="915"/>
        <w:gridCol w:w="109"/>
        <w:gridCol w:w="109"/>
        <w:gridCol w:w="182"/>
        <w:gridCol w:w="182"/>
        <w:gridCol w:w="182"/>
        <w:gridCol w:w="182"/>
        <w:gridCol w:w="182"/>
        <w:gridCol w:w="182"/>
        <w:gridCol w:w="353"/>
        <w:gridCol w:w="1210"/>
        <w:gridCol w:w="182"/>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63"/>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8"/>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9"/>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were $51.2 million for the year ended December 31, 2025, as compared to $45.1 million for the year ended December 31, 2024. The increase of $6.1 million, or 13.5%, was primarily due to a $4.9 million increase in retail marketing, a $0.9 million increase in direct brand advertising and a $0.9 million increase in marketing agency fees. Marketing expenses as a percentage of revenue increased 1.9% as compared to the year ended December 31, 2024.</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Restructuring Expenses </w:t>
      </w:r>
    </w:p>
    <w:tbl>
      <w:tblPr>
        <w:tblW w:w="10010" w:type="dxa"/>
        <w:jc w:val="left"/>
        <w:tblInd w:w="0" w:type="dxa"/>
        <w:tblLayout w:type="fixed"/>
        <w:tblCellMar>
          <w:top w:w="28" w:type="dxa"/>
          <w:left w:w="28" w:type="dxa"/>
          <w:bottom w:w="28" w:type="dxa"/>
          <w:right w:w="28" w:type="dxa"/>
        </w:tblCellMar>
      </w:tblPr>
      <w:tblGrid>
        <w:gridCol w:w="1064"/>
        <w:gridCol w:w="937"/>
        <w:gridCol w:w="939"/>
        <w:gridCol w:w="109"/>
        <w:gridCol w:w="109"/>
        <w:gridCol w:w="198"/>
        <w:gridCol w:w="198"/>
        <w:gridCol w:w="198"/>
        <w:gridCol w:w="198"/>
        <w:gridCol w:w="198"/>
        <w:gridCol w:w="198"/>
        <w:gridCol w:w="384"/>
        <w:gridCol w:w="1121"/>
        <w:gridCol w:w="198"/>
        <w:gridCol w:w="109"/>
        <w:gridCol w:w="109"/>
        <w:gridCol w:w="109"/>
        <w:gridCol w:w="211"/>
        <w:gridCol w:w="406"/>
        <w:gridCol w:w="109"/>
        <w:gridCol w:w="109"/>
        <w:gridCol w:w="109"/>
        <w:gridCol w:w="109"/>
        <w:gridCol w:w="211"/>
        <w:gridCol w:w="616"/>
        <w:gridCol w:w="109"/>
        <w:gridCol w:w="109"/>
        <w:gridCol w:w="109"/>
        <w:gridCol w:w="109"/>
        <w:gridCol w:w="315"/>
        <w:gridCol w:w="315"/>
        <w:gridCol w:w="316"/>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8"/>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are one of the elements of Powering Honest Growth. Restructuring expenses included contract and external obligation costs of $2.5 million, employee and personnel-related costs of $0.9 million and asset and other restructuring-related costs of $0.8 million for the year ended December 31, 2025. For the year ended December 31, 2024, we did not incur any restructuring expenses. For further details on Powering Honest Growth, refer to “Transformation 2.0: Powering Honest Growth” above and Note 15, “Restructuring” in the consolidated financial statements included elsewhere in this Annual Report on Form 10-K. </w:t>
      </w:r>
    </w:p>
    <w:p>
      <w:pPr>
        <w:pStyle w:val="TextBody"/>
        <w:bidi w:val="0"/>
        <w:spacing w:before="1" w:after="1"/>
        <w:jc w:val="left"/>
        <w:rPr/>
      </w:pPr>
      <w:r>
        <w:rPr/>
      </w:r>
    </w:p>
    <w:p>
      <w:pPr>
        <w:pStyle w:val="TextBody"/>
        <w:bidi w:val="0"/>
        <w:spacing w:lineRule="auto" w:line="26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tbl>
      <w:tblPr>
        <w:tblW w:w="10140" w:type="dxa"/>
        <w:jc w:val="left"/>
        <w:tblInd w:w="0" w:type="dxa"/>
        <w:tblLayout w:type="fixed"/>
        <w:tblCellMar>
          <w:top w:w="28" w:type="dxa"/>
          <w:left w:w="28" w:type="dxa"/>
          <w:bottom w:w="28" w:type="dxa"/>
          <w:right w:w="28" w:type="dxa"/>
        </w:tblCellMar>
      </w:tblPr>
      <w:tblGrid>
        <w:gridCol w:w="1064"/>
        <w:gridCol w:w="937"/>
        <w:gridCol w:w="939"/>
        <w:gridCol w:w="109"/>
        <w:gridCol w:w="109"/>
        <w:gridCol w:w="198"/>
        <w:gridCol w:w="198"/>
        <w:gridCol w:w="198"/>
        <w:gridCol w:w="198"/>
        <w:gridCol w:w="198"/>
        <w:gridCol w:w="198"/>
        <w:gridCol w:w="384"/>
        <w:gridCol w:w="1121"/>
        <w:gridCol w:w="198"/>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8"/>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$7.3 million for the year ended December 31, 2025, as compared to $6.9 million for the year ended December 31, 2024. The increase of $0.5 million, or 7.2% is consistent with our focus on continued innovation. Research and development expenses as a percentage of revenue increased 0.2% as compared to the year ended December 31, 2024.</w:t>
      </w:r>
    </w:p>
    <w:p>
      <w:pPr>
        <w:pStyle w:val="TextBody"/>
        <w:bidi w:val="0"/>
        <w:spacing w:before="1" w:after="1"/>
        <w:ind w:left="0" w:right="0" w:firstLine="720"/>
        <w:jc w:val="left"/>
        <w:rPr/>
      </w:pPr>
      <w:r>
        <w:rPr/>
      </w:r>
    </w:p>
    <w:p>
      <w:pPr>
        <w:pStyle w:val="TextBody"/>
        <w:bidi w:val="0"/>
        <w:spacing w:before="1" w:after="1"/>
        <w:ind w:left="0" w:right="0" w:firstLine="720"/>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tbl>
      <w:tblPr>
        <w:tblW w:w="10205" w:type="dxa"/>
        <w:jc w:val="left"/>
        <w:tblInd w:w="0" w:type="dxa"/>
        <w:tblLayout w:type="fixed"/>
        <w:tblCellMar>
          <w:top w:w="28" w:type="dxa"/>
          <w:left w:w="28" w:type="dxa"/>
          <w:bottom w:w="28" w:type="dxa"/>
          <w:right w:w="28" w:type="dxa"/>
        </w:tblCellMar>
      </w:tblPr>
      <w:tblGrid>
        <w:gridCol w:w="1201"/>
        <w:gridCol w:w="1058"/>
        <w:gridCol w:w="1060"/>
        <w:gridCol w:w="109"/>
        <w:gridCol w:w="109"/>
        <w:gridCol w:w="574"/>
        <w:gridCol w:w="574"/>
        <w:gridCol w:w="574"/>
        <w:gridCol w:w="574"/>
        <w:gridCol w:w="576"/>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57"/>
      </w:tblGrid>
      <w:tr>
        <w:trPr/>
        <w:tc>
          <w:tcPr>
            <w:tcW w:w="120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3687" w:type="dxa"/>
            <w:gridSpan w:val="18"/>
            <w:tcBorders/>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 was net income of $3.0 million for the year ended December 31, 2025, as compared to net expense of $0.3 million for the year ended December 31, 2024. The increase of $2.7 million primarily relates to interest income earned on our money market account.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$89.6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consolidated financial statements. We will need to generate sufficient cash from operations or may need to raise additional capital to meet our long-term working capital and capital expenditure needs in the future. We also have availability under our 2023 Credit Facility, which was not drawn as of December 31,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consolidated statements of comprehensive loss. For the year ended December 31, 2025, the commitment fee incurred was immaterial. As of December 31, 2025, there were $1.5 million outstanding letters of credit and $31.6 million available to be drawn upon. As of December 31, 2025, there was no outstanding balance under the 2023 Credit Facility.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2025,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8, "Credit Facilities," included in the consolidated financial statements included elsewhere in this Annual Report on Form 10-K for more information on the 2023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6400" w:type="dxa"/>
        <w:jc w:val="left"/>
        <w:tblInd w:w="0" w:type="dxa"/>
        <w:tblLayout w:type="fixed"/>
        <w:tblCellMar>
          <w:top w:w="28" w:type="dxa"/>
          <w:left w:w="28" w:type="dxa"/>
          <w:bottom w:w="28" w:type="dxa"/>
          <w:right w:w="28" w:type="dxa"/>
        </w:tblCellMar>
      </w:tblPr>
      <w:tblGrid>
        <w:gridCol w:w="1254"/>
        <w:gridCol w:w="1104"/>
        <w:gridCol w:w="1106"/>
        <w:gridCol w:w="252"/>
        <w:gridCol w:w="864"/>
        <w:gridCol w:w="130"/>
        <w:gridCol w:w="130"/>
        <w:gridCol w:w="130"/>
        <w:gridCol w:w="130"/>
        <w:gridCol w:w="252"/>
        <w:gridCol w:w="864"/>
        <w:gridCol w:w="18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from the sales of our products to our consumers and customers. Our primary uses of cash from operating activities are for cost of revenue, selling, general and administrative expenses, marketing expenses and research and development expenses.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$15.1 million for the year ended December 31, 2025 was primarily due to non-cash adjustments of $45.0 million, offset by a net decrease in cash related to changes in operating assets and liabilities of $14.2 million and a net loss of $15.7 million. Non-cash adjustments primarily consisted of the discrete apparel inventory write-down of $15.9 million, stock-based compensation of $10.5 million, amortization of operating Right-Of-Use (“ROU”) assets of $6.6 million, depreciation and amortization of $2.9 million, and $2.9 million of asset impairments related to fixed assets and technology taken out of service and accelerated depreciation for assets retired prior to their useful life in connection with Powering Honest Growth. Changes in cash flows related to operating assets and liabilities primarily consisted of a $11.2 million decrease in accounts payable and accrued expenses due to timing of payments, a $8.9 million use of cash due to operating lease obligations, a $7.5 million increase in inventory and a $0.4 million decrease in deferred revenue, partially offset by a $10.2 million decrease in accounts receivable and a $3.6 million decrease in prepaid expenses and other assets due to timing of payments.</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$1.5 million for the year ended December 31, 2024 was primarily due to non-cash adjustments of $25.7 million, offset by a net decrease in cash related to changes in operating assets and liabilities of $18.0 million and a net loss of $6.1 million. Non-cash adjustments primarily consisted of stock-based compensation of $15.7 million, amortization of operating ROU assets of $6.4 million and depreciation and amortization of $2.8 million. Changes in cash flows related to operating assets and liabilities primarily consisted of a $10.9 million increase in inventory, a $8.1 million use of cash due to operating lease obligations, a $1.4 million increase in prepaid expenses and other assets due to timing of payments and a $1.0 million increase in deferred revenue, offset by a $3.8 million increase in accounts payable and accrued expenses due to timing of payments and a $0.4 million increase in accounts receivable.</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investing cash is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$1.5 million for the year ended December 31, 2025 was due to the purchase of property and equipment.</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$0.5 million for the year ended December 31, 2024 was due to the purchase of property and equipment.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$0.5 million for the year ended December 31, 2025 primarily consisted of proceeds from the exercise of stock options and proceeds from the 2021 Employee Stock Purchase Plan (“2021 ESPP”).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$41.6 million for the year ended December 31, 2024 primarily consisted of proceeds from the exercise of stock options and proceeds from the 2021 Employee Stock Purchase Plan (“2021 ESPP”), partially offset by principal payments of financing lease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Share Repurchase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On February 20, 2026, the Company’s Board of Directors approved the Company’s first share repurchase program for up to $25.0 million of its outstanding common stock. Under the program, share repurchases may be made at the Company’s discretion from time to time in open market transactions or privately negotiated transactions, or by other means, including through Rule 10b5-1 trading plans. The timing and number of shares repurchased under the new program will depend on a variety of factors, including, without limitation, stock price, trading volume, and general business and market conditions. The repurchase program does not obligate the Company to purchase any shares, has no expiration date and may be modified, suspended or terminated at any time. The Company expects to fund repurchases with a combination of existing cash and cash equivalents and cash flows from operations.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and present our consolidated financial statements in accordance with GAAP. However, management believes that Organic Revenue and Adjusted EBITDA, which are non-GAAP financial measures, provide investors with additional useful information in evaluating our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Organic Revenue as net revenue, adjusted to exclude revenue from exited operations in connection with Powering Honest Growth including: (1) product revenue from our apparel line; (2) revenue from our Honest.com website as a fulfillment center; (3) revenue from sales to Canadian retailers or channels and (4) in certain periods, revenue from other acquisitions, divestitures and product or channel exits.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executive officer transition expenses; and (7) restructuring-related expenses in connection with Powering Honest Growth.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Revenue and Adjusted EBITDA are financial measures that are not required by, or presented in accordance with GAAP. We believe that Organic Revenue and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Organic Revenue and Adjusted EBITDA are helpful to our investors as they are measures used by management in assessing the health of our business, determining incentive compensation and evaluating our operating performance, as well as for internal planning and forecasting purposes. Additionally, we believe Organic Revenue is helpful to our investors as it adjusts for revenue sources that we exited in connection with Powering Honest Growth.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and Organic Revenue may not be comparable to similarly titled measures of other companies because they may not calculate Adjusted EBITDA in the same manner, limiting its usefulness as a comparative measure. Because of these limitations, when evaluating our performance, you should consider Organic Revenue and Adjusted EBITDA alongside other financial measures, including our revenue, net income (loss) and other results stated in accordance with GAAP.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revenue, the most directly comparable financial measure stated in accordance with GAAP, to Organic Revenue, for each of the periods presented: </w:t>
      </w:r>
    </w:p>
    <w:tbl>
      <w:tblPr>
        <w:tblW w:w="6986" w:type="dxa"/>
        <w:jc w:val="left"/>
        <w:tblInd w:w="0" w:type="dxa"/>
        <w:tblLayout w:type="fixed"/>
        <w:tblCellMar>
          <w:top w:w="28" w:type="dxa"/>
          <w:left w:w="28" w:type="dxa"/>
          <w:bottom w:w="28" w:type="dxa"/>
          <w:right w:w="28" w:type="dxa"/>
        </w:tblCellMar>
      </w:tblPr>
      <w:tblGrid>
        <w:gridCol w:w="1466"/>
        <w:gridCol w:w="1289"/>
        <w:gridCol w:w="1295"/>
        <w:gridCol w:w="232"/>
        <w:gridCol w:w="911"/>
        <w:gridCol w:w="120"/>
        <w:gridCol w:w="120"/>
        <w:gridCol w:w="120"/>
        <w:gridCol w:w="120"/>
        <w:gridCol w:w="232"/>
        <w:gridCol w:w="911"/>
        <w:gridCol w:w="170"/>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 to Organic Revenue</w:t>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378,340 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revenue from:</w:t>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Apparel</w:t>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Honest.com</w:t>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48,558 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294,145 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279,268 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loss, the most directly comparable financial measure stated in accordance with GAAP, to Adjusted EBITDA, for each of the periods presented: </w:t>
      </w:r>
    </w:p>
    <w:p>
      <w:pPr>
        <w:pStyle w:val="TextBody"/>
        <w:bidi w:val="0"/>
        <w:spacing w:before="1" w:after="1"/>
        <w:jc w:val="left"/>
        <w:rPr/>
      </w:pPr>
      <w:r>
        <w:rPr/>
      </w:r>
    </w:p>
    <w:p>
      <w:pPr>
        <w:pStyle w:val="TextBody"/>
        <w:bidi w:val="0"/>
        <w:spacing w:before="0" w:after="0"/>
        <w:jc w:val="left"/>
        <w:rPr/>
      </w:pPr>
      <w:r>
        <w:rPr/>
      </w:r>
    </w:p>
    <w:tbl>
      <w:tblPr>
        <w:tblW w:w="9452" w:type="dxa"/>
        <w:jc w:val="left"/>
        <w:tblInd w:w="0" w:type="dxa"/>
        <w:tblLayout w:type="fixed"/>
        <w:tblCellMar>
          <w:top w:w="28" w:type="dxa"/>
          <w:left w:w="28" w:type="dxa"/>
          <w:bottom w:w="28" w:type="dxa"/>
          <w:right w:w="28" w:type="dxa"/>
        </w:tblCellMar>
      </w:tblPr>
      <w:tblGrid>
        <w:gridCol w:w="1704"/>
        <w:gridCol w:w="1499"/>
        <w:gridCol w:w="1506"/>
        <w:gridCol w:w="109"/>
        <w:gridCol w:w="109"/>
        <w:gridCol w:w="236"/>
        <w:gridCol w:w="236"/>
        <w:gridCol w:w="458"/>
        <w:gridCol w:w="1728"/>
        <w:gridCol w:w="236"/>
        <w:gridCol w:w="109"/>
        <w:gridCol w:w="109"/>
        <w:gridCol w:w="109"/>
        <w:gridCol w:w="211"/>
        <w:gridCol w:w="721"/>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Net Loss to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litigation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officer transition expense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Restructuring-related costs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related to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For the year ended December 31, 2025, this includes separation, bonus and recruiting costs related to our Chief Financial Officer transition. For the year ended December 31, 2024, this includes separation costs related to the exit of our former founder and Chief Creative Officer.</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See Note 15 “Restructuring” in our consolidated financial statements included elsewhere in this Annual Report on Form 10-K for items included in restructuring-related costs.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1" w:after="1"/>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We lease warehouse and office facilities under operating lease agreements.</w:t>
      </w:r>
      <w:r>
        <w:rPr>
          <w:color w:val="000000"/>
        </w:rPr>
        <w:t xml:space="preserve"> </w:t>
      </w:r>
      <w:r>
        <w:rPr>
          <w:rFonts w:ascii="Times New Roman;serif" w:hAnsi="Times New Roman;serif"/>
          <w:b w:val="false"/>
          <w:color w:val="231F20"/>
          <w:sz w:val="20"/>
        </w:rPr>
        <w:t>We have unconditional purchase commitments for software service subscriptions, advertising services and certain other services. S</w:t>
      </w:r>
      <w:r>
        <w:rPr>
          <w:rFonts w:ascii="Times New Roman;serif" w:hAnsi="Times New Roman;serif"/>
          <w:b w:val="false"/>
          <w:color w:val="000000"/>
          <w:sz w:val="20"/>
        </w:rPr>
        <w:t>ee Note 10, “Commitments and Contingencies,” to the consolidated financial statements included elsewhere in this Annual Report on Form 10-K for more information on our purchase obligations.</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to the consolidated financial statements included elsewhere in this Annual Report on Form 10-K for a discussion of recently issued accounting pronouncements not yet adopted and recently adopted accounting pronouncements.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Critical Accounting Estimates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to the consolidated financial statements included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We generate revenue through the sale of our products to retailers and third-party ecommerce customers, who resell the Company’s products through traditional brick and mortar retailers, who may also resell the Company’s products through their own online platforms. Effective December 31, 2025, we no longer sell direct-to-consumer through the Company’s website. Our revenue is recognized net of allowances for returns, discounts, credits and any taxes collected from customers. We account for revenue contracts with customers by applying the following steps in accordance with Accounting Standard Codification, or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Identification of the contract, or contracts, with a customer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Identification of the performance obligations in the contract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Determination of the transaction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Allocation of the transaction price to the performance obligations in the contract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Recognition of revenue when, or as, we satisfy a performance obligation</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elected an accounting policy to record all shipping and handling costs as fulfillment costs. We accrue the cost of shipping and handling and recognize revenue and costs at the point in time that control of the goods transfers to the customer. In addition, the Company adopted the practical expedient to exclude from the transaction price all amounts collected from direct-to-consumer customers for sales and other taxes.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Retail and Third-Party Ecommerce</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our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we have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Direct-to-Consumer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we no longer sell direct-to-consumer through the Company’s website. For direct sales to the consumer through our website prior to December 31, 2025, our performance obligation consisted of the sale of finished goods to the consumer. Consumers could purchase products at any time or enter into subscription arrangements. Consumers placed orders online in accordance with our standard terms and conditions and authorized payment when the order is placed. Credit cards were charged at the time of shipment. For subscription arrangements, consumers signed up to receive products on a periodic basis. Subscriptions were cancellable at any time without penalty, and no amounts were collected from the consumer until products were shipped. Revenue was recognized when transfer of control to the consumer took place, which is when the product was delivered to the carrier. Sales taxes collected from consumers were accounted for on a net basis and were excluded from revenue.</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Consumers could also purchase gift cards, which were recorded as deferred revenue at the time of purchase. We recognized revenue when these gift cards were redeemed for products and the revenue recognition criteria as described above have been met.</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December 31, 2025, we no longer offer gift card purchases on our website. As such, as of December 31, 2025, the Company accrued for the reimbursement of gift cards to consumers and wrote-off $1.1 million of deferred revenue related to direct-to-consumer gift card purchases.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Sales Returns and Allowances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retail and third-party ecommerce customers typically do not have the right of return; therefore, no estimate is made for sale returns. Prior to December 31, 2025, we recorded returns as incurred for direct-to-consumer customers, as the amount has historically been immaterial. Any sales returns allowance is recorded as a reduction in revenue. As part of exiting Honest.com as a fulfillment center, all direct-to-consumer sales were final as of December 31, 2025, with no right of return.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(and prior to December 31, 2025, for direct-to-consumer sales), we offer credits in the form of discounts, which are recorded as reductions in revenue and are allocated to products on a relative basis based on their respective standalone selling price.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retail and third-party ecommerce sales, we routinely commit to one-time or ongoing sales incentive programs that may require us to estimate and accrue the expected costs of such programs, including trade promotion activities and contractual allowances. We record these programs as a reduction to revenue unless we receive a distinct benefit in exchange for credits claimed by the customer and can reasonably estimate the fair value of the benefit received, in which case we record the programs as marketing expense. We recognize a liability or a reduction to accounts receivable, and reduce revenue based on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amount of credits that will be claimed by customers. An allowance is recorded as a reduction to accounts receivable if the customer can deduct the program amount from the outstanding invoice.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Estimates for these sales incentive programs are developed using the most likely amount and are included in the transaction price to the extent that a significant reversal of revenue would not result once the uncertainty is resolved. In developing our estimate, we use historical analysis and contractual rates in determining the accruals for these activities. Also, we consider the susceptibility of the incentive to outside influences, the length of time until the uncertainty is resolved, and our experience with similar contracts. Judgment is required to determine the timing and amount of recognition of sales incentive program accruals which we estimate based on past practice with similar arrangements.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Inventories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finished goods and are stated at the lower of cost or estimated net realizable value. Cost is computed based on weighted-average historical costs. We allocate certain overhead costs to the carrying value of our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Stock-Based Compensation</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stock-based compensation expense for employees and non-employees based on the grant-date fair value of stock awards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of stock-based compensation cost is inherently uncertain and subjective and involves the application of valuation models and assumptions requiring the use of judgment. If factors change and different assumptions are used, stock-based compensation expense and net losses could be significantly different.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Income Taxes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on deferred tax assets when it is determined that it is more likely than not that some portion or all of the net deferred tax assets will not be realized.</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income tax matters in income tax expense.</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We will no longer qualify as an emerging growth company as of December 31, 2026, or earlier if certain conditions exist.</w:t>
      </w:r>
    </w:p>
    <w:p>
      <w:pPr>
        <w:pStyle w:val="TextBody"/>
        <w:bidi w:val="0"/>
        <w:spacing w:before="1" w:after="1"/>
        <w:jc w:val="left"/>
        <w:rPr/>
      </w:pPr>
      <w:r>
        <w:rPr/>
      </w:r>
    </w:p>
    <w:p>
      <w:pPr>
        <w:pStyle w:val="TextBody"/>
        <w:bidi w:val="0"/>
        <w:spacing w:before="1" w:after="1"/>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ind w:left="0" w:right="0" w:hanging="72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 rules and regulations, as a smaller reporting company, we are not required to provide the information required by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Index to Financial Statements</w:t>
      </w:r>
    </w:p>
    <w:p>
      <w:pPr>
        <w:pStyle w:val="TextBody"/>
        <w:bidi w:val="0"/>
        <w:spacing w:before="0" w:after="0"/>
        <w:jc w:val="left"/>
        <w:rPr/>
      </w:pPr>
      <w:r>
        <w:rPr/>
      </w:r>
    </w:p>
    <w:tbl>
      <w:tblPr>
        <w:tblW w:w="6930" w:type="dxa"/>
        <w:jc w:val="left"/>
        <w:tblInd w:w="0" w:type="dxa"/>
        <w:tblLayout w:type="fixed"/>
        <w:tblCellMar>
          <w:top w:w="28" w:type="dxa"/>
          <w:left w:w="28" w:type="dxa"/>
          <w:bottom w:w="28" w:type="dxa"/>
          <w:right w:w="28" w:type="dxa"/>
        </w:tblCellMar>
      </w:tblPr>
      <w:tblGrid>
        <w:gridCol w:w="2286"/>
        <w:gridCol w:w="2009"/>
        <w:gridCol w:w="2020"/>
        <w:gridCol w:w="180"/>
        <w:gridCol w:w="180"/>
        <w:gridCol w:w="255"/>
      </w:tblGrid>
      <w:tr>
        <w:trPr/>
        <w:tc>
          <w:tcPr>
            <w:tcW w:w="22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58">
              <w:r>
                <w:rPr>
                  <w:rStyle w:val="InternetLink"/>
                  <w:rFonts w:ascii="Times New Roman;serif" w:hAnsi="Times New Roman;serif"/>
                  <w:b w:val="false"/>
                  <w:color w:val="000000"/>
                  <w:sz w:val="20"/>
                  <w:u w:val="single"/>
                </w:rPr>
                <w:t xml:space="preserve">Report of Independent Registered Public Accounting Firm (PCAOB ID </w:t>
              </w:r>
            </w:hyperlink>
            <w:r>
              <w:rPr>
                <w:rFonts w:ascii="Times New Roman;serif" w:hAnsi="Times New Roman;serif"/>
                <w:b w:val="false"/>
                <w:color w:val="000000"/>
                <w:sz w:val="20"/>
              </w:rPr>
              <w:t xml:space="preserve">238) </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58">
              <w:r>
                <w:rPr>
                  <w:rStyle w:val="InternetLink"/>
                  <w:rFonts w:ascii="Times New Roman;serif" w:hAnsi="Times New Roman;serif"/>
                  <w:b w:val="false"/>
                  <w:color w:val="000000"/>
                  <w:sz w:val="20"/>
                  <w:u w:val="single"/>
                </w:rPr>
                <w:t>66</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61">
              <w:r>
                <w:rPr>
                  <w:rStyle w:val="InternetLink"/>
                  <w:rFonts w:ascii="Times New Roman;serif" w:hAnsi="Times New Roman;serif"/>
                  <w:b w:val="false"/>
                  <w:color w:val="000000"/>
                  <w:sz w:val="20"/>
                  <w:u w:val="single"/>
                </w:rPr>
                <w:t xml:space="preserve">Consolidated Balance Sheets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61">
              <w:r>
                <w:rPr>
                  <w:rStyle w:val="InternetLink"/>
                  <w:rFonts w:ascii="Times New Roman;serif" w:hAnsi="Times New Roman;serif"/>
                  <w:b w:val="false"/>
                  <w:color w:val="000000"/>
                  <w:sz w:val="20"/>
                  <w:u w:val="single"/>
                </w:rPr>
                <w:t>67</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64">
              <w:r>
                <w:rPr>
                  <w:rStyle w:val="InternetLink"/>
                  <w:rFonts w:ascii="Times New Roman;serif" w:hAnsi="Times New Roman;serif"/>
                  <w:b w:val="false"/>
                  <w:color w:val="000000"/>
                  <w:sz w:val="20"/>
                  <w:u w:val="single"/>
                </w:rPr>
                <w:t>Consolidated Statements of Comprehensive Loss</w:t>
              </w:r>
            </w:hyperlink>
            <w:r>
              <w:rPr>
                <w:color w:val="000000"/>
              </w:rPr>
              <w:t xml:space="preserve"> </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64">
              <w:r>
                <w:rPr>
                  <w:rStyle w:val="InternetLink"/>
                  <w:rFonts w:ascii="Times New Roman;serif" w:hAnsi="Times New Roman;serif"/>
                  <w:b w:val="false"/>
                  <w:color w:val="000000"/>
                  <w:sz w:val="20"/>
                  <w:u w:val="single"/>
                </w:rPr>
                <w:t>68</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67">
              <w:r>
                <w:rPr>
                  <w:rStyle w:val="InternetLink"/>
                  <w:rFonts w:ascii="Times New Roman;serif" w:hAnsi="Times New Roman;serif"/>
                  <w:b w:val="false"/>
                  <w:color w:val="000000"/>
                  <w:sz w:val="20"/>
                  <w:u w:val="single"/>
                </w:rPr>
                <w:t>Consolidated Statements of Stockholders’ Equity</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67">
              <w:r>
                <w:rPr>
                  <w:rStyle w:val="InternetLink"/>
                  <w:rFonts w:ascii="Times New Roman;serif" w:hAnsi="Times New Roman;serif"/>
                  <w:b w:val="false"/>
                  <w:color w:val="000000"/>
                  <w:sz w:val="20"/>
                  <w:u w:val="single"/>
                </w:rPr>
                <w:t>69</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70">
              <w:r>
                <w:rPr>
                  <w:rStyle w:val="InternetLink"/>
                  <w:rFonts w:ascii="Times New Roman;serif" w:hAnsi="Times New Roman;serif"/>
                  <w:b w:val="false"/>
                  <w:color w:val="000000"/>
                  <w:sz w:val="20"/>
                  <w:u w:val="single"/>
                </w:rPr>
                <w:t xml:space="preserve">Consolidated Statements of Cash Flows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70">
              <w:r>
                <w:rPr>
                  <w:rStyle w:val="InternetLink"/>
                  <w:rFonts w:ascii="Times New Roman;serif" w:hAnsi="Times New Roman;serif"/>
                  <w:b w:val="false"/>
                  <w:color w:val="000000"/>
                  <w:sz w:val="20"/>
                  <w:u w:val="single"/>
                </w:rPr>
                <w:t>70</w:t>
              </w:r>
            </w:hyperlink>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73">
              <w:r>
                <w:rPr>
                  <w:rStyle w:val="InternetLink"/>
                  <w:rFonts w:ascii="Times New Roman;serif" w:hAnsi="Times New Roman;serif"/>
                  <w:b w:val="false"/>
                  <w:color w:val="000000"/>
                  <w:sz w:val="20"/>
                  <w:u w:val="single"/>
                </w:rPr>
                <w:t>Notes to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18ad6685c2b40a8a9210ef03e954439_73">
              <w:r>
                <w:rPr>
                  <w:rStyle w:val="InternetLink"/>
                  <w:rFonts w:ascii="Times New Roman;serif" w:hAnsi="Times New Roman;serif"/>
                  <w:b w:val="false"/>
                  <w:color w:val="000000"/>
                  <w:sz w:val="20"/>
                  <w:u w:val="single"/>
                </w:rPr>
                <w:t>71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The Honest Company,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The Honest Company, Inc. and its subsidiaries (the "Company") as of December 31, 2025 and 2024, and the related consolidated statements of comprehensive loss, of stockholders’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68" w:before="0" w:after="0"/>
        <w:ind w:left="0" w:right="0" w:firstLine="10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California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88"/>
        <w:gridCol w:w="2247"/>
        <w:gridCol w:w="2181"/>
        <w:gridCol w:w="249"/>
        <w:gridCol w:w="979"/>
        <w:gridCol w:w="129"/>
        <w:gridCol w:w="109"/>
        <w:gridCol w:w="109"/>
        <w:gridCol w:w="109"/>
        <w:gridCol w:w="248"/>
        <w:gridCol w:w="973"/>
        <w:gridCol w:w="184"/>
      </w:tblGrid>
      <w:tr>
        <w:trPr/>
        <w:tc>
          <w:tcPr>
            <w:tcW w:w="268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85,266 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202,433 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213,918 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73,086 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Commitments and contingencies (Note </w:t>
            </w:r>
            <w:r>
              <w:rPr>
                <w:rFonts w:ascii="Times New Roman;serif" w:hAnsi="Times New Roman;serif"/>
                <w:b w:val="false"/>
                <w:color w:val="000000"/>
                <w:sz w:val="22"/>
              </w:rPr>
              <w:t>10</w:t>
            </w:r>
            <w:r>
              <w:rPr>
                <w:rFonts w:ascii="Times New Roman;serif" w:hAnsi="Times New Roman;serif"/>
                <w:b w:val="false"/>
                <w:color w:val="000000"/>
                <w:sz w:val="20"/>
              </w:rPr>
              <w:t>)</w:t>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December 31, 2025 and 2024, none issued or outstanding as of December 31, 2025 and 2024</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December 31, 2025 and 2024; 112,809,637 and 109,159,697 shares issued and outstanding as of December 31, 2025 and 2024, respectively</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67"/>
        <w:gridCol w:w="1633"/>
        <w:gridCol w:w="1581"/>
        <w:gridCol w:w="109"/>
        <w:gridCol w:w="109"/>
        <w:gridCol w:w="110"/>
        <w:gridCol w:w="110"/>
        <w:gridCol w:w="241"/>
        <w:gridCol w:w="945"/>
        <w:gridCol w:w="110"/>
        <w:gridCol w:w="110"/>
        <w:gridCol w:w="110"/>
        <w:gridCol w:w="110"/>
        <w:gridCol w:w="241"/>
        <w:gridCol w:w="945"/>
        <w:gridCol w:w="110"/>
        <w:gridCol w:w="109"/>
        <w:gridCol w:w="109"/>
        <w:gridCol w:w="109"/>
        <w:gridCol w:w="219"/>
        <w:gridCol w:w="862"/>
        <w:gridCol w:w="156"/>
      </w:tblGrid>
      <w:tr>
        <w:trPr/>
        <w:tc>
          <w:tcPr>
            <w:tcW w:w="20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564" w:type="dxa"/>
            <w:gridSpan w:val="6"/>
            <w:tcBorders/>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378,340 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99,044 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142,216 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150,988 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(18,461)</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(38,909)</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(15,482)</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loss per share attributable to common stockholders: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111,209,322 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100,245,394 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94,516,690 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(39,206)</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tbl>
      <w:tblPr>
        <w:tblW w:w="11645" w:type="dxa"/>
        <w:jc w:val="center"/>
        <w:tblInd w:w="0" w:type="dxa"/>
        <w:tblLayout w:type="fixed"/>
        <w:tblCellMar>
          <w:top w:w="28" w:type="dxa"/>
          <w:left w:w="28" w:type="dxa"/>
          <w:bottom w:w="28" w:type="dxa"/>
          <w:right w:w="28" w:type="dxa"/>
        </w:tblCellMar>
      </w:tblPr>
      <w:tblGrid>
        <w:gridCol w:w="728"/>
        <w:gridCol w:w="311"/>
        <w:gridCol w:w="312"/>
        <w:gridCol w:w="109"/>
        <w:gridCol w:w="109"/>
        <w:gridCol w:w="109"/>
        <w:gridCol w:w="177"/>
        <w:gridCol w:w="177"/>
        <w:gridCol w:w="682"/>
        <w:gridCol w:w="504"/>
        <w:gridCol w:w="178"/>
        <w:gridCol w:w="109"/>
        <w:gridCol w:w="109"/>
        <w:gridCol w:w="109"/>
        <w:gridCol w:w="311"/>
        <w:gridCol w:w="533"/>
        <w:gridCol w:w="162"/>
        <w:gridCol w:w="280"/>
        <w:gridCol w:w="280"/>
        <w:gridCol w:w="281"/>
        <w:gridCol w:w="223"/>
        <w:gridCol w:w="876"/>
        <w:gridCol w:w="117"/>
        <w:gridCol w:w="109"/>
        <w:gridCol w:w="109"/>
        <w:gridCol w:w="109"/>
        <w:gridCol w:w="259"/>
        <w:gridCol w:w="1032"/>
        <w:gridCol w:w="135"/>
        <w:gridCol w:w="109"/>
        <w:gridCol w:w="109"/>
        <w:gridCol w:w="109"/>
        <w:gridCol w:w="366"/>
        <w:gridCol w:w="705"/>
        <w:gridCol w:w="190"/>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Stockholders' Equity </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92,907,351 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586,213 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(439,830)</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146,360 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2,831,801 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2021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95,868,421 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602,198 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(479,068)</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8,007,999 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5,187,447 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2021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95,830 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109,159,697 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3,527,358 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2021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112,809,637 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63"/>
        <w:gridCol w:w="1980"/>
        <w:gridCol w:w="1994"/>
        <w:gridCol w:w="211"/>
        <w:gridCol w:w="793"/>
        <w:gridCol w:w="109"/>
        <w:gridCol w:w="109"/>
        <w:gridCol w:w="109"/>
        <w:gridCol w:w="109"/>
        <w:gridCol w:w="211"/>
        <w:gridCol w:w="721"/>
        <w:gridCol w:w="109"/>
        <w:gridCol w:w="109"/>
        <w:gridCol w:w="109"/>
        <w:gridCol w:w="109"/>
        <w:gridCol w:w="211"/>
        <w:gridCol w:w="793"/>
        <w:gridCol w:w="156"/>
      </w:tblGrid>
      <w:tr>
        <w:trPr/>
        <w:tc>
          <w:tcPr>
            <w:tcW w:w="226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impairment</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ROU assets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Apparel inventory write-down</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long-term liabilities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in) provided by investing activities</w:t>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2021 ESPP</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 percentages and as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Company, Inc. (the “Company” or “Honest”) was incorporated in the State of California on July 19, 2011 and on May 23, 2012 was re-incorporated in the State of Delaware under the same name. The Company is a personal care company dedicated to creating cleanly-formulated and sustainably-designed products for everyone from babies to adults. 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accounting principles generally accepted in the United States (“GAAP”). The consolidated financial statements include the accounts of the Company, and its wholly owned subsidiaries after elimination of intercompany transactions and balances. Certain reclassifications to the Company's previously reported financial information have been made to conform to the current period presentation.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Restructuring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restructuring costs in connection with the Transformation 2.0: Powering Honest Growth ("Powering Honest Growth"). Powering Honest Growth is aimed at improving simplicity, focus and profitability, which includes exiting certain lower margin, non-strategic categories and channels, including exiting Honest.com fulfillment and apparel, as well as exiting retail and online stores in Canada, optimizing the Company's cost structure by rightsizing selling, general and administrative expenses and implementing supply chain efficiencies. Such costs include employee termination benefits (one-time arrangements), termination of contractual obligations, non-cash asset charges, primarily including technology taken out of service, and other direct incremental costs. The Company recorded employee termination liabilities once the Company committed to a plan and communicated such terminations to employees. Other costs associated with a restructuring initiative, such as consulting and professional fees, product or geographical exit costs, are recognized in the period in which the liability is incurred. Accrued restructuring costs as of December 31, 2025 are recorded within Accrued Expenses in the consolidated balance sheets. Refer to Note 15, "Restructuring" included in these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The Company evaluates performance based on consolidated net income (loss) to monitor budget versus actual results and period-over-period comparisons.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prior to December 31, 2025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regularly provide the CODM with more detailed segment expense information beyond what is included in the consolidated statements of comprehensive loss). The significant expense categories which are used to manage operations are those reflected in the Company's consolidated statements of comprehensive loss. Refer to the consolidated statements of comprehensive loss included in the consolidated financial statements included elsewhere in this Annual Report on Form 10-K.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long-lived assets are located in the United States and substantially all of the Company’s revenue is from customers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GAAP requires management to make estimates and assumptions that affect the reported amounts of assets and liabilities, the disclosure of contingent assets and contingent liabilities at the date of the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assessed certain accounting matters and estimates that generally require consideration of forecasted information in context with the information reasonably available to the Company as of December 31, 2025 and through the date these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Investments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consists of highly liquid investments in debt securities. Investments comprises commercial paper, certificates of deposit, corporate bonds and U.S. government and agency securities, which are classified as available-for-sale investments. The Company includes its available-for-sale investments in current assets because the securities represent investments of cash available for current operations. Available-for-sale investments are recorded at fair value, which is based on quoted market prices for such securities, if available, or is estimated on the basis of quoted market prices of financial instruments with similar characteristics. Unrealized holding gains and losses are excluded from earnings and are reported as a component of comprehensive income (loss). Realized gains or losses are recorded in interest and other income (expense), net. As of December 31, 2025 and 2024, the Company did not hold any investments.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Concentrations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cash equivalents and accounts receivable. The Company places its cash with high credit quality financial institutions, which typically exceed federally insured limits. The Company invests its excess cash primarily in highly rated money market funds, diversifies its investments and, by policy, invests only in highly rated securities to minimize credit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customers that accounted for 10% or more of total accounts receivable, net, were as follows:</w:t>
      </w:r>
    </w:p>
    <w:p>
      <w:pPr>
        <w:pStyle w:val="TextBody"/>
        <w:bidi w:val="0"/>
        <w:spacing w:before="0" w:after="0"/>
        <w:ind w:left="0" w:right="0" w:firstLine="720"/>
        <w:jc w:val="left"/>
        <w:rPr/>
      </w:pPr>
      <w:r>
        <w:rPr/>
      </w:r>
    </w:p>
    <w:tbl>
      <w:tblPr>
        <w:tblW w:w="2997" w:type="dxa"/>
        <w:jc w:val="left"/>
        <w:tblInd w:w="0" w:type="dxa"/>
        <w:tblLayout w:type="fixed"/>
        <w:tblCellMar>
          <w:top w:w="28" w:type="dxa"/>
          <w:left w:w="28" w:type="dxa"/>
          <w:bottom w:w="28" w:type="dxa"/>
          <w:right w:w="28" w:type="dxa"/>
        </w:tblCellMar>
      </w:tblPr>
      <w:tblGrid>
        <w:gridCol w:w="391"/>
        <w:gridCol w:w="344"/>
        <w:gridCol w:w="345"/>
        <w:gridCol w:w="201"/>
        <w:gridCol w:w="160"/>
        <w:gridCol w:w="355"/>
        <w:gridCol w:w="142"/>
        <w:gridCol w:w="142"/>
        <w:gridCol w:w="142"/>
        <w:gridCol w:w="201"/>
        <w:gridCol w:w="160"/>
        <w:gridCol w:w="4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customers that accounted for 10% or more of total revenue were as follows:</w:t>
      </w:r>
    </w:p>
    <w:p>
      <w:pPr>
        <w:pStyle w:val="TextBody"/>
        <w:bidi w:val="0"/>
        <w:spacing w:before="0" w:after="0"/>
        <w:jc w:val="left"/>
        <w:rPr/>
      </w:pPr>
      <w:r>
        <w:rPr/>
      </w:r>
    </w:p>
    <w:tbl>
      <w:tblPr>
        <w:tblW w:w="4263" w:type="dxa"/>
        <w:jc w:val="left"/>
        <w:tblInd w:w="0" w:type="dxa"/>
        <w:tblLayout w:type="fixed"/>
        <w:tblCellMar>
          <w:top w:w="28" w:type="dxa"/>
          <w:left w:w="28" w:type="dxa"/>
          <w:bottom w:w="28" w:type="dxa"/>
          <w:right w:w="28" w:type="dxa"/>
        </w:tblCellMar>
      </w:tblPr>
      <w:tblGrid>
        <w:gridCol w:w="391"/>
        <w:gridCol w:w="344"/>
        <w:gridCol w:w="345"/>
        <w:gridCol w:w="206"/>
        <w:gridCol w:w="155"/>
        <w:gridCol w:w="377"/>
        <w:gridCol w:w="151"/>
        <w:gridCol w:w="151"/>
        <w:gridCol w:w="151"/>
        <w:gridCol w:w="206"/>
        <w:gridCol w:w="155"/>
        <w:gridCol w:w="377"/>
        <w:gridCol w:w="151"/>
        <w:gridCol w:w="151"/>
        <w:gridCol w:w="151"/>
        <w:gridCol w:w="206"/>
        <w:gridCol w:w="155"/>
        <w:gridCol w:w="44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currently buys all of its diapers from one supplier. Additionally, the Company currently buys substantially all of its wipes from one supplier. Management believes that other suppliers could provide similar products on reasonable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suppliers, however, could cause a delay in manufacturing and a possible inventory shortage and loss of revenue, which would adversely affect the Company's operations.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The allowance for credit losses was $0.2 million and $0.4 million, respectively, as of December 31, 2025 and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made to consumers through the Company’s Honest.com website are conducted with credit cards, and the Company records its credit card sales in transit as accounts receivable at selling price less applicable deductions. The Company may extend credit in the normal course of business to its third-party ecommerce customers and retailers and performs credit evaluations on a case-by-case basis. The Company does not obtain collateral or other security related to its accounts receivable. The Company will consider, among other factors, write-offs of uncollectible accounts receivable that have a contractual maturity of one year or less if the invoice is six months or older. Effective December 31, 2025, the Company will no longer sell direct-to-consumer through the Company’s website as part of Powering Honest Growth.</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Inventories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finished goods and are stated at the lower of cost or estimated net realizable value. Cost is computed based on weighted average historical costs. The Company allocates certain overhead costs to the carrying value of its finished goods. The carrying value of inventories is reduced for any excess and obsolete inventory. Excess and obsolete inventory 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231F20"/>
          <w:sz w:val="20"/>
        </w:rPr>
        <w:t>Property</w:t>
      </w:r>
      <w:r>
        <w:rPr>
          <w:color w:val="231F20"/>
        </w:rPr>
        <w:t xml:space="preserve"> </w:t>
      </w:r>
      <w:r>
        <w:rPr>
          <w:rFonts w:ascii="Times New Roman;serif" w:hAnsi="Times New Roman;serif"/>
          <w:b/>
          <w:color w:val="231F20"/>
          <w:sz w:val="20"/>
        </w:rPr>
        <w:t>and Equipment, Net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net of accumulated depreciation and amortization. Repairs and maintenance costs are expensed as incurred. When assets are retired or otherwise disposed of, the cost and the related accumulated depreciation are removed from the respective accounts and any resulting gain or loss is reflected in the consolidated statements of comprehensive loss. Depreciation and amortization are recorded using the straight-line method over the estimated useful lives of the assets as follows: </w:t>
      </w:r>
    </w:p>
    <w:p>
      <w:pPr>
        <w:pStyle w:val="TextBody"/>
        <w:bidi w:val="0"/>
        <w:spacing w:before="0" w:after="0"/>
        <w:ind w:left="0" w:right="0" w:firstLine="720"/>
        <w:jc w:val="left"/>
        <w:rPr/>
      </w:pPr>
      <w:r>
        <w:rPr/>
      </w:r>
    </w:p>
    <w:tbl>
      <w:tblPr>
        <w:tblW w:w="9762" w:type="dxa"/>
        <w:jc w:val="left"/>
        <w:tblInd w:w="0" w:type="dxa"/>
        <w:tblLayout w:type="fixed"/>
        <w:tblCellMar>
          <w:top w:w="28" w:type="dxa"/>
          <w:left w:w="28" w:type="dxa"/>
          <w:bottom w:w="28" w:type="dxa"/>
          <w:right w:w="28" w:type="dxa"/>
        </w:tblCellMar>
      </w:tblPr>
      <w:tblGrid>
        <w:gridCol w:w="1575"/>
        <w:gridCol w:w="1383"/>
        <w:gridCol w:w="1392"/>
        <w:gridCol w:w="109"/>
        <w:gridCol w:w="109"/>
        <w:gridCol w:w="109"/>
        <w:gridCol w:w="1486"/>
        <w:gridCol w:w="1486"/>
        <w:gridCol w:w="2113"/>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3-20 years</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website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40 years</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Lesser of the estimated useful life or the remaining lease term</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less than six years. Renewal options that are deemed reasonably certain are included as part of the lease term for purposes of calculating the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As the Company's leases do not contain an implicit interest rate, the Company uses judgment to determine an incremental borrowing rate to use at lease commencement. Operating lease ROU assets and lease liabilities are recorded at the lease commencement date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231F20"/>
          <w:sz w:val="20"/>
        </w:rPr>
        <w:t>Capitalized</w:t>
      </w:r>
      <w:r>
        <w:rPr>
          <w:color w:val="231F20"/>
        </w:rPr>
        <w:t xml:space="preserve"> </w:t>
      </w:r>
      <w:r>
        <w:rPr>
          <w:rFonts w:ascii="Times New Roman;serif" w:hAnsi="Times New Roman;serif"/>
          <w:b/>
          <w:color w:val="231F20"/>
          <w:sz w:val="20"/>
        </w:rPr>
        <w:t>Software</w:t>
      </w:r>
      <w:r>
        <w:rPr>
          <w:color w:val="231F20"/>
        </w:rPr>
        <w:t xml:space="preserve"> </w:t>
      </w:r>
      <w:r>
        <w:rPr>
          <w:rFonts w:ascii="Times New Roman;serif" w:hAnsi="Times New Roman;serif"/>
          <w:b/>
          <w:color w:val="231F20"/>
          <w:sz w:val="20"/>
        </w:rPr>
        <w:t>and Website</w:t>
      </w:r>
      <w:r>
        <w:rPr>
          <w:color w:val="231F20"/>
        </w:rPr>
        <w:t xml:space="preserve"> </w:t>
      </w:r>
      <w:r>
        <w:rPr>
          <w:rFonts w:ascii="Times New Roman;serif" w:hAnsi="Times New Roman;serif"/>
          <w:b/>
          <w:color w:val="231F20"/>
          <w:sz w:val="20"/>
        </w:rPr>
        <w:t>Development</w:t>
      </w:r>
      <w:r>
        <w:rPr>
          <w:color w:val="231F20"/>
        </w:rPr>
        <w:t xml:space="preserve"> </w:t>
      </w:r>
      <w:r>
        <w:rPr>
          <w:rFonts w:ascii="Times New Roman;serif" w:hAnsi="Times New Roman;serif"/>
          <w:b/>
          <w:color w:val="231F20"/>
          <w:sz w:val="20"/>
        </w:rPr>
        <w:t>Costs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Company accounts for its internal-use software costs and website development costs in accordance with ASC No.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xml:space="preserve">, and ASC No. 350-50, </w:t>
      </w:r>
      <w:r>
        <w:rPr>
          <w:rFonts w:ascii="Times New Roman;serif" w:hAnsi="Times New Roman;serif"/>
          <w:b w:val="false"/>
          <w:i/>
          <w:color w:val="000000"/>
          <w:sz w:val="20"/>
        </w:rPr>
        <w:t>Website Development Costs</w:t>
      </w:r>
      <w:r>
        <w:rPr>
          <w:rFonts w:ascii="Times New Roman;serif" w:hAnsi="Times New Roman;serif"/>
          <w:b w:val="false"/>
          <w:color w:val="000000"/>
          <w:sz w:val="20"/>
        </w:rPr>
        <w:t>, respectively. The Company capitalizes costs to purchase and develop its websites and internal-use software and amortizes such costs on a straight-line basis over the estimated useful life of the software once it is available for its intended use. Capitalization of internal-use costs begins when the preliminary project stage is completed, management with the relevant authority authorizes and commits to the funding of the project, and it is probable that the project will be completed and will be used to perform the function intended. Capitalization of these costs ceases once the project is substantially complete and the software is ready for its intended purpose. Capitalized internal-use software and website development costs, including purchased software, are recorded in property and equipment, net in the consolidated balance sheets.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cloud-computing service arrangements, the Company capitalizes implementation costs consistent with internal-use software costs. Such capitalized costs are included within prepaid expenses and other current assets, for the current portion, and other assets, for the noncurrent portion, in the consolidated balance sheets and are expensed on a straight-line basis over the term of the service arrangement as selling, general and administrative expense. Capitalized implementation costs from cloud computing service arrangements were $0.4 million, net of $2.3 million of accumulated amortization as of December 31, 2025 and $0.8 million, net of $3.2 million of accumulated amortization as of December 31, 2024.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Goodwill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legal factors or in the business climate, an adverse action or assessment by a regulator, unanticipated competition, a loss of key personnel, significant changes in the manner in which the Company uses the acquired assets or the strategy for the Company’s overall business, significant industry or economic trends, or significant underperformance relevant to expected historical or projected future results of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is assessed for possible impairment by performing a qualitative analysis to determine if it is more likely than not that the fair value of a reporting unit is less than its carrying amount. If factors indicate that the fair value of the asset is less than its carrying amount, the Company will perform a quantitative test by determining the fair value of the reporting unit. The estimated fair value of the reporting unit is based on a projected discounted cash flow model that includes significant assumptions and estimates, including discount rate, growth rate, and future financial performance. Valuations of similar public companies may also be evaluated when assessing the fair value of the reporting unit. If the carrying value of the reporting unit exceeds the fair value, then an impairment loss is recognized for the difference. The Company tests goodwill for impairment annually at October 31. The Company performed its annual goodwill impairment qualitative and quantitative test as of October 31, 2025 and no impairment was identified.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Intangible Assets, Net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are stated at cost, net of accumulated amortization. Intangible assets consist of tradenames and domain names. Tradenames and domain names are amortized on a straight-line basis, which approximates the pattern in which the economic benefits are consumed, over the estimated useful lives of the assets of 15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Impairment of Long-Lived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assesses the carrying value of its long-lived assets, consisting primarily of property and equipment and intangible assets, when there is evidence that events or changes in circumstances indicate that the carrying value of an asset or group of assets may not be recoverable. Such events or changes in circumstances may include a significant decrease in the market price of a long-lived asset, a significant change in the extent or manner in which an asset is used, a significant change in legal factors or in the business climate, a significant deterioration in the amount of revenue or cash flows expected to be generated from a group of assets, a current expectation that, more likely than not a long-lived asset will be sold or otherwise disposed of significantly before the end of its previously estimated useful life, or any other significant adverse change that would indicate that the carrying value of an asset or group of assets may not be recoverable.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Income Taxes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valuation allowance is recorded on deferred tax assets when it is determined that it is more likely than not that some portion or all of the net deferred tax assets will not be realized.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in income tax expense.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Foreign Currency Transactions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foreign currency gains or losses in interest and other income (expense), net in the consolidated statements of comprehensive loss, related to transactions denominated in currencies other than the U.S. dollar. During the years ended December 31, 2025, 2024 and 2023, realized and unrealized foreign currency losses, net were immaterial.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 xml:space="preserve">Contingent Liabilities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potential loss contingency is considered probable, and the amount can be reasonably estimated, the Company accrues a liability for an estimated loss. If the reasonable estimate of the loss is a range and no amount within the range is a better estimate, the minimum amount of the range is recorded as a liability.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are expensed as incurred.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Stock-Based Compensation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stock-based compensation expense for employees and non-employees based on the grant-date fair value of the stock award over the applicable service period. For awards that vest based on continued service, stock-based compensation cost is recognized on a straight-line basis over the requisite service period, which is generally the vesting period of the awards.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 awards that contain service, performance or a combination of both vesting conditions, the grant date fair value is estimated based on the fair value of the underlying shares on grant date while the Black-Scholes option-pricing model is used to estimate the grant date fair value of stock option awards. For stock option awards with performance vesting conditions, stock-based compensation cost is recognized on a graded vesting basis over the requisite service period when it is probable the performance condition will be achieved.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 awards that contain service, performance and market vesting conditions, or a change in control event, the performance condition is not probable of being achieved for accounting purposes until the event occurs. Thereafter, stock-based compensation expense is recognized when the event occurs even if the market condition was not or is not achieved, provided the employee continues to satisfy the service condition.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granted stock options since the initial public offering ("IPO"), and for the stock options that were granted pre-IPO the below assumptions were used. The Monte Carlo simulation model is used to estimate the fair value of stock options that have market vesting conditions. Determining the fair value of stock option awards requires judgment and the assumptions used in the option-pricing models require the input of subjective assumptions which are as follows: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i/>
          <w:color w:val="000000"/>
          <w:sz w:val="20"/>
        </w:rPr>
        <w:t>Fair value</w:t>
      </w:r>
      <w:r>
        <w:rPr>
          <w:color w:val="000000"/>
        </w:rPr>
        <w:t xml:space="preserve"> </w:t>
      </w:r>
      <w:r>
        <w:rPr>
          <w:rFonts w:ascii="Times New Roman;serif" w:hAnsi="Times New Roman;serif"/>
          <w:b w:val="false"/>
          <w:color w:val="000000"/>
          <w:sz w:val="20"/>
        </w:rPr>
        <w:t xml:space="preserve">- The fair value of the Company's common stock is determined based on the closing stock price on the date of grant.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 Expected volatility is based on historical volatilities of a publicly traded peer group based on weekly price observations over a period equivalent to the expected term of the stock option grants.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 xml:space="preserve">- For stock options with only service vesting conditions the expected term is determined using the simplified method, which estimates the expected term using the contractual life of the option and the vesting period. For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with performance or market conditions, the term is estimated in consideration of the time period expected to achieve the performance or market condition, the contractual term of the award, and estimates of future exercise behavior.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 The risk-free interest rate is based on the U.S. Treasury yield of treasury bonds with a maturity that approximates the expected term of the options.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i/>
          <w:color w:val="000000"/>
          <w:sz w:val="20"/>
        </w:rPr>
        <w:t>Expected dividend yield</w:t>
      </w:r>
      <w:r>
        <w:rPr>
          <w:color w:val="000000"/>
        </w:rPr>
        <w:t xml:space="preserve"> </w:t>
      </w:r>
      <w:r>
        <w:rPr>
          <w:rFonts w:ascii="Times New Roman;serif" w:hAnsi="Times New Roman;serif"/>
          <w:b w:val="false"/>
          <w:color w:val="000000"/>
          <w:sz w:val="20"/>
        </w:rPr>
        <w:t>- The dividend yield is based on the Company’s current expectations of dividend payouts. The Company has never declared or paid any cash dividends on its common stock, and the Company does not anticipate paying any cash dividends in the foreseeable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shares are issued from authorized shares of common stock upon the exercise of stock options.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of such assets is measured using Level 3 inputs in the fair value hierarchy.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Revenue Recognition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sells its products through retail and third-party ecommerce customers, who resell the Company’s products through traditional brick and mortar retailers, who may also resell the Company’s products through their own online platforms, and, until December 31, 2025, the Company sold its products direct-to-consumer through the Company’s website. Effective December 31, 2025, the Company no longer sells direct-to-consumer through the Company’s website and no longer offers gift card purchases on its website.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The Company accounts for revenue contracts with customers by applying the following steps in accordance with ASC No. 606, </w:t>
      </w:r>
      <w:r>
        <w:rPr>
          <w:rFonts w:ascii="Times New Roman;serif" w:hAnsi="Times New Roman;serif"/>
          <w:b w:val="false"/>
          <w:i/>
          <w:color w:val="231F20"/>
          <w:sz w:val="20"/>
        </w:rPr>
        <w:t>Revenue from Contracts with Customers</w:t>
      </w:r>
      <w:r>
        <w:rPr>
          <w:rFonts w:ascii="Times New Roman;serif" w:hAnsi="Times New Roman;serif"/>
          <w:b w:val="false"/>
          <w:color w:val="231F20"/>
          <w:sz w:val="20"/>
        </w:rPr>
        <w:t>:</w:t>
      </w:r>
    </w:p>
    <w:p>
      <w:pPr>
        <w:pStyle w:val="TextBody"/>
        <w:bidi w:val="0"/>
        <w:spacing w:before="0" w:after="0"/>
        <w:jc w:val="left"/>
        <w:rPr/>
      </w:pPr>
      <w:r>
        <w:rPr/>
      </w:r>
    </w:p>
    <w:p>
      <w:pPr>
        <w:pStyle w:val="TextBody"/>
        <w:bidi w:val="0"/>
        <w:spacing w:lineRule="auto" w:line="268" w:before="0" w:after="0"/>
        <w:ind w:left="0" w:right="0" w:firstLine="200"/>
        <w:jc w:val="left"/>
        <w:rPr/>
      </w:pPr>
      <w:r>
        <w:rPr>
          <w:color w:val="231F20"/>
        </w:rPr>
        <w:t xml:space="preserve">• </w:t>
      </w:r>
      <w:r>
        <w:rPr>
          <w:rFonts w:ascii="Times New Roman;serif" w:hAnsi="Times New Roman;serif"/>
          <w:b w:val="false"/>
          <w:color w:val="231F20"/>
          <w:sz w:val="20"/>
        </w:rPr>
        <w:t>Identification</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contract,</w:t>
      </w:r>
      <w:r>
        <w:rPr>
          <w:color w:val="231F20"/>
        </w:rPr>
        <w:t xml:space="preserve"> </w:t>
      </w:r>
      <w:r>
        <w:rPr>
          <w:rFonts w:ascii="Times New Roman;serif" w:hAnsi="Times New Roman;serif"/>
          <w:b w:val="false"/>
          <w:color w:val="231F20"/>
          <w:sz w:val="20"/>
        </w:rPr>
        <w:t>or contracts,</w:t>
      </w:r>
      <w:r>
        <w:rPr>
          <w:color w:val="231F20"/>
        </w:rPr>
        <w:t xml:space="preserve"> </w:t>
      </w:r>
      <w:r>
        <w:rPr>
          <w:rFonts w:ascii="Times New Roman;serif" w:hAnsi="Times New Roman;serif"/>
          <w:b w:val="false"/>
          <w:color w:val="231F20"/>
          <w:sz w:val="20"/>
        </w:rPr>
        <w:t>with a customer</w:t>
      </w:r>
    </w:p>
    <w:p>
      <w:pPr>
        <w:pStyle w:val="TextBody"/>
        <w:bidi w:val="0"/>
        <w:spacing w:lineRule="auto" w:line="268" w:before="0" w:after="0"/>
        <w:ind w:left="0" w:right="0" w:firstLine="200"/>
        <w:jc w:val="left"/>
        <w:rPr/>
      </w:pPr>
      <w:r>
        <w:rPr>
          <w:color w:val="231F20"/>
        </w:rPr>
        <w:t xml:space="preserve">• </w:t>
      </w:r>
      <w:r>
        <w:rPr>
          <w:rFonts w:ascii="Times New Roman;serif" w:hAnsi="Times New Roman;serif"/>
          <w:b w:val="false"/>
          <w:color w:val="231F20"/>
          <w:sz w:val="20"/>
        </w:rPr>
        <w:t>Identification</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contract</w:t>
      </w:r>
    </w:p>
    <w:p>
      <w:pPr>
        <w:pStyle w:val="TextBody"/>
        <w:bidi w:val="0"/>
        <w:spacing w:lineRule="auto" w:line="268" w:before="0" w:after="0"/>
        <w:ind w:left="0" w:right="0" w:firstLine="200"/>
        <w:jc w:val="left"/>
        <w:rPr/>
      </w:pPr>
      <w:r>
        <w:rPr>
          <w:color w:val="231F20"/>
        </w:rPr>
        <w:t xml:space="preserve">• </w:t>
      </w:r>
      <w:r>
        <w:rPr>
          <w:rFonts w:ascii="Times New Roman;serif" w:hAnsi="Times New Roman;serif"/>
          <w:b w:val="false"/>
          <w:color w:val="231F20"/>
          <w:sz w:val="20"/>
        </w:rPr>
        <w:t>Determination</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transaction</w:t>
      </w:r>
      <w:r>
        <w:rPr>
          <w:color w:val="231F20"/>
        </w:rPr>
        <w:t xml:space="preserve"> </w:t>
      </w:r>
      <w:r>
        <w:rPr>
          <w:rFonts w:ascii="Times New Roman;serif" w:hAnsi="Times New Roman;serif"/>
          <w:b w:val="false"/>
          <w:color w:val="231F20"/>
          <w:sz w:val="20"/>
        </w:rPr>
        <w:t>price</w:t>
      </w:r>
    </w:p>
    <w:p>
      <w:pPr>
        <w:pStyle w:val="TextBody"/>
        <w:bidi w:val="0"/>
        <w:spacing w:lineRule="auto" w:line="268" w:before="0" w:after="0"/>
        <w:ind w:left="0" w:right="0" w:firstLine="200"/>
        <w:jc w:val="left"/>
        <w:rPr/>
      </w:pPr>
      <w:r>
        <w:rPr>
          <w:color w:val="231F20"/>
        </w:rPr>
        <w:t xml:space="preserve">• </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68" w:before="0" w:after="0"/>
        <w:ind w:left="0" w:right="0" w:firstLine="200"/>
        <w:jc w:val="left"/>
        <w:rPr/>
      </w:pPr>
      <w:r>
        <w:rPr>
          <w:color w:val="231F20"/>
        </w:rPr>
        <w:t xml:space="preserve">• </w:t>
      </w:r>
      <w:r>
        <w:rPr>
          <w:rFonts w:ascii="Times New Roman;serif" w:hAnsi="Times New Roman;serif"/>
          <w:b w:val="false"/>
          <w:color w:val="231F20"/>
          <w:sz w:val="20"/>
        </w:rPr>
        <w:t>Recognition</w:t>
      </w:r>
      <w:r>
        <w:rPr>
          <w:color w:val="231F20"/>
        </w:rPr>
        <w:t xml:space="preserve"> </w:t>
      </w:r>
      <w:r>
        <w:rPr>
          <w:rFonts w:ascii="Times New Roman;serif" w:hAnsi="Times New Roman;serif"/>
          <w:b w:val="false"/>
          <w:color w:val="231F20"/>
          <w:sz w:val="20"/>
        </w:rPr>
        <w:t>of revenue</w:t>
      </w:r>
      <w:r>
        <w:rPr>
          <w:color w:val="231F20"/>
        </w:rPr>
        <w:t xml:space="preserve"> </w:t>
      </w:r>
      <w:r>
        <w:rPr>
          <w:rFonts w:ascii="Times New Roman;serif" w:hAnsi="Times New Roman;serif"/>
          <w:b w:val="false"/>
          <w:color w:val="231F20"/>
          <w:sz w:val="20"/>
        </w:rPr>
        <w:t>when, or as, the</w:t>
      </w:r>
      <w:r>
        <w:rPr>
          <w:color w:val="231F20"/>
        </w:rPr>
        <w:t xml:space="preserve"> </w:t>
      </w:r>
      <w:r>
        <w:rPr>
          <w:rFonts w:ascii="Times New Roman;serif" w:hAnsi="Times New Roman;serif"/>
          <w:b w:val="false"/>
          <w:color w:val="231F20"/>
          <w:sz w:val="20"/>
        </w:rPr>
        <w:t>Company satisfies</w:t>
      </w:r>
      <w:r>
        <w:rPr>
          <w:color w:val="231F20"/>
        </w:rPr>
        <w:t xml:space="preserve"> </w:t>
      </w:r>
      <w:r>
        <w:rPr>
          <w:rFonts w:ascii="Times New Roman;serif" w:hAnsi="Times New Roman;serif"/>
          <w:b w:val="false"/>
          <w:color w:val="231F20"/>
          <w:sz w:val="20"/>
        </w:rPr>
        <w:t>a performance</w:t>
      </w:r>
      <w:r>
        <w:rPr>
          <w:color w:val="231F20"/>
        </w:rPr>
        <w:t xml:space="preserve"> </w:t>
      </w:r>
      <w:r>
        <w:rPr>
          <w:rFonts w:ascii="Times New Roman;serif" w:hAnsi="Times New Roman;serif"/>
          <w:b w:val="false"/>
          <w:color w:val="231F20"/>
          <w:sz w:val="20"/>
        </w:rPr>
        <w:t>obligation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elected as an accounting policy to record all shipping and handling costs as fulfillment costs. The Company accrues the cost of shipping and handling and recognizes revenue and costs at the point in time that control of the goods transfers to the customer. In addition, the Company adopted the practical expedient to exclude from the transaction price all amounts collected from direct-to-consumer customers for sales and other taxes."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231F20"/>
          <w:sz w:val="20"/>
        </w:rPr>
        <w:t>Retail</w:t>
      </w:r>
      <w:r>
        <w:rPr>
          <w:color w:val="231F20"/>
        </w:rPr>
        <w:t xml:space="preserve"> </w:t>
      </w:r>
      <w:r>
        <w:rPr>
          <w:rFonts w:ascii="Times New Roman;serif" w:hAnsi="Times New Roman;serif"/>
          <w:b w:val="false"/>
          <w:i/>
          <w:color w:val="231F20"/>
          <w:sz w:val="20"/>
        </w:rPr>
        <w:t>and Third-Party</w:t>
      </w:r>
      <w:r>
        <w:rPr>
          <w:color w:val="231F20"/>
        </w:rPr>
        <w:t xml:space="preserve"> </w:t>
      </w:r>
      <w:r>
        <w:rPr>
          <w:rFonts w:ascii="Times New Roman;serif" w:hAnsi="Times New Roman;serif"/>
          <w:b w:val="false"/>
          <w:i/>
          <w:color w:val="231F20"/>
          <w:sz w:val="20"/>
        </w:rPr>
        <w:t>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231F20"/>
          <w:sz w:val="20"/>
        </w:rPr>
      </w:pPr>
      <w:r>
        <w:rPr>
          <w:rFonts w:ascii="Times New Roman;serif" w:hAnsi="Times New Roman;serif"/>
          <w:b w:val="false"/>
          <w:i/>
          <w:color w:val="231F20"/>
          <w:sz w:val="20"/>
        </w:rPr>
        <w:t>Direct-to-Consumer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the Company no longer sells direct-to-consumer through the Company’s website as part of Powering Honest Growth. For direct sales to the consumer through the Company’s website prior to December 31, 2025, the Company’s performance obligation consisted of the sale of finished goods to the consumer. Consumers may have purchased products at any time or entered into subscription arrangements. Consumers placed orders online in accordance with the Company’s standard terms and conditions and authorized payment when the order was placed. Credit cards were charged at the time of shipment. For subscription arrangements, consumers signed up to receive products on a periodic basis. Subscriptions were cancellable at any time without penalty, and no amounts were collected from the consumer until products was shipped. Revenue was recognized when transfer of control to the consumer took place, which was when the product was delivered to the carrier. Sales taxes collected from consumers were accounted for on a net basis and are excluded from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Previously, consumers may have purchased gift cards, which were recorded as deferred revenue at the time of purchase. The Company recognized revenue when these gift cards were redeemed for products and the revenue recognition criteria as described above were met. For the years ended December 31, 2025, 2024 and 2023, revenue recognized from the use of gift cards was $1.3 million, $0.6 million and $0.6 million, respectively. Effective December 31, 2025, the Company no longer offers gift card purchases on its website. As such, as of December 31, 2025, the Company accrued for the reimbursement of gift cards to consumers and wrote-off $1.1 million of deferred revenue related to direct-to-consumer gift card purchases. As of December 31, 2025, the Company did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0"/>
        </w:rPr>
        <w:t xml:space="preserve">have any deferred revenue outstanding. As of December 31, 2024, deferred revenue related to gift card purchases was $1.1 million.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231F20"/>
          <w:sz w:val="20"/>
        </w:rPr>
        <w:t>Sales</w:t>
      </w:r>
      <w:r>
        <w:rPr>
          <w:color w:val="231F20"/>
        </w:rPr>
        <w:t xml:space="preserve"> </w:t>
      </w:r>
      <w:r>
        <w:rPr>
          <w:rFonts w:ascii="Times New Roman;serif" w:hAnsi="Times New Roman;serif"/>
          <w:b w:val="false"/>
          <w:i/>
          <w:color w:val="231F20"/>
          <w:sz w:val="20"/>
        </w:rPr>
        <w:t>Incentive Programs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the Company routinely commits to one-time or ongoing sales incentive programs with its customers that may require the Company to estimate and accrue the expected costs of such programs, including trade promotion activities and contractual allowances. The Company records these programs as a reduction to revenue unless it receives a distinct benefit in exchange for credits claimed by the customer and can reasonably estimate the fair value of the benefit received, in which case the Company records it as a marketing expense. The Company recognizes a liability or a reduction to accounts receivable, and reduces revenue based on the estimated amount of credits that will be claimed by customers. An allowance is recorded as a reduction to accounts receivable if the customer can deduct the program amount from outstanding invoices.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Estimates for these sales incentive programs are developed using the most likely amount and contractual allowances are included in the transaction price to the extent that a significant reversal of revenue would not result once the uncertainty is resolved. In developing its estimate, the Company uses the expected value method considering all reasonably available information in determining the accruals for these activities, including historical analysis and contractual rates. The Company also considers the susceptibility of the incentive to outside influences, the length of time until the uncertainty is resolved and the Company’s experience with similar contracts. Judgment is required to determine the timing and amount of recognition of sales incentive program accruals which the Company estimates based on past practice with similar arrangements.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allowance for sales incentive programs for retail and third-party ecommerce customers:</w:t>
      </w:r>
    </w:p>
    <w:tbl>
      <w:tblPr>
        <w:tblW w:w="10205" w:type="dxa"/>
        <w:jc w:val="left"/>
        <w:tblInd w:w="0" w:type="dxa"/>
        <w:tblLayout w:type="fixed"/>
        <w:tblCellMar>
          <w:top w:w="28" w:type="dxa"/>
          <w:left w:w="28" w:type="dxa"/>
          <w:bottom w:w="28" w:type="dxa"/>
          <w:right w:w="28" w:type="dxa"/>
        </w:tblCellMar>
      </w:tblPr>
      <w:tblGrid>
        <w:gridCol w:w="2361"/>
        <w:gridCol w:w="2062"/>
        <w:gridCol w:w="2064"/>
        <w:gridCol w:w="211"/>
        <w:gridCol w:w="721"/>
        <w:gridCol w:w="109"/>
        <w:gridCol w:w="109"/>
        <w:gridCol w:w="109"/>
        <w:gridCol w:w="109"/>
        <w:gridCol w:w="211"/>
        <w:gridCol w:w="721"/>
        <w:gridCol w:w="109"/>
        <w:gridCol w:w="109"/>
        <w:gridCol w:w="109"/>
        <w:gridCol w:w="109"/>
        <w:gridCol w:w="211"/>
        <w:gridCol w:w="616"/>
        <w:gridCol w:w="155"/>
      </w:tblGrid>
      <w:tr>
        <w:trPr/>
        <w:tc>
          <w:tcPr>
            <w:tcW w:w="2361"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Beginning balance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Charged to revenue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selling, general and administrative expense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Charged to marketing expense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accrual for trade promotions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(64,522)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Reclassification to prepaid expenses and other current assets/accrued expenses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Ending balance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December 31, 2025 and 2024</w:t>
      </w:r>
      <w:r>
        <w:rPr>
          <w:rFonts w:ascii="Times New Roman;serif" w:hAnsi="Times New Roman;serif"/>
          <w:b w:val="false"/>
          <w:color w:val="000000"/>
          <w:sz w:val="20"/>
        </w:rPr>
        <w:t>, $8.7 million and $12.6 million, respectively, of the ending allowance balances were recorded as a reduction to accounts receivable.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current retail and third-party ecommerce customers typically do not have the right of return; therefore, no estimate is made for sale returns. Prior to December 31, 2025, the Company recorded returns as incurred for direct-to-consumer customers, as the amount has historically been immaterial. Any sales returns allowance is recorded as a reduction of revenue.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part of exiting Honest.com as a fulfillment center, all direct-to-consumer sales were final as of December 31, 2025, with no right of return.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(and prior to December 31, 2025, for direct-to-consumer sales), the Company offers credits in the form of discounts, which are recorded as reductions in revenue and are allocated to products on a relative basis based on their respective standalone selling price.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Contract Assets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material assets related to incremental costs to obtain or fulfill customer contracts.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duties and tariffs,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the Company's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the Company's apparel products; and, depreciation and amortization expenses.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includes costs related to the Company’s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Advertising costs are expensed as incurred. Media production costs are expensed the first time the advertisement is aired. Deferred advertising costs consist mainly of point of purchase displays that are specifically branded for the Company’s products and provided to retailers in order to facilitate the marketing of the Company’s products within retail stores. The point of purchase display costs are capitalized as deferred advertising costs and charged to marketing expense over the expected period of benefit, which generally ranges from less than one to two years. As of </w:t>
      </w:r>
      <w:r>
        <w:rPr>
          <w:rFonts w:ascii="Times New Roman;serif" w:hAnsi="Times New Roman;serif"/>
          <w:b w:val="false"/>
          <w:color w:val="231F20"/>
          <w:sz w:val="20"/>
        </w:rPr>
        <w:t>December 31, 2025 and 2024</w:t>
      </w:r>
      <w:r>
        <w:rPr>
          <w:rFonts w:ascii="Times New Roman;serif" w:hAnsi="Times New Roman;serif"/>
          <w:b w:val="false"/>
          <w:color w:val="000000"/>
          <w:sz w:val="20"/>
        </w:rPr>
        <w:t xml:space="preserve">, the current portion of deferred advertising costs was $0.7 million and $0.6 million, respectively, which is included in prepaid expenses and other current assets. As of </w:t>
      </w:r>
      <w:r>
        <w:rPr>
          <w:rFonts w:ascii="Times New Roman;serif" w:hAnsi="Times New Roman;serif"/>
          <w:b w:val="false"/>
          <w:color w:val="231F20"/>
          <w:sz w:val="20"/>
        </w:rPr>
        <w:t xml:space="preserve">December 31, 2025, there was no deferred advertising costs that was considered noncurrent. As of December 31, 2024, </w:t>
      </w:r>
      <w:r>
        <w:rPr>
          <w:rFonts w:ascii="Times New Roman;serif" w:hAnsi="Times New Roman;serif"/>
          <w:b w:val="false"/>
          <w:color w:val="000000"/>
          <w:sz w:val="20"/>
        </w:rPr>
        <w:t xml:space="preserve">there was an immaterial amount of deferred advertising costs that was considered noncurrent. Advertising expense was $48.4 million, $41.7 million and $33.8 million for the years ended </w:t>
      </w:r>
      <w:r>
        <w:rPr>
          <w:rFonts w:ascii="Times New Roman;serif" w:hAnsi="Times New Roman;serif"/>
          <w:b w:val="false"/>
          <w:color w:val="231F20"/>
          <w:sz w:val="20"/>
        </w:rPr>
        <w:t>December 31, 2025, 2024 and 2023, respectively.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relate to costs incurred for the development of new products, improvement in the quality of existing products and the development and implementation of new technologies to enhance the quality and value of products. Research and development expenses consist primarily of personnel-related expenses, including salaries, bonuses, benefits and stock-based compensation expense. Research and development expenses also include allocated depreciation and amortization and overhead costs. The Company expenses research and development costs in the period they are incurred.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 Adopted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December 2023, the FASB issued ASU No. 2023-09, I</w:t>
      </w:r>
      <w:r>
        <w:rPr>
          <w:rFonts w:ascii="Times New Roman;serif" w:hAnsi="Times New Roman;serif"/>
          <w:b w:val="false"/>
          <w:i/>
          <w:color w:val="000000"/>
          <w:sz w:val="20"/>
        </w:rPr>
        <w:t>ncome Taxes: Improvements to Income Tax Disclosures</w:t>
      </w:r>
      <w:r>
        <w:rPr>
          <w:rFonts w:ascii="Times New Roman;serif" w:hAnsi="Times New Roman;serif"/>
          <w:b w:val="false"/>
          <w:color w:val="000000"/>
          <w:sz w:val="20"/>
        </w:rPr>
        <w:t xml:space="preserve">. This guidance requires consistent categories and greater disaggregation of information in the rate reconciliation and disclosures of income taxes paid by jurisdiction. For public business entities, the amendments in this update are effective for annual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after December 15, 2024. The adoption of ASU No. 2023-09 did not have a material impact on the Company's consolidated financial statements or disclosures and the Company adopted this standard on a retrospective basis.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 Not Yet Adopted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update is to improve the disclosures of components of certain income 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July 2025, the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creates a practical expedient for estimating expected credit losses on current accounts receivable and current contract assets arising from transactions under ASC 606 by assuming that current conditions at the balance sheet date will remain unchanged over the life of the asset. For public business entities, the amendments in this update are effective for annual periods beginning after December 15, 2025, and interim periods within those annual reporting periods. Early adoption permitted in both interim and annual reporting periods in which financial statements have not yet been issued or made available for issuance. The adoption of ASU No. 2025-05 is not expected to have a material impact on the Company's consolidated financial statements or related disclosures.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Internal-Use Software (Subtopic 350-40): Targeted Improvements to the Accounting for Internal-Use Software</w:t>
      </w:r>
      <w:r>
        <w:rPr>
          <w:rFonts w:ascii="Times New Roman;serif" w:hAnsi="Times New Roman;serif"/>
          <w:b w:val="false"/>
          <w:color w:val="000000"/>
          <w:sz w:val="20"/>
        </w:rPr>
        <w:t>. This update is to modernize the accounting for software costs that are accounted for under Subtopic 350-40, Intangibles-Goodwill and Other-Internal-Use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The adoption of ASU No. 2025-06 is not expected to have a material impact on the Company's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333333"/>
          <w:sz w:val="20"/>
        </w:rPr>
      </w:pPr>
      <w:r>
        <w:rPr>
          <w:rFonts w:ascii="Times New Roman;serif" w:hAnsi="Times New Roman;serif"/>
          <w:b/>
          <w:color w:val="333333"/>
          <w:sz w:val="20"/>
        </w:rPr>
        <w:t xml:space="preserve">3.Revenue </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Direct-to-Consumer</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the Company will no longer sell direct-to-consumer through the Company’s website as part of Powering Honest Growth. For direct sales to the consumer through the Company's website, Honest.com, the Company's performance obligation consisted of the sale of finished goods to the consumer. Consumers may have purchased products at any time or entered into subscription arrangements. Consumers placed orders online in accordance with the Company's standard terms and conditions and authorized payment when the order was placed. Credit cards were charged at the time of shipment and payments were typically processed within two to three business days. For subscription arrangements, consumers signed up to receive products on a periodic basis. Subscriptions were cancellable at any time without penalty, and no amounts were collected from the consumer until products were shipped. Revenue was recognized when transfer of control to the consumer took place, which is when the product was delivered to the carrier. Sales taxes collected from consumers were accounted for on a net basis and were excluded from revenue. Revenue generated from Honest.com was 10%, 13% and 17%, respectively, of the Company's total revenue during the years ended December 31, 2025, 2024 and 2023.</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consolidated balance sheets. The Company may use the marketing and transportation credits over four years from the date of the respective agreement, with an option to extend for another two years if agreed upon by both parties. For the year ended December 31, 2025,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 did not recognize any revenue or associated cost of revenue related to these marketing and transportation credits. The Company assesses the recoverability of the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consolidated statements of comprehensive loss as they become determinable. For the years ended December 31, 2025, 2024 and 2023, the Company used an aggregate of $0.7 million, $1.6 million and $0.3 million of credits, respectively. For the year ended December 31, 2025, the Company recorded an impairment of $0.5 million related to these credits. For the years ended December 31, 2024 and 2023, the Company recorded no impairment losses related to these credits.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4.    Intangible Assets, Net</w:t>
      </w:r>
    </w:p>
    <w:p>
      <w:pPr>
        <w:pStyle w:val="TextBody"/>
        <w:bidi w:val="0"/>
        <w:spacing w:lineRule="auto" w:line="288" w:before="0" w:after="24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Intangible assets consisted of the following:</w:t>
      </w:r>
    </w:p>
    <w:tbl>
      <w:tblPr>
        <w:tblW w:w="6165" w:type="dxa"/>
        <w:jc w:val="left"/>
        <w:tblInd w:w="0" w:type="dxa"/>
        <w:tblLayout w:type="fixed"/>
        <w:tblCellMar>
          <w:top w:w="28" w:type="dxa"/>
          <w:left w:w="28" w:type="dxa"/>
          <w:bottom w:w="28" w:type="dxa"/>
          <w:right w:w="28" w:type="dxa"/>
        </w:tblCellMar>
      </w:tblPr>
      <w:tblGrid>
        <w:gridCol w:w="832"/>
        <w:gridCol w:w="731"/>
        <w:gridCol w:w="732"/>
        <w:gridCol w:w="211"/>
        <w:gridCol w:w="616"/>
        <w:gridCol w:w="109"/>
        <w:gridCol w:w="109"/>
        <w:gridCol w:w="109"/>
        <w:gridCol w:w="109"/>
        <w:gridCol w:w="328"/>
        <w:gridCol w:w="748"/>
        <w:gridCol w:w="170"/>
        <w:gridCol w:w="109"/>
        <w:gridCol w:w="109"/>
        <w:gridCol w:w="109"/>
        <w:gridCol w:w="262"/>
        <w:gridCol w:w="580"/>
        <w:gridCol w:w="192"/>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Intangible</w:t>
              <w:br/>
              <w:t>Assets, Net</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65" w:type="dxa"/>
        <w:jc w:val="left"/>
        <w:tblInd w:w="0" w:type="dxa"/>
        <w:tblLayout w:type="fixed"/>
        <w:tblCellMar>
          <w:top w:w="28" w:type="dxa"/>
          <w:left w:w="28" w:type="dxa"/>
          <w:bottom w:w="28" w:type="dxa"/>
          <w:right w:w="28" w:type="dxa"/>
        </w:tblCellMar>
      </w:tblPr>
      <w:tblGrid>
        <w:gridCol w:w="832"/>
        <w:gridCol w:w="731"/>
        <w:gridCol w:w="732"/>
        <w:gridCol w:w="211"/>
        <w:gridCol w:w="616"/>
        <w:gridCol w:w="109"/>
        <w:gridCol w:w="109"/>
        <w:gridCol w:w="109"/>
        <w:gridCol w:w="109"/>
        <w:gridCol w:w="328"/>
        <w:gridCol w:w="748"/>
        <w:gridCol w:w="170"/>
        <w:gridCol w:w="109"/>
        <w:gridCol w:w="109"/>
        <w:gridCol w:w="109"/>
        <w:gridCol w:w="262"/>
        <w:gridCol w:w="580"/>
        <w:gridCol w:w="192"/>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Intangible</w:t>
              <w:br/>
              <w:t>Assets, Net</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As of December 31, 2025 and 2024, the weighted average remaining useful lives for tradenames and domain names was 4.2 years and 2.3 years, respectively, and 4.8 years and 3.0 years, respectively.</w:t>
      </w:r>
    </w:p>
    <w:p>
      <w:pPr>
        <w:pStyle w:val="TextBody"/>
        <w:bidi w:val="0"/>
        <w:spacing w:lineRule="auto" w:line="268" w:before="0" w:after="24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Amortization expense was $0.1 million for each of the years ended December 31, 2025, 2024 and 2023, respectively. Estimated future amortization expense for each of the following five years ending December 31 and thereafter is as follows:</w:t>
      </w:r>
    </w:p>
    <w:tbl>
      <w:tblPr>
        <w:tblW w:w="3815" w:type="dxa"/>
        <w:jc w:val="left"/>
        <w:tblInd w:w="0" w:type="dxa"/>
        <w:tblLayout w:type="fixed"/>
        <w:tblCellMar>
          <w:top w:w="28" w:type="dxa"/>
          <w:left w:w="28" w:type="dxa"/>
          <w:bottom w:w="28" w:type="dxa"/>
          <w:right w:w="28" w:type="dxa"/>
        </w:tblCellMar>
      </w:tblPr>
      <w:tblGrid>
        <w:gridCol w:w="1080"/>
        <w:gridCol w:w="951"/>
        <w:gridCol w:w="953"/>
        <w:gridCol w:w="211"/>
        <w:gridCol w:w="46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231F20"/>
                <w:sz w:val="20"/>
              </w:rPr>
            </w:pPr>
            <w:r>
              <w:rPr>
                <w:rFonts w:ascii="Times New Roman;serif" w:hAnsi="Times New Roman;serif"/>
                <w:b w:val="false"/>
                <w:i/>
                <w:color w:val="231F20"/>
                <w:sz w:val="20"/>
              </w:rPr>
              <w:t>(in thousands)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2026</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2027</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2028</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2029</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2030</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Total </w:t>
            </w:r>
            <w:r>
              <w:rPr>
                <w:rFonts w:ascii="Times New Roman;serif" w:hAnsi="Times New Roman;serif"/>
                <w:b w:val="false"/>
                <w:color w:val="231F20"/>
                <w:sz w:val="20"/>
              </w:rPr>
              <w:t>future amortization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5.    Property and Equipment, Net</w:t>
      </w:r>
    </w:p>
    <w:p>
      <w:pPr>
        <w:pStyle w:val="TextBody"/>
        <w:bidi w:val="0"/>
        <w:spacing w:lineRule="auto" w:line="288" w:before="0" w:after="24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Property and equipment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before="0" w:after="0"/>
        <w:jc w:val="left"/>
        <w:rPr/>
      </w:pPr>
      <w:r>
        <w:rPr/>
      </w:r>
    </w:p>
    <w:tbl>
      <w:tblPr>
        <w:tblW w:w="6368" w:type="dxa"/>
        <w:jc w:val="left"/>
        <w:tblInd w:w="0" w:type="dxa"/>
        <w:tblLayout w:type="fixed"/>
        <w:tblCellMar>
          <w:top w:w="28" w:type="dxa"/>
          <w:left w:w="28" w:type="dxa"/>
          <w:bottom w:w="28" w:type="dxa"/>
          <w:right w:w="28" w:type="dxa"/>
        </w:tblCellMar>
      </w:tblPr>
      <w:tblGrid>
        <w:gridCol w:w="1456"/>
        <w:gridCol w:w="1280"/>
        <w:gridCol w:w="1283"/>
        <w:gridCol w:w="211"/>
        <w:gridCol w:w="616"/>
        <w:gridCol w:w="109"/>
        <w:gridCol w:w="109"/>
        <w:gridCol w:w="109"/>
        <w:gridCol w:w="109"/>
        <w:gridCol w:w="211"/>
        <w:gridCol w:w="72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As of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10" w:after="283"/>
              <w:jc w:val="left"/>
              <w:rPr/>
            </w:pPr>
            <w:r>
              <w:rPr>
                <w:rFonts w:ascii="Times New Roman;serif" w:hAnsi="Times New Roman;serif"/>
                <w:b w:val="false"/>
                <w:color w:val="231F20"/>
                <w:sz w:val="20"/>
              </w:rPr>
              <w:t>Machinery and equipment</w:t>
            </w:r>
            <w:r>
              <w:rPr>
                <w:rFonts w:ascii="Times New Roman;serif" w:hAnsi="Times New Roman;serif"/>
                <w:b w:val="false"/>
                <w:color w:val="231F20"/>
                <w:sz w:val="13"/>
              </w:rPr>
              <w:t>(1)</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Computer and office equipment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231F20"/>
                <w:sz w:val="20"/>
              </w:rPr>
              <w:t>Accumulated depreciation and amortization</w:t>
            </w:r>
            <w:r>
              <w:rPr>
                <w:rFonts w:ascii="Times New Roman;serif" w:hAnsi="Times New Roman;serif"/>
                <w:b w:val="false"/>
                <w:color w:val="231F20"/>
                <w:sz w:val="13"/>
              </w:rPr>
              <w:t>(1)(2)</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________</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In connection with Powering Honest Growth, machinery and equipment write-offs were $2.5 million related to exiting Honest.com fulfillment. These charges are included in cost of revenue in the accompanying consolidated statements of comprehensive loss.</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The Company recorded accelerated depreciation of $0.4 million, which represents the remaining net book value of affected fixed assets depreciated over their revised estimated service periods. These charges are included in cost of revenue in the accompanying consolidated statements of comprehensive loss.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Total depreciation and amortization expense for property and equipment consisted of the following:</w:t>
      </w:r>
    </w:p>
    <w:p>
      <w:pPr>
        <w:pStyle w:val="TextBody"/>
        <w:bidi w:val="0"/>
        <w:spacing w:before="0" w:after="0"/>
        <w:jc w:val="left"/>
        <w:rPr/>
      </w:pPr>
      <w:r>
        <w:rPr/>
      </w:r>
    </w:p>
    <w:tbl>
      <w:tblPr>
        <w:tblW w:w="7422" w:type="dxa"/>
        <w:jc w:val="left"/>
        <w:tblInd w:w="0" w:type="dxa"/>
        <w:tblLayout w:type="fixed"/>
        <w:tblCellMar>
          <w:top w:w="28" w:type="dxa"/>
          <w:left w:w="28" w:type="dxa"/>
          <w:bottom w:w="28" w:type="dxa"/>
          <w:right w:w="28" w:type="dxa"/>
        </w:tblCellMar>
      </w:tblPr>
      <w:tblGrid>
        <w:gridCol w:w="1418"/>
        <w:gridCol w:w="1247"/>
        <w:gridCol w:w="1250"/>
        <w:gridCol w:w="211"/>
        <w:gridCol w:w="616"/>
        <w:gridCol w:w="109"/>
        <w:gridCol w:w="109"/>
        <w:gridCol w:w="109"/>
        <w:gridCol w:w="109"/>
        <w:gridCol w:w="211"/>
        <w:gridCol w:w="616"/>
        <w:gridCol w:w="109"/>
        <w:gridCol w:w="109"/>
        <w:gridCol w:w="109"/>
        <w:gridCol w:w="109"/>
        <w:gridCol w:w="211"/>
        <w:gridCol w:w="61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depreciation and amortization expense</w:t>
            </w:r>
            <w:r>
              <w:rPr>
                <w:rFonts w:ascii="Times New Roman;serif" w:hAnsi="Times New Roman;serif"/>
                <w:b w:val="false"/>
                <w:color w:val="000000"/>
                <w:sz w:val="13"/>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_______________</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(1) Refer to footnotes in the above table for more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6.     Investments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All investments in debt securities, if any, are classified as available-for-sale investments. All investments are reported within current assets because the securities represent investments of cash available for current operations.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xml:space="preserve">, the Company did not hold any investments in debt securities. Available-for-sale investments are recorded at fair value, and unrealized holding gains and losses are recorded as a component of other comprehensive income (loss).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There was no realized or unrealized gains and losses on investments in debt securities for the years ended </w:t>
      </w:r>
      <w:r>
        <w:rPr>
          <w:rFonts w:ascii="Times New Roman;serif" w:hAnsi="Times New Roman;serif"/>
          <w:b w:val="false"/>
          <w:color w:val="231F20"/>
          <w:sz w:val="20"/>
        </w:rPr>
        <w:t>December 31, 2025</w:t>
      </w:r>
      <w:r>
        <w:rPr>
          <w:rFonts w:ascii="Times New Roman;serif" w:hAnsi="Times New Roman;serif"/>
          <w:b w:val="false"/>
          <w:color w:val="000000"/>
          <w:sz w:val="20"/>
        </w:rPr>
        <w:t>. Realized and unrealized losses on investments for the years ended December 31, 2024</w:t>
      </w:r>
      <w:r>
        <w:rPr>
          <w:color w:val="231F20"/>
        </w:rPr>
        <w:t xml:space="preserve"> </w:t>
      </w:r>
      <w:r>
        <w:rPr>
          <w:rFonts w:ascii="Times New Roman;serif" w:hAnsi="Times New Roman;serif"/>
          <w:b w:val="false"/>
          <w:color w:val="231F20"/>
          <w:sz w:val="20"/>
        </w:rPr>
        <w:t xml:space="preserve">and 2023 were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and recorded at fair value on a recurring basis consist of the following as of:</w:t>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1"/>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before="0" w:after="0"/>
        <w:jc w:val="left"/>
        <w:rPr/>
      </w:pPr>
      <w:r>
        <w:r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for the Company’s cash equivalents, accounts receivable, accounts payable, and accrued expenses approximate fair value due to their short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8.     Credit Facilities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consolidated statements of comprehensive loss. For the years ended December 31, 2025 and 2024, the commitment fee incurred was immaterial. As of December 31, 2025, there were $1.5 million outstanding letters of credit and $31.6 million available to be drawn upon. As of December 31, 2024, there were $2.5 million outstanding letters of credit and $30.4 million available to be drawn upon. As of December 31, 2025 and 2024, there was no outstanding balance under the 2023 Credit Facility.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December 31, 2025, the Company is in compliance with all covenants under the 2023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 xml:space="preserve">9.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5678" w:type="dxa"/>
        <w:jc w:val="left"/>
        <w:tblInd w:w="0" w:type="dxa"/>
        <w:tblLayout w:type="fixed"/>
        <w:tblCellMar>
          <w:top w:w="28" w:type="dxa"/>
          <w:left w:w="28" w:type="dxa"/>
          <w:bottom w:w="28" w:type="dxa"/>
          <w:right w:w="28" w:type="dxa"/>
        </w:tblCellMar>
      </w:tblPr>
      <w:tblGrid>
        <w:gridCol w:w="1167"/>
        <w:gridCol w:w="1027"/>
        <w:gridCol w:w="1030"/>
        <w:gridCol w:w="211"/>
        <w:gridCol w:w="721"/>
        <w:gridCol w:w="109"/>
        <w:gridCol w:w="109"/>
        <w:gridCol w:w="109"/>
        <w:gridCol w:w="109"/>
        <w:gridCol w:w="211"/>
        <w:gridCol w:w="72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Payroll and payroll related expenses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rent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restructuring</w:t>
            </w:r>
            <w:r>
              <w:rPr>
                <w:rFonts w:ascii="Times New Roman;serif" w:hAnsi="Times New Roman;serif"/>
                <w:b w:val="false"/>
                <w:color w:val="000000"/>
                <w:sz w:val="13"/>
              </w:rPr>
              <w:t>(3)</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(1) Includes $0.2 million and $0.3 million of executive transition related expenses as of December 31, 2025 and 2024, respectively.     </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Represents short-term operating lease liabilities. Refer to Note 14, "Leases" included in these consolidated financial statements for more information on leases. </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 Refer to Note 15, "Restructuring" included in these consolidated financial statements for more information on the Company's restructuring.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w:t>
      </w:r>
      <w:r>
        <w:rPr>
          <w:rFonts w:ascii="Times New Roman;serif" w:hAnsi="Times New Roman;serif"/>
          <w:b w:val="false"/>
          <w:color w:val="231F20"/>
          <w:sz w:val="20"/>
        </w:rPr>
        <w:t>discloses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possible</w:t>
      </w:r>
      <w:r>
        <w:rPr>
          <w:color w:val="231F20"/>
        </w:rPr>
        <w:t xml:space="preserve"> </w:t>
      </w:r>
      <w:r>
        <w:rPr>
          <w:rFonts w:ascii="Times New Roman;serif" w:hAnsi="Times New Roman;serif"/>
          <w:b w:val="false"/>
          <w:color w:val="231F20"/>
          <w:sz w:val="20"/>
        </w:rPr>
        <w:t>loss</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On January 23, 2025, the Court granted the Company's motion for summary judgment. On April 8, 2025, CAPA served its Notice of Appeal in the matter. On August 4, 2025, the Court dismissed CAPA's appeal. Following the dismissal of CAPA's appeal, the Company does not believe that a loss is probable or estimable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("Securities Litigation Case"). A second putative class action complaint containing similar allegations against the Company and certain current officers and directors was filed by Stephen Gambino on October 8, 2021 in the U.S. District Court for the Central District of California. These related complaints were transferred to the same court and a Lead Plaintiff was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amended consolidated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second amended consolidated complaint against the additional defendants. The additional defendants filed a motion to dismiss the second amended consolidated complaint, which was denied by the court on April 22, 2024. On January 21, 2025, the parties filed a joint stipulation stating that they had reached an agreement in principle to fully settle all pending claims in the action and asking the court to stay the case so the parties could have additional time to negotiate the terms of a formal stipulation of settlement and related documentation. The court entered an order staying the case on the same day. On April 14, 2025, the court preliminarily approved the parties’ settlement. Under the terms of the settlement, in exchange for the release and dismissal with prejudice of all claims against the defendants in the second amended consolidated complaint, we agreed to pay $20,000,000 to resolve the dispute, to be fully funded by the Company’s insurance carriers. The settlement does not constitute an admission of fault or wrongdoing by the Company, the named individual defendants, or the underwriters. The Company recorded the settlement amount of $20,000,000 within accrued expenses and a corresponding insurance recovery of $20,000,000 within prepaids and other current assets related to the legal settlement on the consolidated balance sheet as of March 31, 2025. The determination that the recorded insurance recovery receivable was probable of collection was based on the terms of the applicable insurance policies, settlement agreement, and communications with the insurers. On July 28, 2025, the court held a hearing on the plaintiffs' motion for final approval of the class settlement. The settlement was fully funded by the insurance carriers into plaintiff’s escrow in May 2025 and on July 30, 2025, the court entered a final order approving the settlement and judgment disposing of the Securities Litigation Case.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On December 18, 2025, the parties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derivative cases reached an agreement in principle to settle the matters. The settlement remains subject to preliminary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final approval by the court and certain other conditions and contingencies out of our control. The Company recorded the settlement amount of $1.2 million within accrued expenses and a corresponding insurance recovery of $1.2 million within prepaids and other current assets related to the legal settlement on the consolidated balance sheet as of December 31, 2025. The determination that the recorded insurance recovery receivable was probable of collection was based on the terms of the applicable insurance policies, settlement agreement, and communications with the insurers.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filed a complaint in the U.S. District Court for the Central District of California (the "Court") alleging that Butterblu, LLC (“Butterblu”) breached the supplier services agreement, as amended, that the Company and Butterblu had entered into as of August 15, 2022 (the "Supplier Services Agreement") pursuant to which Butterblu provides certain design, manufacturing, sales and marketing services to the Company in connection with the Company's apparel products. The Company voluntarily dismissed the complaint on November 21, 2025 related to a temporary extension of the Supplier Services Agreement. Following the conclusion of the temporary extension of the Supplier Services Agreement in December 2025, the Company filed an updated complaint on January 2, 2026. The Company has requested monetary damages and declaratory relief as determined by the Court. On February 11, 2026, Butterblu filed a complaint against the Company in the California Superior Court for the County of Los Angeles alleging breach of contract, breach of implied contract, breach of implied covenant of good faith and fair dealing, quantum meruit, promissory estoppel, intentional interference with contract, and intentional interference with prospective economic relations related to the parties' obligations under the Supplier Services Agreement. These matters are in the preliminary stages of litigation with uncertain outcomes at this time. Therefore, the Company cannot estimate the probability of gain or loss, or make an estimate of the gain or loss or range of gain or loss in these matters.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Indemnifications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December 31, 2025 and 2024,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Purchase Commitments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Company has unconditional purchase commitments for software service subscriptions, advertising services and certain other services. Future minimum payments under these unconditional purchase commitments are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before="0" w:after="0"/>
        <w:jc w:val="left"/>
        <w:rPr/>
      </w:pPr>
      <w:r>
        <w:rPr/>
      </w:r>
    </w:p>
    <w:tbl>
      <w:tblPr>
        <w:tblW w:w="3455" w:type="dxa"/>
        <w:jc w:val="left"/>
        <w:tblInd w:w="0" w:type="dxa"/>
        <w:tblLayout w:type="fixed"/>
        <w:tblCellMar>
          <w:top w:w="28" w:type="dxa"/>
          <w:left w:w="28" w:type="dxa"/>
          <w:bottom w:w="28" w:type="dxa"/>
          <w:right w:w="28" w:type="dxa"/>
        </w:tblCellMar>
      </w:tblPr>
      <w:tblGrid>
        <w:gridCol w:w="896"/>
        <w:gridCol w:w="788"/>
        <w:gridCol w:w="790"/>
        <w:gridCol w:w="211"/>
        <w:gridCol w:w="6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minimum payments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2011 Stock Incentive Plan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2011 Stock Incentive Plan (the “2011 Plan”), which is stockholder-approved, permits the grant of incentive and non-qualified stock options, stock awards, stock units or stock appreciation rights of common stock. Generally, stock options vest 25% on the first anniversary of the vesting commencement date and then monthly thereafter for 36 months, or pursuant to another vesting schedule as approved by the Board and set forth in the option agreement. Certain options and share awards provide for accelerated vesting upon certain events as described in the terms of the option and award agreements. Stock options have a maximum term of ten years. Prior to the IPO, all of the stock options and restricted stock units the Company granted were made pursuant to the 2011 Plan. Following the IPO, the Company grants equity incentive awards under the terms of the 2021 Plan (defined below).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stock option activity: </w:t>
      </w:r>
    </w:p>
    <w:tbl>
      <w:tblPr>
        <w:tblW w:w="10205" w:type="dxa"/>
        <w:jc w:val="left"/>
        <w:tblInd w:w="0" w:type="dxa"/>
        <w:tblLayout w:type="fixed"/>
        <w:tblCellMar>
          <w:top w:w="28" w:type="dxa"/>
          <w:left w:w="28" w:type="dxa"/>
          <w:bottom w:w="28" w:type="dxa"/>
          <w:right w:w="28" w:type="dxa"/>
        </w:tblCellMar>
      </w:tblPr>
      <w:tblGrid>
        <w:gridCol w:w="767"/>
        <w:gridCol w:w="674"/>
        <w:gridCol w:w="677"/>
        <w:gridCol w:w="569"/>
        <w:gridCol w:w="539"/>
        <w:gridCol w:w="412"/>
        <w:gridCol w:w="109"/>
        <w:gridCol w:w="109"/>
        <w:gridCol w:w="109"/>
        <w:gridCol w:w="480"/>
        <w:gridCol w:w="1165"/>
        <w:gridCol w:w="250"/>
        <w:gridCol w:w="109"/>
        <w:gridCol w:w="109"/>
        <w:gridCol w:w="109"/>
        <w:gridCol w:w="824"/>
        <w:gridCol w:w="824"/>
        <w:gridCol w:w="826"/>
        <w:gridCol w:w="109"/>
        <w:gridCol w:w="109"/>
        <w:gridCol w:w="109"/>
        <w:gridCol w:w="260"/>
        <w:gridCol w:w="761"/>
        <w:gridCol w:w="196"/>
      </w:tblGrid>
      <w:tr>
        <w:trPr/>
        <w:tc>
          <w:tcPr>
            <w:tcW w:w="7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Intrinsic Value </w:t>
              <w:br/>
              <w:t>(in thousands)</w:t>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2023</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13,315,796 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(8,007,999)</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(321,911)</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1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4,985,886 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(658,396)</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1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4,252,490 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2024</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4,985,886 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4,252,490 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intrinsic value of options exercised during the years ended December 31, 2025, 2024 and 2023 were immaterial</w:t>
      </w:r>
      <w:r>
        <w:rPr>
          <w:rFonts w:ascii="Times New Roman;serif" w:hAnsi="Times New Roman;serif"/>
          <w:b w:val="false"/>
          <w:color w:val="000000"/>
          <w:sz w:val="22"/>
        </w:rPr>
        <w:t xml:space="preserve">, </w:t>
      </w:r>
      <w:r>
        <w:rPr>
          <w:rFonts w:ascii="Times New Roman;serif" w:hAnsi="Times New Roman;serif"/>
          <w:b w:val="false"/>
          <w:color w:val="000000"/>
          <w:sz w:val="20"/>
        </w:rPr>
        <w:t>$12.6 million and $0.1 million, respectively. This intrinsic value represents the difference between the fair value of the Company’s common stock on the date of exercise and the exercise price of each option. The total fair value of options vested during the years ended December 31, 2025, 2024 and 2023 were $0.0 million</w:t>
      </w:r>
      <w:r>
        <w:rPr>
          <w:rFonts w:ascii="Times New Roman;serif" w:hAnsi="Times New Roman;serif"/>
          <w:b w:val="false"/>
          <w:color w:val="000000"/>
          <w:sz w:val="22"/>
        </w:rPr>
        <w:t xml:space="preserve">, </w:t>
      </w:r>
      <w:r>
        <w:rPr>
          <w:rFonts w:ascii="Times New Roman;serif" w:hAnsi="Times New Roman;serif"/>
          <w:b w:val="false"/>
          <w:color w:val="000000"/>
          <w:sz w:val="20"/>
        </w:rPr>
        <w:t xml:space="preserve">$0.1 million and $0.7 million, respectively. As of December 31, 2025 and 2024, there was no unrecognized stock-based compensation expense related to unvested stock options.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extended the post-termination exercise period for each outstanding stock option held by certain former executives such that the post-termination exercise period will end on the earlier of (i) the original expiration date of the stock option, or (ii) the date that is the 3-year anniversary of certain former executives no longer providing services to the Company. There were no changes to the exercise price or other terms of these stock options, and these stock options were already fully vested prior to the modification. As a result of this modification, we recognized incremental stock-based compensation expense of $0.5 million for the year ended December 31, 2023.</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2025, 4,356,092 additional shares were reserved for issuance pursuant to this provision</w:t>
      </w:r>
      <w:r>
        <w:rPr>
          <w:rFonts w:ascii="Times New Roman;serif" w:hAnsi="Times New Roman;serif"/>
          <w:b w:val="false"/>
          <w:color w:val="008080"/>
          <w:sz w:val="24"/>
        </w:rPr>
        <w:t xml:space="preserve">. </w:t>
      </w:r>
      <w:r>
        <w:rPr>
          <w:rFonts w:ascii="Times New Roman;serif" w:hAnsi="Times New Roman;serif"/>
          <w:b w:val="false"/>
          <w:color w:val="000000"/>
          <w:sz w:val="20"/>
        </w:rPr>
        <w:t xml:space="preserve">The maximum number of shares of the Company’s common stock that may be issued on the exercise of ISOs under its 2021 Plan is 75,100,000 shares. </w:t>
      </w:r>
    </w:p>
    <w:p>
      <w:pPr>
        <w:pStyle w:val="TextBody"/>
        <w:bidi w:val="0"/>
        <w:spacing w:before="0" w:after="0"/>
        <w:ind w:left="0" w:right="0" w:firstLine="720"/>
        <w:jc w:val="both"/>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2023 Inducement Plan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December 31, 2025, there were 738,806 shares available for future grant under the Inducement Plan.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2025, the Company granted 202,880 RSUs to the Chief Financial Officer under the 2023 Inducement Plan. On March 16, 2025, the Company granted 115,122 RSUs to the Senior Vice President of Supply Chain under the 2023 Inducement Plan. On February 29, 2024, the Company granted 208,757 RSUs to the Chief People Officer under the 2023 Inducement Plan. On March 21, 2023, the Company granted 1,845,238 RSUs to the Chief Executive Officer under the 2023 Inducement Plan. On May 18, 2023, the Company granted 843,565 RSUs to the Chief Growth Officer under the 2023 Inducement Plan. On November 1, 2023, the Company granted 827,357 RSUs to the Chief Financial Officer under the 2023 Inducement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RSU activity under the 2021 Equity Incentive Plan and the 2023 Inducement Plan: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4"/>
        <w:gridCol w:w="627"/>
        <w:gridCol w:w="630"/>
        <w:gridCol w:w="553"/>
        <w:gridCol w:w="553"/>
        <w:gridCol w:w="554"/>
        <w:gridCol w:w="134"/>
        <w:gridCol w:w="134"/>
        <w:gridCol w:w="134"/>
        <w:gridCol w:w="775"/>
        <w:gridCol w:w="580"/>
        <w:gridCol w:w="582"/>
        <w:gridCol w:w="109"/>
        <w:gridCol w:w="109"/>
        <w:gridCol w:w="109"/>
        <w:gridCol w:w="503"/>
        <w:gridCol w:w="985"/>
        <w:gridCol w:w="172"/>
        <w:gridCol w:w="156"/>
        <w:gridCol w:w="156"/>
        <w:gridCol w:w="156"/>
        <w:gridCol w:w="527"/>
        <w:gridCol w:w="956"/>
        <w:gridCol w:w="297"/>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Directors, Officers and Employees</w:t>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2023</w:t>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957,199 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7,299,254 </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545,178 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4,890,798 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(775,804)</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(4,411,643)</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(821,805)</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2024</w:t>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726,573 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6,956,604 </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345,077 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2,629,375 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(652,726)</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(2,874,632)</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(1,444,879)</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2025</w:t>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418,924 </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5,266,468 </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3"/>
        </w:rPr>
      </w:pPr>
      <w:r>
        <w:rPr>
          <w:rFonts w:ascii="Times New Roman;serif" w:hAnsi="Times New Roman;serif"/>
          <w:b w:val="false"/>
          <w:color w:val="000000"/>
          <w:sz w:val="13"/>
        </w:rPr>
        <w:t>_______________</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The Company modified certain former executives' RSUs to accelerate vesting, resulting in stock-based compensation expense of $6.7 million during the year ended December 31, 2024.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there was $18.7 million and $17.6 million, respectively, of unrecognized stock-based compensation expense related to unvested RSUs, which is expected to be recognized over a weighted-average period of 2.3 years and 2.6 years,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forth in clauses (i) and (ii). On January 1, 2025, 1,089,023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w:t>
      </w:r>
      <w:r>
        <w:rPr>
          <w:rFonts w:ascii="Times New Roman;serif" w:hAnsi="Times New Roman;serif"/>
          <w:b w:val="false"/>
          <w:color w:val="231F20"/>
          <w:sz w:val="20"/>
        </w:rPr>
        <w:t>years ended December 31, 2025 and 2024</w:t>
      </w:r>
      <w:r>
        <w:rPr>
          <w:rFonts w:ascii="Times New Roman;serif" w:hAnsi="Times New Roman;serif"/>
          <w:b w:val="false"/>
          <w:color w:val="000000"/>
          <w:sz w:val="20"/>
        </w:rPr>
        <w:t xml:space="preserve">, employees who elected to participate in the 2021 ESPP purchased 47,582 and 95,830 shares of common stock, respectively, under the 2021 ESPP, resulting in cash proceeds to the Company of $0.2 million and $0.2 million, respectively. The weighted average price at purchase was $3.19 and $1.70 per share for the years ended December 31, 2025 and 2024, respectively. As of December 31, 2025 and 2024, the Company had 4,658,349 and 3,616,908, respectively, remaining authorized shares available for purchase.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input assumptions used in the Black-Scholes option-pricing model to estimate the grant-date fair value of the 2021 ESPP:</w:t>
      </w:r>
    </w:p>
    <w:tbl>
      <w:tblPr>
        <w:tblW w:w="7577" w:type="dxa"/>
        <w:jc w:val="left"/>
        <w:tblInd w:w="0" w:type="dxa"/>
        <w:tblLayout w:type="fixed"/>
        <w:tblCellMar>
          <w:top w:w="28" w:type="dxa"/>
          <w:left w:w="28" w:type="dxa"/>
          <w:bottom w:w="28" w:type="dxa"/>
          <w:right w:w="28" w:type="dxa"/>
        </w:tblCellMar>
      </w:tblPr>
      <w:tblGrid>
        <w:gridCol w:w="1038"/>
        <w:gridCol w:w="912"/>
        <w:gridCol w:w="915"/>
        <w:gridCol w:w="211"/>
        <w:gridCol w:w="511"/>
        <w:gridCol w:w="109"/>
        <w:gridCol w:w="115"/>
        <w:gridCol w:w="115"/>
        <w:gridCol w:w="116"/>
        <w:gridCol w:w="211"/>
        <w:gridCol w:w="511"/>
        <w:gridCol w:w="109"/>
        <w:gridCol w:w="109"/>
        <w:gridCol w:w="109"/>
        <w:gridCol w:w="109"/>
        <w:gridCol w:w="211"/>
        <w:gridCol w:w="511"/>
        <w:gridCol w:w="271"/>
        <w:gridCol w:w="115"/>
        <w:gridCol w:w="115"/>
        <w:gridCol w:w="116"/>
        <w:gridCol w:w="211"/>
        <w:gridCol w:w="511"/>
        <w:gridCol w:w="316"/>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 (in years)</w:t>
            </w:r>
          </w:p>
        </w:tc>
        <w:tc>
          <w:tcPr>
            <w:tcW w:w="20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63.10%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79.27 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2008"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Grant-date fair value per share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 awards under the 2021 Equity Incentive Plan and the 2023 Inducement Plan, 2021 ESPP purchases and stock options, as applicable, are as follows:</w:t>
      </w:r>
    </w:p>
    <w:p>
      <w:pPr>
        <w:pStyle w:val="TextBody"/>
        <w:bidi w:val="0"/>
        <w:spacing w:before="0" w:after="0"/>
        <w:jc w:val="left"/>
        <w:rPr/>
      </w:pPr>
      <w:r>
        <w:rPr/>
      </w:r>
    </w:p>
    <w:tbl>
      <w:tblPr>
        <w:tblW w:w="7973" w:type="dxa"/>
        <w:jc w:val="left"/>
        <w:tblInd w:w="0" w:type="dxa"/>
        <w:tblLayout w:type="fixed"/>
        <w:tblCellMar>
          <w:top w:w="28" w:type="dxa"/>
          <w:left w:w="28" w:type="dxa"/>
          <w:bottom w:w="28" w:type="dxa"/>
          <w:right w:w="28" w:type="dxa"/>
        </w:tblCellMar>
      </w:tblPr>
      <w:tblGrid>
        <w:gridCol w:w="1248"/>
        <w:gridCol w:w="1097"/>
        <w:gridCol w:w="1105"/>
        <w:gridCol w:w="109"/>
        <w:gridCol w:w="109"/>
        <w:gridCol w:w="120"/>
        <w:gridCol w:w="120"/>
        <w:gridCol w:w="232"/>
        <w:gridCol w:w="794"/>
        <w:gridCol w:w="120"/>
        <w:gridCol w:w="120"/>
        <w:gridCol w:w="120"/>
        <w:gridCol w:w="120"/>
        <w:gridCol w:w="232"/>
        <w:gridCol w:w="794"/>
        <w:gridCol w:w="120"/>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i/>
          <w:color w:val="000000"/>
          <w:sz w:val="13"/>
        </w:rPr>
      </w:pPr>
      <w:r>
        <w:rPr>
          <w:rFonts w:ascii="Times New Roman;serif" w:hAnsi="Times New Roman;serif"/>
          <w:b w:val="false"/>
          <w:i/>
          <w:color w:val="000000"/>
          <w:sz w:val="13"/>
        </w:rPr>
        <w:t>__________________</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Includes $6.7 million and $3.1 million, respectively, of stock-based compensation expense during the years ended December 31, 2024 and 2023 related to the acceleration of RSUs held by certain former executives. The Company extended the post-termination stock option exercise period for certain former executives, resulting in stock-based compensation expense of $0.5 million during the year ended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12.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2084"/>
        <w:gridCol w:w="1814"/>
        <w:gridCol w:w="1826"/>
        <w:gridCol w:w="264"/>
        <w:gridCol w:w="922"/>
        <w:gridCol w:w="109"/>
        <w:gridCol w:w="109"/>
        <w:gridCol w:w="109"/>
        <w:gridCol w:w="109"/>
        <w:gridCol w:w="297"/>
        <w:gridCol w:w="889"/>
        <w:gridCol w:w="109"/>
        <w:gridCol w:w="109"/>
        <w:gridCol w:w="109"/>
        <w:gridCol w:w="109"/>
        <w:gridCol w:w="240"/>
        <w:gridCol w:w="841"/>
        <w:gridCol w:w="156"/>
      </w:tblGrid>
      <w:tr>
        <w:trPr/>
        <w:tc>
          <w:tcPr>
            <w:tcW w:w="208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and per share values)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 basic and diluted</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 and diluted</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111,209,322 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100,245,394 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94,516,690 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shares were excluded from the computation of diluted net income (loss) per share because including them would have been antidilutive: </w:t>
      </w:r>
    </w:p>
    <w:tbl>
      <w:tblPr>
        <w:tblW w:w="9315" w:type="dxa"/>
        <w:jc w:val="left"/>
        <w:tblInd w:w="0" w:type="dxa"/>
        <w:tblLayout w:type="fixed"/>
        <w:tblCellMar>
          <w:top w:w="28" w:type="dxa"/>
          <w:left w:w="28" w:type="dxa"/>
          <w:bottom w:w="28" w:type="dxa"/>
          <w:right w:w="28" w:type="dxa"/>
        </w:tblCellMar>
      </w:tblPr>
      <w:tblGrid>
        <w:gridCol w:w="1247"/>
        <w:gridCol w:w="1099"/>
        <w:gridCol w:w="1103"/>
        <w:gridCol w:w="109"/>
        <w:gridCol w:w="109"/>
        <w:gridCol w:w="263"/>
        <w:gridCol w:w="263"/>
        <w:gridCol w:w="681"/>
        <w:gridCol w:w="400"/>
        <w:gridCol w:w="263"/>
        <w:gridCol w:w="263"/>
        <w:gridCol w:w="263"/>
        <w:gridCol w:w="263"/>
        <w:gridCol w:w="681"/>
        <w:gridCol w:w="400"/>
        <w:gridCol w:w="263"/>
        <w:gridCol w:w="109"/>
        <w:gridCol w:w="109"/>
        <w:gridCol w:w="109"/>
        <w:gridCol w:w="540"/>
        <w:gridCol w:w="541"/>
        <w:gridCol w:w="237"/>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3" w:type="dxa"/>
            <w:gridSpan w:val="1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645"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4,413,917 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4,985,886 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13,315,796 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7,394,489 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7,683,177 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8,256,453 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71,142 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11,835,412 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12,689,816 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21,643,391 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13.     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Loss from continuing operations before income tax was as follows:</w:t>
      </w:r>
    </w:p>
    <w:p>
      <w:pPr>
        <w:pStyle w:val="TextBody"/>
        <w:bidi w:val="0"/>
        <w:spacing w:before="0" w:after="0"/>
        <w:jc w:val="left"/>
        <w:rPr/>
      </w:pPr>
      <w:r>
        <w:rPr/>
      </w:r>
    </w:p>
    <w:tbl>
      <w:tblPr>
        <w:tblW w:w="5232" w:type="dxa"/>
        <w:jc w:val="left"/>
        <w:tblInd w:w="0" w:type="dxa"/>
        <w:tblLayout w:type="fixed"/>
        <w:tblCellMar>
          <w:top w:w="28" w:type="dxa"/>
          <w:left w:w="28" w:type="dxa"/>
          <w:bottom w:w="28" w:type="dxa"/>
          <w:right w:w="28" w:type="dxa"/>
        </w:tblCellMar>
      </w:tblPr>
      <w:tblGrid>
        <w:gridCol w:w="467"/>
        <w:gridCol w:w="411"/>
        <w:gridCol w:w="412"/>
        <w:gridCol w:w="211"/>
        <w:gridCol w:w="796"/>
        <w:gridCol w:w="109"/>
        <w:gridCol w:w="109"/>
        <w:gridCol w:w="109"/>
        <w:gridCol w:w="109"/>
        <w:gridCol w:w="211"/>
        <w:gridCol w:w="691"/>
        <w:gridCol w:w="109"/>
        <w:gridCol w:w="109"/>
        <w:gridCol w:w="109"/>
        <w:gridCol w:w="109"/>
        <w:gridCol w:w="211"/>
        <w:gridCol w:w="79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i/>
                <w:color w:val="231F20"/>
                <w:sz w:val="20"/>
              </w:rPr>
            </w:pPr>
            <w:r>
              <w:rPr>
                <w:rFonts w:ascii="Times New Roman;serif" w:hAnsi="Times New Roman;serif"/>
                <w:b w:val="false"/>
                <w:i/>
                <w:color w:val="231F20"/>
                <w:sz w:val="20"/>
              </w:rPr>
              <w:t>(In thousands)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components of income tax provision consisted of the following:</w:t>
      </w:r>
    </w:p>
    <w:tbl>
      <w:tblPr>
        <w:tblW w:w="6053" w:type="dxa"/>
        <w:jc w:val="left"/>
        <w:tblInd w:w="0" w:type="dxa"/>
        <w:tblLayout w:type="fixed"/>
        <w:tblCellMar>
          <w:top w:w="28" w:type="dxa"/>
          <w:left w:w="28" w:type="dxa"/>
          <w:bottom w:w="28" w:type="dxa"/>
          <w:right w:w="28" w:type="dxa"/>
        </w:tblCellMar>
      </w:tblPr>
      <w:tblGrid>
        <w:gridCol w:w="668"/>
        <w:gridCol w:w="588"/>
        <w:gridCol w:w="589"/>
        <w:gridCol w:w="109"/>
        <w:gridCol w:w="109"/>
        <w:gridCol w:w="153"/>
        <w:gridCol w:w="153"/>
        <w:gridCol w:w="297"/>
        <w:gridCol w:w="656"/>
        <w:gridCol w:w="153"/>
        <w:gridCol w:w="153"/>
        <w:gridCol w:w="153"/>
        <w:gridCol w:w="153"/>
        <w:gridCol w:w="297"/>
        <w:gridCol w:w="571"/>
        <w:gridCol w:w="153"/>
        <w:gridCol w:w="109"/>
        <w:gridCol w:w="109"/>
        <w:gridCol w:w="109"/>
        <w:gridCol w:w="211"/>
        <w:gridCol w:w="40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5" w:after="283"/>
        <w:ind w:left="0" w:right="0" w:firstLine="720"/>
        <w:jc w:val="left"/>
        <w:rPr/>
      </w:pPr>
      <w:r>
        <w:rPr>
          <w:rFonts w:ascii="Times New Roman;serif" w:hAnsi="Times New Roman;serif"/>
          <w:b w:val="false"/>
          <w:color w:val="231F20"/>
          <w:sz w:val="20"/>
        </w:rPr>
        <w:t>The reconciliation of the income tax benefit computed at the U.S. federal statutory rate of</w:t>
      </w:r>
      <w:r>
        <w:rPr>
          <w:color w:val="000000"/>
        </w:rPr>
        <w:t xml:space="preserve"> </w:t>
      </w:r>
      <w:r>
        <w:rPr>
          <w:rFonts w:ascii="Times New Roman;serif" w:hAnsi="Times New Roman;serif"/>
          <w:b w:val="false"/>
          <w:color w:val="000000"/>
          <w:sz w:val="20"/>
        </w:rPr>
        <w:t>21%</w:t>
      </w:r>
      <w:r>
        <w:rPr>
          <w:color w:val="231F20"/>
        </w:rPr>
        <w:t xml:space="preserve"> </w:t>
      </w:r>
      <w:r>
        <w:rPr>
          <w:rFonts w:ascii="Times New Roman;serif" w:hAnsi="Times New Roman;serif"/>
          <w:b w:val="false"/>
          <w:color w:val="231F20"/>
          <w:sz w:val="20"/>
        </w:rPr>
        <w:t>to the Company’s income tax provision is as follows:</w:t>
      </w:r>
    </w:p>
    <w:p>
      <w:pPr>
        <w:pStyle w:val="TextBody"/>
        <w:bidi w:val="0"/>
        <w:spacing w:before="0" w:after="0"/>
        <w:jc w:val="right"/>
        <w:rPr/>
      </w:pPr>
      <w:r>
        <w:rPr/>
      </w:r>
    </w:p>
    <w:p>
      <w:pPr>
        <w:pStyle w:val="TextBody"/>
        <w:bidi w:val="0"/>
        <w:spacing w:before="5" w:after="283"/>
        <w:jc w:val="left"/>
        <w:rPr/>
      </w:pPr>
      <w:r>
        <w:rPr/>
      </w:r>
    </w:p>
    <w:tbl>
      <w:tblPr>
        <w:tblW w:w="10205" w:type="dxa"/>
        <w:jc w:val="left"/>
        <w:tblInd w:w="0" w:type="dxa"/>
        <w:tblLayout w:type="fixed"/>
        <w:tblCellMar>
          <w:top w:w="28" w:type="dxa"/>
          <w:left w:w="28" w:type="dxa"/>
          <w:bottom w:w="28" w:type="dxa"/>
          <w:right w:w="28" w:type="dxa"/>
        </w:tblCellMar>
      </w:tblPr>
      <w:tblGrid>
        <w:gridCol w:w="1279"/>
        <w:gridCol w:w="923"/>
        <w:gridCol w:w="925"/>
        <w:gridCol w:w="211"/>
        <w:gridCol w:w="656"/>
        <w:gridCol w:w="109"/>
        <w:gridCol w:w="109"/>
        <w:gridCol w:w="109"/>
        <w:gridCol w:w="109"/>
        <w:gridCol w:w="274"/>
        <w:gridCol w:w="276"/>
        <w:gridCol w:w="271"/>
        <w:gridCol w:w="109"/>
        <w:gridCol w:w="109"/>
        <w:gridCol w:w="109"/>
        <w:gridCol w:w="211"/>
        <w:gridCol w:w="656"/>
        <w:gridCol w:w="109"/>
        <w:gridCol w:w="109"/>
        <w:gridCol w:w="109"/>
        <w:gridCol w:w="109"/>
        <w:gridCol w:w="274"/>
        <w:gridCol w:w="276"/>
        <w:gridCol w:w="271"/>
        <w:gridCol w:w="109"/>
        <w:gridCol w:w="109"/>
        <w:gridCol w:w="109"/>
        <w:gridCol w:w="211"/>
        <w:gridCol w:w="656"/>
        <w:gridCol w:w="109"/>
        <w:gridCol w:w="109"/>
        <w:gridCol w:w="109"/>
        <w:gridCol w:w="109"/>
        <w:gridCol w:w="274"/>
        <w:gridCol w:w="276"/>
        <w:gridCol w:w="323"/>
      </w:tblGrid>
      <w:tr>
        <w:trPr/>
        <w:tc>
          <w:tcPr>
            <w:tcW w:w="1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U.S. federal statutory rate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State and local income taxes (net of federal income tax effect)</w:t>
            </w:r>
            <w:r>
              <w:rPr>
                <w:rFonts w:ascii="Times New Roman;serif" w:hAnsi="Times New Roman;serif"/>
                <w:b w:val="false"/>
                <w:color w:val="231F20"/>
                <w:sz w:val="13"/>
              </w:rPr>
              <w:t>(1)</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Change in valuation allowance </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Nontaxable or nondeductible items: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231F20"/>
              </w:rPr>
            </w:pPr>
            <w:r>
              <w:rPr>
                <w:color w:val="231F20"/>
              </w:rPr>
              <w:t>   </w:t>
            </w:r>
            <w:r>
              <w:rPr>
                <w:rFonts w:ascii="Times New Roman;serif" w:hAnsi="Times New Roman;serif"/>
                <w:b w:val="false"/>
                <w:color w:val="231F20"/>
                <w:sz w:val="20"/>
              </w:rPr>
              <w:t>Share-based payment awards</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231F20"/>
              </w:rPr>
            </w:pPr>
            <w:r>
              <w:rPr>
                <w:color w:val="231F20"/>
              </w:rPr>
              <w:t>   </w:t>
            </w:r>
            <w:r>
              <w:rPr>
                <w:rFonts w:ascii="Times New Roman;serif" w:hAnsi="Times New Roman;serif"/>
                <w:b w:val="false"/>
                <w:color w:val="231F20"/>
                <w:sz w:val="20"/>
              </w:rPr>
              <w:t>Nondeductible compensation under §162(m)</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231F20"/>
              </w:rPr>
            </w:pPr>
            <w:r>
              <w:rPr>
                <w:color w:val="231F20"/>
              </w:rPr>
              <w:t>   </w:t>
            </w:r>
            <w:r>
              <w:rPr>
                <w:rFonts w:ascii="Times New Roman;serif" w:hAnsi="Times New Roman;serif"/>
                <w:b w:val="false"/>
                <w:color w:val="231F20"/>
                <w:sz w:val="20"/>
              </w:rPr>
              <w:t>Nondeductible parking</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231F20"/>
              </w:rPr>
            </w:pPr>
            <w:r>
              <w:rPr>
                <w:color w:val="231F20"/>
              </w:rPr>
              <w:t>   </w:t>
            </w:r>
            <w:r>
              <w:rPr>
                <w:rFonts w:ascii="Times New Roman;serif" w:hAnsi="Times New Roman;serif"/>
                <w:b w:val="false"/>
                <w:color w:val="231F20"/>
                <w:sz w:val="20"/>
              </w:rPr>
              <w:t>Other</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unrecognized tax benefits</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Other adjustments</w:t>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260"/>
        <w:jc w:val="left"/>
        <w:rPr>
          <w:rFonts w:ascii="Times New Roman;serif" w:hAnsi="Times New Roman;serif"/>
          <w:b w:val="false"/>
          <w:color w:val="000000"/>
          <w:sz w:val="22"/>
        </w:rPr>
      </w:pPr>
      <w:r>
        <w:rPr>
          <w:rFonts w:ascii="Times New Roman;serif" w:hAnsi="Times New Roman;serif"/>
          <w:b w:val="false"/>
          <w:color w:val="000000"/>
          <w:sz w:val="22"/>
        </w:rPr>
        <w:t>___________</w:t>
      </w:r>
    </w:p>
    <w:p>
      <w:pPr>
        <w:pStyle w:val="TextBody"/>
        <w:bidi w:val="0"/>
        <w:spacing w:lineRule="auto" w:line="288" w:before="0" w:after="0"/>
        <w:jc w:val="left"/>
        <w:rPr>
          <w:rFonts w:ascii="Times New Roman;serif" w:hAnsi="Times New Roman;serif"/>
          <w:b w:val="false"/>
          <w:color w:val="231F20"/>
          <w:sz w:val="13"/>
        </w:rPr>
      </w:pPr>
      <w:r>
        <w:rPr>
          <w:rFonts w:ascii="Times New Roman;serif" w:hAnsi="Times New Roman;serif"/>
          <w:b w:val="false"/>
          <w:color w:val="231F20"/>
          <w:sz w:val="13"/>
        </w:rPr>
        <w:t>(1) State taxes in Texas and New York comprised the majority (greater than 50 percent) of the tax effect in this category.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tax effects of temporary differences that gave rise to significant portions of deferred tax assets and liabilities were as follows: </w:t>
      </w:r>
    </w:p>
    <w:p>
      <w:pPr>
        <w:pStyle w:val="TextBody"/>
        <w:bidi w:val="0"/>
        <w:spacing w:before="10" w:after="283"/>
        <w:jc w:val="left"/>
        <w:rPr/>
      </w:pPr>
      <w:r>
        <w:rPr/>
      </w:r>
    </w:p>
    <w:tbl>
      <w:tblPr>
        <w:tblW w:w="5826" w:type="dxa"/>
        <w:jc w:val="left"/>
        <w:tblInd w:w="0" w:type="dxa"/>
        <w:tblLayout w:type="fixed"/>
        <w:tblCellMar>
          <w:top w:w="28" w:type="dxa"/>
          <w:left w:w="28" w:type="dxa"/>
          <w:bottom w:w="28" w:type="dxa"/>
          <w:right w:w="28" w:type="dxa"/>
        </w:tblCellMar>
      </w:tblPr>
      <w:tblGrid>
        <w:gridCol w:w="1298"/>
        <w:gridCol w:w="1141"/>
        <w:gridCol w:w="1145"/>
        <w:gridCol w:w="281"/>
        <w:gridCol w:w="545"/>
        <w:gridCol w:w="109"/>
        <w:gridCol w:w="109"/>
        <w:gridCol w:w="109"/>
        <w:gridCol w:w="109"/>
        <w:gridCol w:w="281"/>
        <w:gridCol w:w="545"/>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231F20"/>
                <w:sz w:val="20"/>
              </w:rPr>
            </w:pPr>
            <w:r>
              <w:rPr>
                <w:rFonts w:ascii="Times New Roman;serif" w:hAnsi="Times New Roman;serif"/>
                <w:b/>
                <w:color w:val="231F20"/>
                <w:sz w:val="20"/>
              </w:rPr>
              <w:t>Deferred tax assets</w:t>
            </w:r>
          </w:p>
        </w:tc>
        <w:tc>
          <w:tcPr>
            <w:tcW w:w="2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Intangible assets</w:t>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liability</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Accrued expenses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Deferred revenue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Allowances, reserves and other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Stock-based compensation</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Section 174 capitalized expenses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Net operating loss and other carryforwards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tax assets </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34" w:after="283"/>
              <w:jc w:val="left"/>
              <w:rPr>
                <w:rFonts w:ascii="Times New Roman;serif" w:hAnsi="Times New Roman;serif"/>
                <w:b w:val="false"/>
                <w:color w:val="231F20"/>
                <w:sz w:val="20"/>
              </w:rPr>
            </w:pPr>
            <w:r>
              <w:rPr>
                <w:rFonts w:ascii="Times New Roman;serif" w:hAnsi="Times New Roman;serif"/>
                <w:b w:val="false"/>
                <w:color w:val="231F20"/>
                <w:sz w:val="20"/>
              </w:rPr>
              <w:t xml:space="preserve">Valuation allowance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deferred tax assets </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Deferred tax liabilities</w:t>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val="false"/>
                <w:color w:val="231F20"/>
                <w:sz w:val="20"/>
              </w:rPr>
            </w:pPr>
            <w:r>
              <w:rPr>
                <w:rFonts w:ascii="Times New Roman;serif" w:hAnsi="Times New Roman;serif"/>
                <w:b w:val="false"/>
                <w:color w:val="231F20"/>
                <w:sz w:val="20"/>
              </w:rPr>
              <w:t xml:space="preserve">Property and equipment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Prepaid expenses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State taxes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tax liabilities </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taxes</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2025 budget reconciliation bill, officially known as the One Big Beautiful Bill Act of 2025 (the “Act”), was enacted into law. The Act includes a broad range of tax reforms such as deductions for domestic research and development expenditures and federal bonus depreciation. The Company has evaluated the provisions of the Act and determined that, because it maintains a full valuation allowance against its deferred tax assets, the Act does not have a material impact on the Company’s condensed consolidated financial statements or effective tax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The amounts of income taxes paid (net of refunds received) by jurisdiction are as follows: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2"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before="0" w:after="0"/>
        <w:jc w:val="left"/>
        <w:rPr/>
      </w:pPr>
      <w:r>
        <w:rPr/>
      </w:r>
    </w:p>
    <w:tbl>
      <w:tblPr>
        <w:tblW w:w="4225" w:type="dxa"/>
        <w:jc w:val="left"/>
        <w:tblInd w:w="0" w:type="dxa"/>
        <w:tblLayout w:type="fixed"/>
        <w:tblCellMar>
          <w:top w:w="28" w:type="dxa"/>
          <w:left w:w="28" w:type="dxa"/>
          <w:bottom w:w="28" w:type="dxa"/>
          <w:right w:w="28" w:type="dxa"/>
        </w:tblCellMar>
      </w:tblPr>
      <w:tblGrid>
        <w:gridCol w:w="467"/>
        <w:gridCol w:w="411"/>
        <w:gridCol w:w="412"/>
        <w:gridCol w:w="215"/>
        <w:gridCol w:w="415"/>
        <w:gridCol w:w="111"/>
        <w:gridCol w:w="111"/>
        <w:gridCol w:w="111"/>
        <w:gridCol w:w="111"/>
        <w:gridCol w:w="215"/>
        <w:gridCol w:w="415"/>
        <w:gridCol w:w="111"/>
        <w:gridCol w:w="111"/>
        <w:gridCol w:w="111"/>
        <w:gridCol w:w="111"/>
        <w:gridCol w:w="215"/>
        <w:gridCol w:w="415"/>
        <w:gridCol w:w="157"/>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i/>
                <w:color w:val="231F20"/>
                <w:sz w:val="20"/>
              </w:rPr>
            </w:pPr>
            <w:r>
              <w:rPr>
                <w:rFonts w:ascii="Times New Roman;serif" w:hAnsi="Times New Roman;serif"/>
                <w:b w:val="false"/>
                <w:i/>
                <w:color w:val="231F20"/>
                <w:sz w:val="20"/>
              </w:rPr>
              <w:t>(In thousands)</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For the applicable periods all tax cash payments were immaterial and are therefore not being separately disclosed.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Operating Loss Carryforwards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As of December 31, 2025, the Company had federal and state net operating loss carryforwards tax effect of $313.0 million and $274.0 million, respectively. As of December 31, 2024, The Company had federal and state net operating loss carryforwards tax effect of $313.0 million and $272.0 million, respectively. Federal and state net operating loss carryforwards begin to expire in 2032. As of December 31, 2025 and 2024, the Company did not have any state tax credits. Federal net operating losses generated after January 1, 2018 would not expire, but would only be available to offset up to 80% of the Company’s future taxable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The IRC imposes substantial restrictions on the utilization of net operating losses and other tax attributes in the event of an “ownership change” of a corporation. Accordingly, a company’s ability to use pre-change net operating loss and research tax credits may be limited as prescribed under IRC Sections 382 and 383. Events which may cause limitation in the amount of the net operating losses and credits that the Company utilizes in any one year include, but are not limited to, a cumulative ownership change of more than 50% over a three-year period. The Company performed a study to determine whether net operating losses and credit carryover limitations exist under Section 382 as of December 31, 2025, and determined that a portion of the net operating losses that were generated during 2022 and prior are subject to Section 382 annual limitations. As of December 31, 2025 and </w:t>
      </w:r>
      <w:r>
        <w:rPr>
          <w:rFonts w:ascii="Times New Roman;serif" w:hAnsi="Times New Roman;serif"/>
          <w:b w:val="false"/>
          <w:color w:val="000000"/>
          <w:sz w:val="20"/>
        </w:rPr>
        <w:t>2024</w:t>
      </w:r>
      <w:r>
        <w:rPr>
          <w:rFonts w:ascii="Times New Roman;serif" w:hAnsi="Times New Roman;serif"/>
          <w:b w:val="false"/>
          <w:color w:val="231F20"/>
          <w:sz w:val="20"/>
        </w:rPr>
        <w:t xml:space="preserve">, these limitations did not cause any of the limited net operating losses to be permanently lost.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Valuation Allowance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or includable in taxable income. Management assesses the available positive and negative evidence to estimate if sufficient future taxable income will be generated to use the existing deferred tax assets.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A significant piece of objective negative evidence evaluated was the cumulative loss incurred over the three-year period ended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Such objective evidence limits the ability to consider other subjective evidence such as its projections for future growth. To the extent that a valuation allowance has been established and it is subsequently determined that it is more likely than not that the deferred tax assets will be recovered, the valuation allowance will be released. At </w:t>
      </w:r>
      <w:r>
        <w:rPr>
          <w:rFonts w:ascii="Times New Roman;serif" w:hAnsi="Times New Roman;serif"/>
          <w:b w:val="false"/>
          <w:color w:val="000000"/>
          <w:sz w:val="20"/>
        </w:rPr>
        <w:t>December 31, 2025</w:t>
      </w:r>
      <w:r>
        <w:rPr>
          <w:rFonts w:ascii="Times New Roman;serif" w:hAnsi="Times New Roman;serif"/>
          <w:b w:val="false"/>
          <w:color w:val="231F20"/>
          <w:sz w:val="20"/>
        </w:rPr>
        <w:t>, based on all available evidence, a full valuation allowance has been recorded since it is more likely than not that the deferred tax assets will not be realized.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following table summarizes the changes in the valuation allowance:</w:t>
      </w:r>
    </w:p>
    <w:p>
      <w:pPr>
        <w:pStyle w:val="TextBody"/>
        <w:bidi w:val="0"/>
        <w:spacing w:before="1" w:after="283"/>
        <w:jc w:val="left"/>
        <w:rPr/>
      </w:pPr>
      <w:r>
        <w:rPr/>
      </w:r>
    </w:p>
    <w:tbl>
      <w:tblPr>
        <w:tblW w:w="6552" w:type="dxa"/>
        <w:jc w:val="left"/>
        <w:tblInd w:w="0" w:type="dxa"/>
        <w:tblLayout w:type="fixed"/>
        <w:tblCellMar>
          <w:top w:w="28" w:type="dxa"/>
          <w:left w:w="28" w:type="dxa"/>
          <w:bottom w:w="28" w:type="dxa"/>
          <w:right w:w="28" w:type="dxa"/>
        </w:tblCellMar>
      </w:tblPr>
      <w:tblGrid>
        <w:gridCol w:w="988"/>
        <w:gridCol w:w="870"/>
        <w:gridCol w:w="872"/>
        <w:gridCol w:w="211"/>
        <w:gridCol w:w="721"/>
        <w:gridCol w:w="109"/>
        <w:gridCol w:w="109"/>
        <w:gridCol w:w="109"/>
        <w:gridCol w:w="109"/>
        <w:gridCol w:w="211"/>
        <w:gridCol w:w="721"/>
        <w:gridCol w:w="109"/>
        <w:gridCol w:w="109"/>
        <w:gridCol w:w="109"/>
        <w:gridCol w:w="109"/>
        <w:gridCol w:w="211"/>
        <w:gridCol w:w="72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i/>
                <w:color w:val="231F20"/>
                <w:sz w:val="20"/>
              </w:rPr>
            </w:pPr>
            <w:r>
              <w:rPr>
                <w:rFonts w:ascii="Times New Roman;serif" w:hAnsi="Times New Roman;serif"/>
                <w:b w:val="false"/>
                <w:i/>
                <w:color w:val="231F20"/>
                <w:sz w:val="20"/>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balance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to valuation allowance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increases (decreases)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Ending balance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98,771 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260"/>
        <w:jc w:val="left"/>
        <w:rPr/>
      </w:pPr>
      <w:r>
        <w:rPr/>
      </w:r>
    </w:p>
    <w:p>
      <w:pPr>
        <w:pStyle w:val="TextBody"/>
        <w:bidi w:val="0"/>
        <w:spacing w:lineRule="auto" w:line="268" w:before="34" w:after="1"/>
        <w:jc w:val="left"/>
        <w:rPr>
          <w:rFonts w:ascii="Times New Roman;serif" w:hAnsi="Times New Roman;serif"/>
          <w:b/>
          <w:color w:val="000000"/>
          <w:sz w:val="20"/>
        </w:rPr>
      </w:pPr>
      <w:r>
        <w:rPr>
          <w:rFonts w:ascii="Times New Roman;serif" w:hAnsi="Times New Roman;serif"/>
          <w:b/>
          <w:color w:val="000000"/>
          <w:sz w:val="20"/>
        </w:rPr>
        <w:t>Uncertain Tax Positions</w:t>
      </w:r>
    </w:p>
    <w:p>
      <w:pPr>
        <w:pStyle w:val="TextBody"/>
        <w:bidi w:val="0"/>
        <w:spacing w:before="1" w:after="1"/>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The Company is subject to taxation in the U.S. federal and various state jurisdictions. </w:t>
      </w:r>
      <w:r>
        <w:rPr>
          <w:rFonts w:ascii="Times New Roman;serif" w:hAnsi="Times New Roman;serif"/>
          <w:b w:val="false"/>
          <w:color w:val="000000"/>
          <w:sz w:val="20"/>
        </w:rPr>
        <w:t xml:space="preserve">During the years ended December 31, 2025 and 2024, the Company has not recorded any uncertain tax positions and has not recognized interest or penalties in the consolidated statements of comprehensive loss. </w:t>
      </w:r>
      <w:r>
        <w:rPr>
          <w:rFonts w:ascii="Times New Roman;serif" w:hAnsi="Times New Roman;serif"/>
          <w:b w:val="false"/>
          <w:color w:val="231F20"/>
          <w:sz w:val="20"/>
        </w:rPr>
        <w:t xml:space="preserve">The Company is subject to examination from federal tax authorities for years 2022, 2023 and 2024. To the extent allowed by law, the federal and state tax authorities may have the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examine prior periods where net operating losses or tax credits were generated and carried forward and make adjustments up to the amount of the net operating loss or credit carryforward.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less than six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 connection with two of the Company’s facility leases, the Company is required to obtain irrevocable letters of credit in lieu of security deposits. The letters of credit totaled $1.5 million and $2.5 million as of December 31, 2025 and 2024, respectively, and expire within a set number of days after the expirations of the facilities leases. In connection with one of the Company’s office facility lease, following the fourth year of the lease, the letter of credit balance can be reduced annually by a stated amount in the lease agreement, so long as the Company complies with certain covenants. In connection with the Company’s warehouse lease, the letter of credit balance is reduced annually by a stated amount in the lease agreement, so long as the Company complies with certain covenants.</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5756" w:type="dxa"/>
        <w:jc w:val="left"/>
        <w:tblInd w:w="0" w:type="dxa"/>
        <w:tblLayout w:type="fixed"/>
        <w:tblCellMar>
          <w:top w:w="28" w:type="dxa"/>
          <w:left w:w="28" w:type="dxa"/>
          <w:bottom w:w="28" w:type="dxa"/>
          <w:right w:w="28" w:type="dxa"/>
        </w:tblCellMar>
      </w:tblPr>
      <w:tblGrid>
        <w:gridCol w:w="815"/>
        <w:gridCol w:w="714"/>
        <w:gridCol w:w="720"/>
        <w:gridCol w:w="211"/>
        <w:gridCol w:w="616"/>
        <w:gridCol w:w="109"/>
        <w:gridCol w:w="109"/>
        <w:gridCol w:w="109"/>
        <w:gridCol w:w="109"/>
        <w:gridCol w:w="211"/>
        <w:gridCol w:w="616"/>
        <w:gridCol w:w="109"/>
        <w:gridCol w:w="109"/>
        <w:gridCol w:w="109"/>
        <w:gridCol w:w="109"/>
        <w:gridCol w:w="211"/>
        <w:gridCol w:w="61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0" w:after="0"/>
        <w:jc w:val="left"/>
        <w:rPr/>
      </w:pPr>
      <w:r>
        <w:rPr/>
      </w:r>
    </w:p>
    <w:p>
      <w:pPr>
        <w:pStyle w:val="TextBody"/>
        <w:bidi w:val="0"/>
        <w:spacing w:lineRule="auto" w:line="268" w:before="1" w:after="1"/>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consolidated statements of comprehensive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amount of lease assets and lease liabilities included in the Company’s consolidated balance sheets (in thousands):</w:t>
      </w:r>
    </w:p>
    <w:p>
      <w:pPr>
        <w:pStyle w:val="TextBody"/>
        <w:bidi w:val="0"/>
        <w:spacing w:before="0" w:after="0"/>
        <w:ind w:left="0" w:right="0" w:firstLine="720"/>
        <w:jc w:val="left"/>
        <w:rPr/>
      </w:pPr>
      <w:r>
        <w:rPr/>
      </w:r>
    </w:p>
    <w:tbl>
      <w:tblPr>
        <w:tblW w:w="9317" w:type="dxa"/>
        <w:jc w:val="left"/>
        <w:tblInd w:w="0" w:type="dxa"/>
        <w:tblLayout w:type="fixed"/>
        <w:tblCellMar>
          <w:top w:w="28" w:type="dxa"/>
          <w:left w:w="28" w:type="dxa"/>
          <w:bottom w:w="28" w:type="dxa"/>
          <w:right w:w="28" w:type="dxa"/>
        </w:tblCellMar>
      </w:tblPr>
      <w:tblGrid>
        <w:gridCol w:w="796"/>
        <w:gridCol w:w="701"/>
        <w:gridCol w:w="708"/>
        <w:gridCol w:w="109"/>
        <w:gridCol w:w="109"/>
        <w:gridCol w:w="109"/>
        <w:gridCol w:w="1333"/>
        <w:gridCol w:w="1333"/>
        <w:gridCol w:w="1338"/>
        <w:gridCol w:w="109"/>
        <w:gridCol w:w="109"/>
        <w:gridCol w:w="109"/>
        <w:gridCol w:w="211"/>
        <w:gridCol w:w="721"/>
        <w:gridCol w:w="109"/>
        <w:gridCol w:w="109"/>
        <w:gridCol w:w="109"/>
        <w:gridCol w:w="109"/>
        <w:gridCol w:w="211"/>
        <w:gridCol w:w="721"/>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leases for the year ended December 31, 2025 was as follows:</w:t>
      </w:r>
    </w:p>
    <w:tbl>
      <w:tblPr>
        <w:tblW w:w="10150" w:type="dxa"/>
        <w:jc w:val="left"/>
        <w:tblInd w:w="0" w:type="dxa"/>
        <w:tblLayout w:type="fixed"/>
        <w:tblCellMar>
          <w:top w:w="28" w:type="dxa"/>
          <w:left w:w="28" w:type="dxa"/>
          <w:bottom w:w="28" w:type="dxa"/>
          <w:right w:w="28" w:type="dxa"/>
        </w:tblCellMar>
      </w:tblPr>
      <w:tblGrid>
        <w:gridCol w:w="2614"/>
        <w:gridCol w:w="2296"/>
        <w:gridCol w:w="2305"/>
        <w:gridCol w:w="241"/>
        <w:gridCol w:w="705"/>
        <w:gridCol w:w="310"/>
        <w:gridCol w:w="124"/>
        <w:gridCol w:w="124"/>
        <w:gridCol w:w="124"/>
        <w:gridCol w:w="241"/>
        <w:gridCol w:w="705"/>
        <w:gridCol w:w="361"/>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leases</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 (in thousands)</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used in operating leases</w:t>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Financing cash flows used in finance leases</w:t>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During the year ended December 31, 2025, ROU assets obtained in exchange for new operating lease liabilities were </w:t>
      </w:r>
      <w:r>
        <w:rPr>
          <w:rFonts w:ascii="Times New Roman;serif" w:hAnsi="Times New Roman;serif"/>
          <w:b w:val="false"/>
          <w:color w:val="000000"/>
          <w:sz w:val="22"/>
        </w:rPr>
        <w:t>$0.8 million</w:t>
      </w:r>
      <w:r>
        <w:rPr>
          <w:rFonts w:ascii="Times New Roman;serif" w:hAnsi="Times New Roman;serif"/>
          <w:b w:val="false"/>
          <w:color w:val="000000"/>
          <w:sz w:val="20"/>
        </w:rPr>
        <w:t xml:space="preserve">. During the year ended December 31, 2025, the Company did not have any finance leases.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required under operating leases as of December 31, 2025, were as follows (in thousands):</w:t>
      </w:r>
    </w:p>
    <w:tbl>
      <w:tblPr>
        <w:tblW w:w="5062" w:type="dxa"/>
        <w:jc w:val="left"/>
        <w:tblInd w:w="0" w:type="dxa"/>
        <w:tblLayout w:type="fixed"/>
        <w:tblCellMar>
          <w:top w:w="28" w:type="dxa"/>
          <w:left w:w="28" w:type="dxa"/>
          <w:bottom w:w="28" w:type="dxa"/>
          <w:right w:w="28" w:type="dxa"/>
        </w:tblCellMar>
      </w:tblPr>
      <w:tblGrid>
        <w:gridCol w:w="1161"/>
        <w:gridCol w:w="1018"/>
        <w:gridCol w:w="1031"/>
        <w:gridCol w:w="322"/>
        <w:gridCol w:w="1101"/>
        <w:gridCol w:w="166"/>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w:t>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13,961 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15.     Restructuring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Transformation 2.0: Powering Honest Growth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Company's Board of Directors approved Transformation 2.0: Powering Honest Growth ("Powering Honest Growth") which builds upon the Company's original Transformation Pillars of Brand Maximization, Margin Enhancement and Operating Discipline. Powering Honest Growth is aimed at improving simplicity, focus and profitability, which includes exiting certain lower margin, non-strategic categories and channels, including exiting Honest.com fulfillment and apparel, as well as exiting retail and online stores in Canada, optimizing our cost structure by rightsizing selling, general and administrative expenses and implementing supply chain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costs are one of the elements of Powering Honest Growth and are included in Restructuring on the consolidated statements of comprehensive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Contract and External Obligation Costs — include expense to terminate contracts prior to expiration, litigation and professional fees, and other costs associated with external obligations arising from restructuring.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Employee and Personnel-Related Costs — primarily severance and other post-employment benefit costs, calculated based on salary levels, prior service, statutory minimum benefits, and other personnel-related expenses incurred as a result of restructuring.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Asset and Other Restructuring-Related Costs — consist primarily of technology taken out of service.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costs associated with the restructuring once the relevant accounting criteria have been met. Costs associated with Powering Honest Growth, including restructuring costs, are expected to be approximately $30.0 million to $35.0 million to be recognized through the first quarter of 2027. Of this range, the Company expects approximately $5.0 million to $8.0 million to be related to restructuring costs, primarily comprising contractual and external obligation costs, employee and personnel-related costs and asset and other restructuring-related costs, and approximately $25.0 million to $27.0 million to be related to other costs included in cost of revenue, primarily related to a discrete inventory write-down related to exiting apparel,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asset impairments, and costs associated with the warehouse closure, some of which have already been incurred. During the year ended December 31, 2025, we have recognized $24.0 million of total costs related to Powering Honest Growth. See table below for additional details of total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for the year ended December 31, 2025 were as follows (in thousands):</w:t>
      </w:r>
    </w:p>
    <w:p>
      <w:pPr>
        <w:pStyle w:val="TextBody"/>
        <w:bidi w:val="0"/>
        <w:spacing w:before="0" w:after="0"/>
        <w:ind w:left="0" w:right="0" w:firstLine="720"/>
        <w:jc w:val="left"/>
        <w:rPr/>
      </w:pPr>
      <w:r>
        <w:rPr/>
      </w:r>
    </w:p>
    <w:tbl>
      <w:tblPr>
        <w:tblW w:w="6057"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681"/>
        <w:gridCol w:w="2327"/>
        <w:gridCol w:w="351"/>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19,837 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The Company recorded a discrete inventory write-down of $15.9 million, inclusive of overhead costs and tariffs, related to exiting apparel; machinery and equipment write-offs of $2.5 million; apparel purchase commitments of $1.1 million; and accelerated depreciation of $0.4 million which is included in cost of revenue on the consolidated statements of comprehensive loss.</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(2) Refer to the restructuring table below for additional details of the costs included in restructuring costs.</w:t>
      </w:r>
    </w:p>
    <w:p>
      <w:pPr>
        <w:pStyle w:val="TextBody"/>
        <w:bidi w:val="0"/>
        <w:spacing w:before="1" w:after="1"/>
        <w:ind w:left="0" w:right="0" w:firstLine="720"/>
        <w:jc w:val="left"/>
        <w:rPr/>
      </w:pPr>
      <w:r>
        <w:rPr/>
      </w:r>
    </w:p>
    <w:p>
      <w:pPr>
        <w:pStyle w:val="TextBody"/>
        <w:bidi w:val="0"/>
        <w:spacing w:lineRule="auto" w:line="268" w:before="1" w:after="1"/>
        <w:jc w:val="left"/>
        <w:rPr>
          <w:rFonts w:ascii="Times New Roman;serif" w:hAnsi="Times New Roman;serif"/>
          <w:b w:val="false"/>
          <w:color w:val="000000"/>
          <w:sz w:val="20"/>
        </w:rPr>
      </w:pPr>
      <w:r>
        <w:rPr>
          <w:rFonts w:ascii="Times New Roman;serif" w:hAnsi="Times New Roman;serif"/>
          <w:b w:val="false"/>
          <w:color w:val="000000"/>
          <w:sz w:val="20"/>
        </w:rPr>
        <w:t>Charges incurred to restructuring costs for the year ended December 31, 2025 were: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2"/>
        <w:gridCol w:w="384"/>
        <w:gridCol w:w="442"/>
        <w:gridCol w:w="1291"/>
        <w:gridCol w:w="230"/>
        <w:gridCol w:w="109"/>
        <w:gridCol w:w="109"/>
        <w:gridCol w:w="109"/>
        <w:gridCol w:w="678"/>
        <w:gridCol w:w="1499"/>
        <w:gridCol w:w="352"/>
        <w:gridCol w:w="770"/>
        <w:gridCol w:w="1702"/>
        <w:gridCol w:w="398"/>
        <w:gridCol w:w="109"/>
        <w:gridCol w:w="109"/>
        <w:gridCol w:w="109"/>
        <w:gridCol w:w="211"/>
        <w:gridCol w:w="616"/>
        <w:gridCol w:w="16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2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Charges for the year ended December 31, 2025</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ind w:left="0" w:right="0" w:firstLine="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accrued expenses as of December 31, 2025 were: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32"/>
        <w:gridCol w:w="463"/>
        <w:gridCol w:w="466"/>
        <w:gridCol w:w="404"/>
        <w:gridCol w:w="1180"/>
        <w:gridCol w:w="211"/>
        <w:gridCol w:w="109"/>
        <w:gridCol w:w="109"/>
        <w:gridCol w:w="109"/>
        <w:gridCol w:w="640"/>
        <w:gridCol w:w="1234"/>
        <w:gridCol w:w="332"/>
        <w:gridCol w:w="109"/>
        <w:gridCol w:w="109"/>
        <w:gridCol w:w="109"/>
        <w:gridCol w:w="747"/>
        <w:gridCol w:w="1439"/>
        <w:gridCol w:w="388"/>
        <w:gridCol w:w="109"/>
        <w:gridCol w:w="109"/>
        <w:gridCol w:w="109"/>
        <w:gridCol w:w="211"/>
        <w:gridCol w:w="616"/>
        <w:gridCol w:w="161"/>
      </w:tblGrid>
      <w:tr>
        <w:trPr/>
        <w:tc>
          <w:tcPr>
            <w:tcW w:w="73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Restructuring-Related Costs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Charges </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Included in accrued expenses as of December 31, 2025. Refer to Note 9, "Accrued Expenses" included elsewhere in these consolidated financial statements.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On February 20, 2026, the Company’s Board of Directors approved the Company’s first share repurchase program for up to </w:t>
      </w:r>
      <w:r>
        <w:rPr>
          <w:rFonts w:ascii="Times New Roman;serif" w:hAnsi="Times New Roman;serif"/>
          <w:b w:val="false"/>
          <w:color w:val="000000"/>
          <w:sz w:val="20"/>
        </w:rPr>
        <w:t>$25 million</w:t>
      </w:r>
      <w:r>
        <w:rPr>
          <w:color w:val="231F20"/>
        </w:rPr>
        <w:t xml:space="preserve"> </w:t>
      </w:r>
      <w:r>
        <w:rPr>
          <w:rFonts w:ascii="Times New Roman;serif" w:hAnsi="Times New Roman;serif"/>
          <w:b w:val="false"/>
          <w:color w:val="231F20"/>
          <w:sz w:val="20"/>
        </w:rPr>
        <w:t>of its outstanding common stock. Under the program, share repurchases may be made at the Company’s discretion from time to time in open market transactions or privately negotiated transactions, or by other means, including through Rule 10b5-1 trading plans. The timing and number of shares repurchased under the new program will depend on a variety of factors, including, without limitation, stock price, trading volume, and general business and market conditions. The repurchase program does not obligate the Company to purchase any shares, has no expiration date and may be modified, suspended or terminated at any time. The Company expects to fund repurchases with a combination of existing cash and cash equivalents and cash flows from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maintain “disclosure controls a</w:t>
      </w:r>
      <w:r>
        <w:rPr>
          <w:rFonts w:ascii="Times New Roman;serif" w:hAnsi="Times New Roman;serif"/>
          <w:b w:val="false"/>
          <w:color w:val="000000"/>
          <w:sz w:val="20"/>
          <w:shd w:fill="FFFFFF" w:val="clear"/>
        </w:rPr>
        <w:t xml:space="preserve">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erif" w:hAnsi="Times New Roman;serif"/>
          <w:b w:val="false"/>
          <w:color w:val="000000"/>
          <w:sz w:val="20"/>
        </w:rPr>
        <w:t xml:space="preserve">Our management, with the participation of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evaluated, as of the period ended December 31, 2025,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1" w:after="1"/>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2025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does not include an attestation report of our registered public accounting firm due to an exemption for “emerging growth companies.”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the Company's internal control over financial reporting that occurred during the quarter ended December 31, 2025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contracts, instructions or written plans adopted or terminated during the quarter ended December 31, 2025 providing for the purchase and/or sale of the Company's securities by the Company’s directors and officers (as defined in Rule 16a-1(f) under the Exchange Act):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2"/>
        <w:gridCol w:w="364"/>
        <w:gridCol w:w="367"/>
        <w:gridCol w:w="666"/>
        <w:gridCol w:w="603"/>
        <w:gridCol w:w="611"/>
        <w:gridCol w:w="309"/>
        <w:gridCol w:w="309"/>
        <w:gridCol w:w="313"/>
        <w:gridCol w:w="245"/>
        <w:gridCol w:w="245"/>
        <w:gridCol w:w="251"/>
        <w:gridCol w:w="303"/>
        <w:gridCol w:w="303"/>
        <w:gridCol w:w="303"/>
        <w:gridCol w:w="492"/>
        <w:gridCol w:w="371"/>
        <w:gridCol w:w="356"/>
        <w:gridCol w:w="680"/>
        <w:gridCol w:w="680"/>
        <w:gridCol w:w="683"/>
        <w:gridCol w:w="386"/>
        <w:gridCol w:w="386"/>
        <w:gridCol w:w="557"/>
      </w:tblGrid>
      <w:tr>
        <w:trPr/>
        <w:tc>
          <w:tcPr>
            <w:tcW w:w="4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Action</w:t>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Rule 10b5-1</w:t>
            </w:r>
            <w:r>
              <w:rPr>
                <w:rFonts w:ascii="Times New Roman;serif" w:hAnsi="Times New Roman;serif"/>
                <w:b/>
                <w:color w:val="000000"/>
                <w:sz w:val="13"/>
              </w:rPr>
              <w:t>(1)</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Non-Rule 10b5-1</w:t>
            </w:r>
            <w:r>
              <w:rPr>
                <w:rFonts w:ascii="Times New Roman;serif" w:hAnsi="Times New Roman;serif"/>
                <w:b/>
                <w:color w:val="000000"/>
                <w:sz w:val="13"/>
              </w:rPr>
              <w:t>(2)</w:t>
            </w:r>
          </w:p>
        </w:tc>
        <w:tc>
          <w:tcPr>
            <w:tcW w:w="204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Shares of Common Stock to be Sold</w:t>
            </w:r>
            <w:r>
              <w:rPr>
                <w:rFonts w:ascii="Times New Roman;serif" w:hAnsi="Times New Roman;serif"/>
                <w:b/>
                <w:color w:val="000000"/>
                <w:sz w:val="13"/>
              </w:rPr>
              <w:t>(3)</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Expiration Date</w:t>
            </w:r>
            <w:r>
              <w:rPr>
                <w:rFonts w:ascii="Times New Roman;serif" w:hAnsi="Times New Roman;serif"/>
                <w:b/>
                <w:color w:val="000000"/>
                <w:sz w:val="13"/>
              </w:rPr>
              <w:t>(3)</w:t>
            </w:r>
          </w:p>
        </w:tc>
      </w:tr>
      <w:tr>
        <w:trPr/>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Mayle</w:t>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Customer Sales</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12/10/2025</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88,777</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12/10/2025</w:t>
            </w:r>
          </w:p>
        </w:tc>
      </w:tr>
      <w:tr>
        <w:trPr/>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Winchell</w:t>
            </w:r>
          </w:p>
        </w:tc>
        <w:tc>
          <w:tcPr>
            <w:tcW w:w="1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Innovation Officer</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w:t>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11/19/2025</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60,000</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11/19/2025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Contract, instruction or written plan intended to satisfy the affirmative defense conditions of Rule10b5-1(c)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Non-Rule Rule 10b5-1 trading arrangement as defined in Item 408(c) of Regulation S-K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 Each 10b5-1 trading plan terminates on the earlier of: (i) the expiration date listed in the table above; (ii) the first date on which all trades set forth in such 10b5-1 trading plan have been executed; or (iii) such date when the 10b5-1 trading plan is otherwise terminated according to its terms.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Curtiss Bruce, our Chief Financial Officer, entered into a sell-to-cover arrangement adopted pursuant to Rule 10b5-1 on August 24, 2025 and Etienne von Kunssberg, our Senior Vice President, Supply Chain, entered into a sell-to-cover arrangement adopted pursuant to Rule 10b5-1 on June 16, 2025. The sell-to-cover arrangements adopted pursuant to Rule 10b5-1 authorized the pre-arranged sale of shares to satisfy tax withholding obligations of the Company arising exclusively from the vesting of time-vesting or performance-vesting restricted stock units and the related issuance of shares of common stock. The amount of shares of common stock to be sold to satisfy the Company’s tax withholding obligations under this arrangement is dependent on future events which cannot be known at this time, including the future trading price of Company's shares of common stock. The expiration date relating to the arrangement is dependent on future events which cannot be known at this time, including the final vest date of the applicable time-vesting or performance-vesting restricted stock units and the officer’s termination of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 that Prevent Inspections.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4" w:before="40" w:after="283"/>
        <w:jc w:val="center"/>
        <w:rPr>
          <w:rFonts w:ascii="Times New Roman;serif" w:hAnsi="Times New Roman;serif"/>
          <w:b/>
          <w:color w:val="000000"/>
          <w:sz w:val="24"/>
        </w:rPr>
      </w:pPr>
      <w:r>
        <w:rPr>
          <w:rFonts w:ascii="Times New Roman;serif" w:hAnsi="Times New Roman;serif"/>
          <w:b/>
          <w:color w:val="000000"/>
          <w:sz w:val="24"/>
        </w:rPr>
        <w:t>PART III</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“Proposal 1 Election of Directors”, “Delinquent Section 16(a) Reports”, and “Information Regarding the Board and Corporate Governance” in the Company’s definitive Proxy Statement for its 2026 Annual Stockholder Meeting, to be filed with the SEC within 120 days after December 31, 2025, and is incorporated herein by reference.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Code of Conduct that is applicable to all employees, officers and directors. Our Code of Conduct is available on our website at investors.honest.com. We expect that any amendments to the Code of Conduct, or any waivers of its requirements, will be disclosed on our website, if required by applicable law or the listing standards of The Nasdaq Global Select Market. The inclusion of our website address in this Annual Report on Form 10-K does not include or incorporate by reference into this Annual Report on Form 10-K the information on or accessible through our website.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11. Executive Compensation</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“Executive Compensation” and “Information Regarding the Board and Corporate Governance” in the Company’s definitive Proxy Statement for its 2026 Annual Stockholder Meeting, to be filed with the SEC within 120 days after December 31, 2025,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“Security Ownership of Certain Beneficial Owners and Management” and “Securities Authorized for Issuance Under Equity Compensation Plans” in the Company’s definitive Proxy Statement for its 2026 Annual Stockholder Meeting, to be filed with the SEC within 120 days after December 31, 2025,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“Transactions with Related Persons and Indemnification” and “Information Regarding the Board and Corporate Governance” in the Company’s definitive Proxy Statement for its 2026 Annual Stockholder Meeting, to be filed with the SEC within 120 days after December 31, 2025,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 “Principal Accountant Fees and Services” in the Company’s definitive Proxy Statement for its 2026 Annual Stockholder Meeting, to be filed with the SEC within 120 days after December 31, 2025,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before="0" w:after="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4"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68" w:before="0" w:after="0"/>
        <w:jc w:val="left"/>
        <w:rPr/>
      </w:pPr>
      <w:r>
        <w:rPr>
          <w:rFonts w:ascii="Times New Roman;serif" w:hAnsi="Times New Roman;serif"/>
          <w:b w:val="false"/>
          <w:color w:val="000000"/>
          <w:sz w:val="20"/>
          <w:shd w:fill="FFFFFF" w:val="clear"/>
        </w:rPr>
        <w:t>The following documents are filed as part of this Annual Report on Form 10-K:</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See Consolidated Financial Statements in Part II, Item 8 of this Annual Report on Form 10</w:t>
        <w:noBreakHyphen/>
        <w:t>K.</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Financial Statement Schedules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All financial statement schedules are omitted because they are not applicable, not required under the instructions, or the requested information is included in the consolidated financial statements or notes thereto.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Exhibits</w:t>
      </w:r>
      <w:r>
        <w:rPr>
          <w:rFonts w:ascii="Times New Roman;serif" w:hAnsi="Times New Roman;serif"/>
          <w:b w:val="false"/>
          <w:color w:val="000000"/>
          <w:sz w:val="20"/>
          <w:shd w:fill="FFFFFF" w:val="clear"/>
        </w:rPr>
        <w:t>. The following is a list of exhibits filed with this report or incorporated herein by reference: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1317"/>
        <w:gridCol w:w="1101"/>
        <w:gridCol w:w="1104"/>
        <w:gridCol w:w="109"/>
        <w:gridCol w:w="109"/>
        <w:gridCol w:w="109"/>
        <w:gridCol w:w="195"/>
        <w:gridCol w:w="195"/>
        <w:gridCol w:w="196"/>
        <w:gridCol w:w="109"/>
        <w:gridCol w:w="109"/>
        <w:gridCol w:w="109"/>
        <w:gridCol w:w="339"/>
        <w:gridCol w:w="273"/>
        <w:gridCol w:w="180"/>
        <w:gridCol w:w="109"/>
        <w:gridCol w:w="109"/>
        <w:gridCol w:w="109"/>
        <w:gridCol w:w="245"/>
        <w:gridCol w:w="245"/>
        <w:gridCol w:w="246"/>
        <w:gridCol w:w="109"/>
        <w:gridCol w:w="109"/>
        <w:gridCol w:w="109"/>
        <w:gridCol w:w="227"/>
        <w:gridCol w:w="227"/>
        <w:gridCol w:w="228"/>
        <w:gridCol w:w="109"/>
        <w:gridCol w:w="109"/>
        <w:gridCol w:w="109"/>
        <w:gridCol w:w="293"/>
        <w:gridCol w:w="293"/>
        <w:gridCol w:w="425"/>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File No.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5/11/2021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the Company, as currently in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00"/>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Common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00"/>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20"/>
                  <w:u w:val="single"/>
                </w:rPr>
                <w:t>10.1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2011 Stock Incentive Plan and forms of agreements thereunder.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00"/>
                  <w:sz w:val="20"/>
                  <w:u w:val="single"/>
                </w:rPr>
                <w:t>10.2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 Equity Incentive Plan and forms of agreements thereunder.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00"/>
                  <w:sz w:val="20"/>
                  <w:u w:val="single"/>
                </w:rPr>
                <w:t>10.3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2021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00"/>
                  <w:sz w:val="20"/>
                  <w:u w:val="single"/>
                </w:rPr>
                <w:t>10.4</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Compensation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00"/>
                  <w:sz w:val="20"/>
                  <w:u w:val="single"/>
                </w:rPr>
                <w:t>10.5</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Indemnity Agreement entered into by and between the Company and each director and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00"/>
                  <w:sz w:val="20"/>
                  <w:u w:val="single"/>
                </w:rPr>
                <w:t>10.6</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April 24, 2021, by and between the Company and Brendan Sheehey.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00"/>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 dated as of July 8, 2015, by and between the Company and CV Latitude 34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00"/>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Lease Agreement, dated as of November 16, 2016, by and between the Company and GLP US Management LLC (as successor in interest to PHI Donovan Land, LLC),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333-255150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00"/>
                  <w:sz w:val="20"/>
                  <w:u w:val="single"/>
                </w:rPr>
                <w:t>10.9</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April 22, 2022, by and between the Company and Steve Winchell.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00"/>
                  <w:sz w:val="20"/>
                  <w:u w:val="single"/>
                </w:rPr>
                <w:t>10.10</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April 13, 2023, by and between the Company and Katherine Barton.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00"/>
                  <w:sz w:val="20"/>
                  <w:u w:val="single"/>
                </w:rPr>
                <w:t>10.11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August 31, 2023, by and between the Company and David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00"/>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January 25, 2023, by and among the Company, the lenders party thereto and JPMorgan Chase Bank, N.A., as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left"/>
                              <w:rPr>
                                <w:rFonts w:ascii="Times New Roman;serif" w:hAnsi="Times New Roman;serif"/>
                                <w:b w:val="false"/>
                                <w:color w:val="000000"/>
                                <w:sz w:val="22"/>
                              </w:rPr>
                            </w:pPr>
                            <w:r>
                              <w:rPr>
                                <w:rFonts w:ascii="Times New Roman;serif" w:hAnsi="Times New Roman;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left"/>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2128"/>
        <w:gridCol w:w="1402"/>
        <w:gridCol w:w="1405"/>
        <w:gridCol w:w="109"/>
        <w:gridCol w:w="109"/>
        <w:gridCol w:w="109"/>
        <w:gridCol w:w="135"/>
        <w:gridCol w:w="135"/>
        <w:gridCol w:w="136"/>
        <w:gridCol w:w="109"/>
        <w:gridCol w:w="109"/>
        <w:gridCol w:w="109"/>
        <w:gridCol w:w="238"/>
        <w:gridCol w:w="238"/>
        <w:gridCol w:w="239"/>
        <w:gridCol w:w="109"/>
        <w:gridCol w:w="109"/>
        <w:gridCol w:w="109"/>
        <w:gridCol w:w="189"/>
        <w:gridCol w:w="189"/>
        <w:gridCol w:w="193"/>
        <w:gridCol w:w="109"/>
        <w:gridCol w:w="109"/>
        <w:gridCol w:w="109"/>
        <w:gridCol w:w="208"/>
        <w:gridCol w:w="208"/>
        <w:gridCol w:w="209"/>
        <w:gridCol w:w="109"/>
        <w:gridCol w:w="109"/>
        <w:gridCol w:w="109"/>
        <w:gridCol w:w="109"/>
        <w:gridCol w:w="109"/>
        <w:gridCol w:w="162"/>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00"/>
                  <w:sz w:val="20"/>
                  <w:u w:val="single"/>
                </w:rPr>
                <w:t>10.13</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January 9, 2023, by and between the Company and Carla Vernón.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00"/>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Inducement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00"/>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Global RSU Award Grant Notice and Global RSU Award Agreement under the 2023 Inducement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00"/>
                  <w:sz w:val="20"/>
                  <w:u w:val="single"/>
                </w:rPr>
                <w:t>10.16</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Amended and Restated Contract Manufacturing Agreement, dated as of January 1, 2024 by and between the Company and Valor Brands LLC, a.k.a. Ontex 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00"/>
                  <w:sz w:val="20"/>
                  <w:u w:val="single"/>
                </w:rPr>
                <w:t>10.17</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January 1, 2024, by and between the Company and Dorria Ball.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00"/>
                  <w:sz w:val="20"/>
                  <w:u w:val="single"/>
                </w:rPr>
                <w:t>10.18</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April 17, 2025, by and between the Company and Curtiss</w:t>
              <w:br/>
              <w:t>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00"/>
                  <w:sz w:val="20"/>
                  <w:u w:val="single"/>
                </w:rPr>
                <w:t>10.19</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Agreement and General Release of Claims, dated June 16, 2025, by and between</w:t>
              <w:br/>
              <w:t>the Company and Dave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0-evonkunssberge.htm">
              <w:r>
                <w:rPr>
                  <w:rStyle w:val="InternetLink"/>
                  <w:rFonts w:ascii="Times New Roman;serif" w:hAnsi="Times New Roman;serif"/>
                  <w:b w:val="false"/>
                  <w:color w:val="000000"/>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January 8, 2025, by and between the Company and Etienne von Kunssberg.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1-kbartonseparat.htm">
              <w:r>
                <w:rPr>
                  <w:rStyle w:val="InternetLink"/>
                  <w:rFonts w:ascii="Times New Roman;serif" w:hAnsi="Times New Roman;serif"/>
                  <w:b w:val="false"/>
                  <w:color w:val="000000"/>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and General Release of Claims, dated December 31, 2025, by and between the Company and Katherine Barton.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191xinsider.htm">
              <w:r>
                <w:rPr>
                  <w:rStyle w:val="InternetLink"/>
                  <w:rFonts w:ascii="Times New Roman;serif" w:hAnsi="Times New Roman;serif"/>
                  <w:b w:val="false"/>
                  <w:color w:val="000000"/>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Honest Company Insider Trading Policy.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00"/>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hibit231.htm">
              <w:r>
                <w:rPr>
                  <w:rStyle w:val="InternetLink"/>
                  <w:rFonts w:ascii="Times New Roman;serif" w:hAnsi="Times New Roman;serif"/>
                  <w:b w:val="false"/>
                  <w:color w:val="000000"/>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PricewaterhouseCoopers LLP,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ad6685c2b40a8a9210ef03e954439_190">
              <w:r>
                <w:rPr>
                  <w:rStyle w:val="InternetLink"/>
                  <w:rFonts w:ascii="Times New Roman;serif" w:hAnsi="Times New Roman;serif"/>
                  <w:b w:val="false"/>
                  <w:color w:val="000000"/>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of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hibit311.htm">
              <w:r>
                <w:rPr>
                  <w:rStyle w:val="InternetLink"/>
                  <w:rFonts w:ascii="Times New Roman;serif" w:hAnsi="Times New Roman;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and Rule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hibit312.htm">
              <w:r>
                <w:rPr>
                  <w:rStyle w:val="InternetLink"/>
                  <w:rFonts w:ascii="Times New Roman;serif" w:hAnsi="Times New Roman;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and Rule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hibit321.htm">
              <w:r>
                <w:rPr>
                  <w:rStyle w:val="InternetLink"/>
                  <w:rFonts w:ascii="Times New Roman;serif" w:hAnsi="Times New Roman;serif"/>
                  <w:b w:val="false"/>
                  <w:color w:val="000000"/>
                  <w:sz w:val="20"/>
                  <w:u w:val="single"/>
                </w:rPr>
                <w:t>32.1</w:t>
              </w:r>
            </w:hyperlink>
            <w:r>
              <w:rPr>
                <w:rFonts w:ascii="Times New Roman;serif" w:hAnsi="Times New Roman;serif"/>
                <w:b w:val="false"/>
                <w:color w:val="000000"/>
                <w:sz w:val="20"/>
              </w:rPr>
              <w:t>*</w:t>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Certification of Principal Executive Officer pursuant to 18 U.S.C. Section 1350, as adopted pursuant to Section 906 of the Sarbanes-Oxley Act of 2002 </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left"/>
                              <w:rPr>
                                <w:rFonts w:ascii="Times New Roman;serif" w:hAnsi="Times New Roman;serif"/>
                                <w:b w:val="false"/>
                                <w:color w:val="000000"/>
                                <w:sz w:val="22"/>
                              </w:rPr>
                            </w:pPr>
                            <w:r>
                              <w:rPr>
                                <w:rFonts w:ascii="Times New Roman;serif" w:hAnsi="Times New Roman;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left"/>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1"/>
        <w:gridCol w:w="195"/>
        <w:gridCol w:w="196"/>
        <w:gridCol w:w="109"/>
        <w:gridCol w:w="109"/>
        <w:gridCol w:w="109"/>
        <w:gridCol w:w="1695"/>
        <w:gridCol w:w="1695"/>
        <w:gridCol w:w="1699"/>
        <w:gridCol w:w="109"/>
        <w:gridCol w:w="109"/>
        <w:gridCol w:w="109"/>
        <w:gridCol w:w="140"/>
        <w:gridCol w:w="140"/>
        <w:gridCol w:w="141"/>
        <w:gridCol w:w="109"/>
        <w:gridCol w:w="109"/>
        <w:gridCol w:w="109"/>
        <w:gridCol w:w="252"/>
        <w:gridCol w:w="252"/>
        <w:gridCol w:w="253"/>
        <w:gridCol w:w="109"/>
        <w:gridCol w:w="109"/>
        <w:gridCol w:w="109"/>
        <w:gridCol w:w="109"/>
        <w:gridCol w:w="109"/>
        <w:gridCol w:w="109"/>
        <w:gridCol w:w="109"/>
        <w:gridCol w:w="109"/>
        <w:gridCol w:w="109"/>
        <w:gridCol w:w="212"/>
        <w:gridCol w:w="212"/>
        <w:gridCol w:w="213"/>
        <w:gridCol w:w="109"/>
        <w:gridCol w:w="109"/>
        <w:gridCol w:w="109"/>
        <w:gridCol w:w="109"/>
        <w:gridCol w:w="109"/>
        <w:gridCol w:w="162"/>
      </w:tblGrid>
      <w:tr>
        <w:trPr/>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4-25exhibit322.htm">
              <w:r>
                <w:rPr>
                  <w:rStyle w:val="InternetLink"/>
                  <w:rFonts w:ascii="Times New Roman;serif" w:hAnsi="Times New Roman;serif"/>
                  <w:b w:val="false"/>
                  <w:color w:val="000000"/>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00"/>
                  <w:sz w:val="20"/>
                  <w:u w:val="single"/>
                </w:rPr>
                <w:t>97</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 Clawback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Instance Document</w:t>
            </w:r>
          </w:p>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Taxonomy Extension Schema Document</w:t>
            </w:r>
          </w:p>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Taxonomy Extension Label Linkbase Document</w:t>
            </w:r>
          </w:p>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Taxonomy Extension Presentation Linkbase Document</w:t>
            </w:r>
          </w:p>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6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pStyle w:val="TextBody"/>
        <w:bidi w:val="0"/>
        <w:spacing w:lineRule="auto" w:line="268" w:before="0" w:after="0"/>
        <w:ind w:left="0" w:right="0" w:hanging="90"/>
        <w:jc w:val="left"/>
        <w:rPr>
          <w:color w:val="000000"/>
        </w:rPr>
      </w:pPr>
      <w:r>
        <w:rPr>
          <w:color w:val="000000"/>
        </w:rPr>
        <w:t xml:space="preserve">† </w:t>
      </w:r>
      <w:r>
        <w:rPr>
          <w:rFonts w:ascii="Times New Roman;serif" w:hAnsi="Times New Roman;serif"/>
          <w:b w:val="false"/>
          <w:color w:val="000000"/>
          <w:sz w:val="20"/>
        </w:rPr>
        <w:t>Pursuant to Item 601 (b)(10) of Regulation S-K, portions of this exhibit (indicated by asterisks) have been omitted because the registrant has determined that the information is both not material and is the type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417" w:type="dxa"/>
        <w:jc w:val="left"/>
        <w:tblInd w:w="0" w:type="dxa"/>
        <w:tblLayout w:type="fixed"/>
        <w:tblCellMar>
          <w:top w:w="28" w:type="dxa"/>
          <w:left w:w="28" w:type="dxa"/>
          <w:bottom w:w="28" w:type="dxa"/>
          <w:right w:w="28" w:type="dxa"/>
        </w:tblCellMar>
      </w:tblPr>
      <w:tblGrid>
        <w:gridCol w:w="754"/>
        <w:gridCol w:w="664"/>
        <w:gridCol w:w="667"/>
        <w:gridCol w:w="359"/>
        <w:gridCol w:w="359"/>
        <w:gridCol w:w="359"/>
        <w:gridCol w:w="948"/>
        <w:gridCol w:w="948"/>
        <w:gridCol w:w="135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Carla Vernón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Carla Vernón</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shd w:fill="FFFFFF" w:val="clear"/>
        </w:rPr>
        <w:t xml:space="preserve">POWER OF </w:t>
      </w:r>
      <w:r>
        <w:rPr>
          <w:rFonts w:ascii="Times New Roman;serif" w:hAnsi="Times New Roman;serif"/>
          <w:b/>
          <w:color w:val="000000"/>
          <w:sz w:val="20"/>
        </w:rPr>
        <w:t>ATTORNEY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KNOW ALL PERSONS BY THESE PRESENTS, that each person whose signature appears below constitutes and appoints Carla Vernón, Curtiss Bruce and Brendan Sheehey, and each one of them, as his or her true and lawful attorneys-in-fact and agents, with full power of substitution and resubstitution, for him or her and in their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before="0" w:after="0"/>
        <w:jc w:val="left"/>
        <w:rPr/>
      </w:pPr>
      <w:r>
        <w:rPr/>
      </w:r>
    </w:p>
    <w:tbl>
      <w:tblPr>
        <w:tblW w:w="8168" w:type="dxa"/>
        <w:jc w:val="left"/>
        <w:tblInd w:w="0" w:type="dxa"/>
        <w:tblLayout w:type="fixed"/>
        <w:tblCellMar>
          <w:top w:w="28" w:type="dxa"/>
          <w:left w:w="28" w:type="dxa"/>
          <w:bottom w:w="28" w:type="dxa"/>
          <w:right w:w="28" w:type="dxa"/>
        </w:tblCellMar>
      </w:tblPr>
      <w:tblGrid>
        <w:gridCol w:w="645"/>
        <w:gridCol w:w="567"/>
        <w:gridCol w:w="572"/>
        <w:gridCol w:w="109"/>
        <w:gridCol w:w="109"/>
        <w:gridCol w:w="109"/>
        <w:gridCol w:w="1359"/>
        <w:gridCol w:w="1359"/>
        <w:gridCol w:w="1377"/>
        <w:gridCol w:w="109"/>
        <w:gridCol w:w="109"/>
        <w:gridCol w:w="109"/>
        <w:gridCol w:w="476"/>
        <w:gridCol w:w="476"/>
        <w:gridCol w:w="683"/>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Date </w:t>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Carla Vernón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Curtiss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Jessica Warren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Jessica Warren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Barkley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Barkley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Katie Bayne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Katie Bayne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Gentile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Susan Gentile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Hartung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color w:val="000000"/>
              </w:rPr>
            </w:pPr>
            <w:r>
              <w:rPr>
                <w:color w:val="000000"/>
              </w:rPr>
              <w:t> </w:t>
            </w:r>
            <w:r>
              <w:rPr>
                <w:rFonts w:ascii="Times New Roman;serif" w:hAnsi="Times New Roman;serif"/>
                <w:b w:val="false"/>
                <w:color w:val="000000"/>
                <w:sz w:val="20"/>
              </w:rPr>
              <w:t>John R. Hartung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Alissa Hsu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Alissa Hsu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Andrea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Andrea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D.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283"/>
              <w:jc w:val="center"/>
              <w:rPr>
                <w:rFonts w:ascii="Times New Roman;serif" w:hAnsi="Times New Roman;serif"/>
                <w:b w:val="false"/>
                <w:color w:val="000000"/>
                <w:sz w:val="20"/>
              </w:rPr>
            </w:pPr>
            <w:r>
              <w:rPr>
                <w:rFonts w:ascii="Times New Roman;serif" w:hAnsi="Times New Roman;serif"/>
                <w:b w:val="false"/>
                <w:color w:val="000000"/>
                <w:sz w:val="20"/>
              </w:rPr>
              <w:t>James D.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10.20</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556" w:before="300" w:after="6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January 8,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Etienne (Ethan) von Kunssberg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Los Angeles, CA</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    Employment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Ethan: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Honest Company,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is pleased to offer you at-will employment in the position of SVP, Supply Chain on the terms and conditions set forth in this letter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color w:val="000000"/>
          <w:sz w:val="24"/>
        </w:rPr>
        <w:t>1.Employment by the Company.</w:t>
      </w:r>
      <w:r>
        <w:rPr>
          <w:color w:val="000000"/>
        </w:rPr>
        <w:t xml:space="preserve"> </w:t>
      </w:r>
      <w:r>
        <w:rPr>
          <w:rFonts w:ascii="Times New Roman;serif" w:hAnsi="Times New Roman;serif"/>
          <w:b w:val="false"/>
          <w:color w:val="000000"/>
          <w:sz w:val="24"/>
        </w:rPr>
        <w:t>This Agreement and your employment under the terms hereunder shall take effect on February 17,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2.Compensation.</w:t>
      </w:r>
    </w:p>
    <w:p>
      <w:pPr>
        <w:pStyle w:val="TextBody"/>
        <w:bidi w:val="0"/>
        <w:spacing w:lineRule="auto" w:line="288" w:before="0" w:after="240"/>
        <w:ind w:left="0" w:right="0" w:firstLine="720"/>
        <w:jc w:val="both"/>
        <w:rPr/>
      </w:pPr>
      <w:r>
        <w:rPr>
          <w:rFonts w:ascii="Times New Roman;serif" w:hAnsi="Times New Roman;serif"/>
          <w:b/>
          <w:color w:val="000000"/>
          <w:sz w:val="24"/>
        </w:rPr>
        <w:t>1.Base Salary.</w:t>
      </w:r>
      <w:r>
        <w:rPr>
          <w:color w:val="000000"/>
        </w:rPr>
        <w:t xml:space="preserve"> </w:t>
      </w:r>
      <w:r>
        <w:rPr>
          <w:rFonts w:ascii="Times New Roman;serif" w:hAnsi="Times New Roman;serif"/>
          <w:b w:val="false"/>
          <w:color w:val="000000"/>
          <w:sz w:val="24"/>
        </w:rPr>
        <w:t>For services to be rendered hereunder, you shall receive a base salary at the rate of $</w:t>
      </w:r>
      <w:r>
        <w:rPr>
          <w:color w:val="000000"/>
        </w:rPr>
        <w:t xml:space="preserve"> </w:t>
      </w:r>
      <w:r>
        <w:rPr>
          <w:rFonts w:ascii="Times New Roman;serif" w:hAnsi="Times New Roman;serif"/>
          <w:b/>
          <w:color w:val="000000"/>
          <w:sz w:val="24"/>
        </w:rPr>
        <w:t>355,000</w:t>
      </w:r>
      <w:r>
        <w:rPr>
          <w:color w:val="000000"/>
        </w:rPr>
        <w:t xml:space="preserve"> </w:t>
      </w:r>
      <w:r>
        <w:rPr>
          <w:rFonts w:ascii="Times New Roman;serif" w:hAnsi="Times New Roman;serif"/>
          <w:b w:val="false"/>
          <w:color w:val="000000"/>
          <w:sz w:val="24"/>
        </w:rPr>
        <w:t>per year (the “</w:t>
      </w:r>
      <w:r>
        <w:rPr>
          <w:rFonts w:ascii="Times New Roman;serif" w:hAnsi="Times New Roman;serif"/>
          <w:b/>
          <w:color w:val="000000"/>
          <w:sz w:val="24"/>
        </w:rPr>
        <w:t>Base Salary</w:t>
      </w:r>
      <w:r>
        <w:rPr>
          <w:color w:val="000000"/>
        </w:rPr>
        <w:t>”</w:t>
      </w:r>
      <w:r>
        <w:rPr>
          <w:rFonts w:ascii="Times New Roman;serif" w:hAnsi="Times New Roman;serif"/>
          <w:b w:val="false"/>
          <w:color w:val="000000"/>
          <w:sz w:val="24"/>
        </w:rPr>
        <w:t>), subject to standard payroll deductions and withholdings and payable in accordance with the Company’s regular payroll schedule.</w:t>
      </w:r>
    </w:p>
    <w:p>
      <w:pPr>
        <w:pStyle w:val="TextBody"/>
        <w:bidi w:val="0"/>
        <w:spacing w:lineRule="auto" w:line="288" w:before="0" w:after="240"/>
        <w:ind w:left="0" w:right="0" w:firstLine="720"/>
        <w:jc w:val="both"/>
        <w:rPr/>
      </w:pPr>
      <w:r>
        <w:rPr>
          <w:rFonts w:ascii="Times New Roman;serif" w:hAnsi="Times New Roman;serif"/>
          <w:b/>
          <w:color w:val="000000"/>
          <w:sz w:val="24"/>
        </w:rPr>
        <w:t>2.Annual Bonus.</w:t>
      </w:r>
      <w:r>
        <w:rPr>
          <w:color w:val="000000"/>
        </w:rPr>
        <w:t xml:space="preserve"> </w:t>
      </w:r>
      <w:r>
        <w:rPr>
          <w:rFonts w:ascii="Times New Roman;serif" w:hAnsi="Times New Roman;serif"/>
          <w:b w:val="false"/>
          <w:color w:val="000000"/>
          <w:sz w:val="24"/>
        </w:rPr>
        <w:t>You will be eligible for an annual discretionary bonus with a target amount of</w:t>
      </w:r>
      <w:r>
        <w:rPr>
          <w:color w:val="000000"/>
        </w:rPr>
        <w:t xml:space="preserve"> </w:t>
      </w:r>
      <w:r>
        <w:rPr>
          <w:rFonts w:ascii="Times New Roman;serif" w:hAnsi="Times New Roman;serif"/>
          <w:b/>
          <w:color w:val="000000"/>
          <w:sz w:val="24"/>
        </w:rPr>
        <w:t>55</w:t>
      </w:r>
      <w:r>
        <w:rPr>
          <w:rFonts w:ascii="Times New Roman;serif" w:hAnsi="Times New Roman;serif"/>
          <w:b w:val="false"/>
          <w:color w:val="000000"/>
          <w:sz w:val="24"/>
        </w:rPr>
        <w:t xml:space="preserve">% of your then current annual Base Salary (the </w:t>
      </w:r>
      <w:r>
        <w:rPr>
          <w:color w:val="000000"/>
        </w:rPr>
        <w:t>“</w:t>
      </w:r>
      <w:r>
        <w:rPr>
          <w:rFonts w:ascii="Times New Roman;serif" w:hAnsi="Times New Roman;serif"/>
          <w:b/>
          <w:color w:val="000000"/>
          <w:sz w:val="24"/>
        </w:rPr>
        <w:t>Annual Bonus”</w:t>
      </w:r>
      <w:r>
        <w:rPr>
          <w:rFonts w:ascii="Times New Roman;serif" w:hAnsi="Times New Roman;serif"/>
          <w:b w:val="false"/>
          <w:color w:val="000000"/>
          <w:sz w:val="24"/>
        </w:rPr>
        <w:t>). Whether you receive an Annual Bonus for any given year, and the amount of any such Annual Bonus, will be determined by the Board of Directors of the Company and/or its Compensation Committee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xml:space="preserve">)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to you in a lump sum no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calendar year that follows the performance year, subject to applicable payroll deductions and withholdings.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3.Sign on Bonus. </w:t>
      </w:r>
      <w:r>
        <w:rPr>
          <w:rFonts w:ascii="Times New Roman;serif" w:hAnsi="Times New Roman;serif"/>
          <w:b w:val="false"/>
          <w:color w:val="000000"/>
          <w:sz w:val="24"/>
        </w:rPr>
        <w:t>You will be paid a cash retention award of $35,000, subject to applicable withholdings, which shall be paid out on the first regular payroll cycle following the Effective Date. The payment is subject to repayment to the Company if you resign without Good Reason or are terminated for Cause within 12 months of the payment. This retention award will be subject to any recoupment policy adopted by the Company or as required by law.</w:t>
      </w:r>
    </w:p>
    <w:p>
      <w:pPr>
        <w:pStyle w:val="TextBody"/>
        <w:bidi w:val="0"/>
        <w:spacing w:lineRule="auto" w:line="288" w:before="0" w:after="240"/>
        <w:ind w:left="0" w:right="0" w:firstLine="720"/>
        <w:jc w:val="both"/>
        <w:rPr/>
      </w:pPr>
      <w:r>
        <w:rPr>
          <w:rFonts w:ascii="Times New Roman;serif" w:hAnsi="Times New Roman;serif"/>
          <w:b/>
          <w:color w:val="000000"/>
          <w:sz w:val="24"/>
        </w:rPr>
        <w:t>4.Equity</w:t>
      </w:r>
      <w:r>
        <w:rPr>
          <w:rFonts w:ascii="Times New Roman;serif" w:hAnsi="Times New Roman;serif"/>
          <w:b w:val="false"/>
          <w:color w:val="000000"/>
          <w:sz w:val="24"/>
        </w:rPr>
        <w:t xml:space="preserve">. Subject to the approval of the Board and you remaining employed by the Company through the grant date, the Company will grant you restricted stock units (“RSUs”) having a grant date value approximately equal to $650,000 as soon as administratively practicable following the Effective Date, with the number of RSUs to be calculated by dividing the grant value by the 30-day trailing average closing price of a share of the Company’s common stock on the date of grant. The RSUs will be granted under and governed by the Company’s 2023 Inducement Plan (the “2023 Plan”), the Company’s standard restricted stock unit award agreement and grant notice approved by the Board for use under the Plan, and subject to compliance with Section 409A of the Internal Revenue Code and any other applicable law. Twenty-five percent (25%) of the RSUs will vest on the Company quarterly vesting date next following the one-year anniversary of the Effective Date, and one-twelfth (1/12th) of the remaining RSUs will vest on each of the next twelve (12) Company quarterly vesting dates thereafter, subject to your Continuous Service (as defined in the Plan) on each vesting date. For clarity, the Board will determine the Company quarterly vesting dates at the time of grant in its sole and absolute discretion.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approval of the Board and you remaining employed by the Company through the grant date, the Company will grant you RSUs having a grant date value approximately equal to $490,000 in Q1 2026 or at the same time as 2026 annual grants are made to other of the Company’s executives, with the number of RSUs to be calculated by dividing the grant value by the 30-day trailing average closing price of a share of the Company’s common stock on the date of grant. The RSUs will be granted under and governed by the Company’s 2021 Equity Incentive Plan (the “2021 Plan”), the Company’s standard restricted stock unit award agreement and grant notice approved by the Board for use under the 2021 Plan, and subject to compliance with Section 409A of the Internal Revenue Code and any other applicable law. Twenty-five percent (25%) of the RSUs will vest on the Company quarterly vesting date following the one-year anniversary of the grant date, and one-twelfth (1/12th) of the remaining RSUs will vest on each of the next twelve (12) Company quarterly vesting dates thereafter, subject to your Continuous Service (as defined in the 2021 Plan) on each vesting date. For clarity, the Board will determine the Company quarterly vesting dates at the time of grant in its sole and absolute discretion.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will be eligible for future equity awards as determined by the Board in its sole discretion. RSU awards are generally subject to income and employment tax withholding upon settlement.</w:t>
      </w:r>
    </w:p>
    <w:p>
      <w:pPr>
        <w:pStyle w:val="TextBody"/>
        <w:bidi w:val="0"/>
        <w:spacing w:lineRule="auto" w:line="288" w:before="0" w:after="240"/>
        <w:jc w:val="both"/>
        <w:rPr/>
      </w:pPr>
      <w:r>
        <w:rPr>
          <w:rFonts w:ascii="Times New Roman;serif" w:hAnsi="Times New Roman;serif"/>
          <w:b/>
          <w:color w:val="000000"/>
          <w:sz w:val="24"/>
        </w:rPr>
        <w:t>3.</w:t>
      </w:r>
      <w:r>
        <w:rPr>
          <w:color w:val="000000"/>
        </w:rPr>
        <w:t xml:space="preserve"> </w:t>
      </w:r>
      <w:r>
        <w:rPr>
          <w:rFonts w:ascii="Times New Roman;serif" w:hAnsi="Times New Roman;serif"/>
          <w:b/>
          <w:color w:val="000000"/>
          <w:sz w:val="24"/>
        </w:rPr>
        <w:t>Business Expenses.</w:t>
      </w:r>
      <w:r>
        <w:rPr>
          <w:color w:val="000000"/>
        </w:rPr>
        <w:t xml:space="preserve"> </w:t>
      </w:r>
      <w:r>
        <w:rPr>
          <w:rFonts w:ascii="Times New Roman;serif" w:hAnsi="Times New Roman;serif"/>
          <w:b w:val="false"/>
          <w:color w:val="000000"/>
          <w:sz w:val="24"/>
        </w:rPr>
        <w:t>You will be eligible for reimbursement of all reasonable, necessary and documented out-of-pocket business, entertainment, and travel expenses incurred by you in connection with the performance of your duties hereunder in accordance with the Company's expense reimbursement policies and procedures.</w:t>
      </w:r>
    </w:p>
    <w:p>
      <w:pPr>
        <w:pStyle w:val="TextBody"/>
        <w:bidi w:val="0"/>
        <w:spacing w:lineRule="auto" w:line="288" w:before="0" w:after="240"/>
        <w:jc w:val="both"/>
        <w:rPr/>
      </w:pPr>
      <w:r>
        <w:rPr>
          <w:rFonts w:ascii="Times New Roman;serif" w:hAnsi="Times New Roman;serif"/>
          <w:b/>
          <w:color w:val="000000"/>
          <w:sz w:val="24"/>
        </w:rPr>
        <w:t>4.Company Policies; Standard Company Benefits</w:t>
      </w:r>
      <w:r>
        <w:rPr>
          <w:rFonts w:ascii="Times New Roman;serif" w:hAnsi="Times New Roman;serif"/>
          <w:b w:val="false"/>
          <w:color w:val="000000"/>
          <w:sz w:val="24"/>
        </w:rPr>
        <w:t>.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pStyle w:val="TextBody"/>
        <w:bidi w:val="0"/>
        <w:spacing w:lineRule="auto" w:line="288" w:before="0" w:after="240"/>
        <w:jc w:val="both"/>
        <w:rPr/>
      </w:pPr>
      <w:r>
        <w:rPr>
          <w:rFonts w:ascii="Times New Roman;serif" w:hAnsi="Times New Roman;serif"/>
          <w:b/>
          <w:color w:val="000000"/>
          <w:sz w:val="24"/>
        </w:rPr>
        <w:t>5.At-Will Employment.</w:t>
      </w:r>
      <w:r>
        <w:rPr>
          <w:color w:val="000000"/>
        </w:rPr>
        <w:t xml:space="preserve"> </w:t>
      </w:r>
      <w:r>
        <w:rPr>
          <w:rFonts w:ascii="Times New Roman;serif" w:hAnsi="Times New Roman;serif"/>
          <w:b w:val="false"/>
          <w:color w:val="000000"/>
          <w:sz w:val="24"/>
        </w:rPr>
        <w:t>Your employment relationship is at-will. Either you or the Company may terminate the 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r>
        <w:rPr>
          <w:color w:val="000000"/>
        </w:rPr>
        <w:t xml:space="preserve"> </w:t>
      </w:r>
    </w:p>
    <w:p>
      <w:pPr>
        <w:pStyle w:val="TextBody"/>
        <w:bidi w:val="0"/>
        <w:spacing w:lineRule="auto" w:line="288" w:before="0" w:after="240"/>
        <w:jc w:val="both"/>
        <w:rPr/>
      </w:pPr>
      <w:r>
        <w:rPr>
          <w:rFonts w:ascii="Times New Roman;serif" w:hAnsi="Times New Roman;serif"/>
          <w:b/>
          <w:color w:val="000000"/>
          <w:sz w:val="24"/>
        </w:rPr>
        <w:t>6.Outside Activities During Employment.</w:t>
      </w:r>
      <w:r>
        <w:rPr>
          <w:color w:val="000000"/>
        </w:rPr>
        <w:t xml:space="preserve"> </w:t>
      </w:r>
      <w:r>
        <w:rPr>
          <w:rFonts w:ascii="Times New Roman;serif" w:hAnsi="Times New Roman;serif"/>
          <w:b w:val="false"/>
          <w:color w:val="000000"/>
          <w:sz w:val="24"/>
        </w:rPr>
        <w:t>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7.Termination; Severance.</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1.Involuntary Termination. </w:t>
      </w:r>
      <w:r>
        <w:rPr>
          <w:rFonts w:ascii="Times New Roman;serif" w:hAnsi="Times New Roman;serif"/>
          <w:b w:val="false"/>
          <w:color w:val="000000"/>
          <w:sz w:val="24"/>
        </w:rPr>
        <w:t>If you are subject to an Involuntary Termination</w:t>
      </w:r>
      <w:r>
        <w:rPr>
          <w:color w:val="FF0000"/>
        </w:rPr>
        <w:t xml:space="preserve"> </w:t>
      </w:r>
      <w:r>
        <w:rPr>
          <w:rFonts w:ascii="Times New Roman;serif" w:hAnsi="Times New Roman;serif"/>
          <w:b w:val="false"/>
          <w:color w:val="000000"/>
          <w:sz w:val="24"/>
        </w:rPr>
        <w:t xml:space="preserve">and provided that you remain in compliance with the terms of this Agreement (including the conditions described in Section 7.3 below), the Company shall provide you with the following </w:t>
      </w:r>
      <w:r>
        <w:rPr>
          <w:rFonts w:ascii="Times New Roman;serif" w:hAnsi="Times New Roman;serif"/>
          <w:b/>
          <w:color w:val="000000"/>
          <w:sz w:val="24"/>
        </w:rPr>
        <w:t>Severance Benefits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(a)Cash Severance. </w:t>
      </w:r>
      <w:r>
        <w:rPr>
          <w:rFonts w:ascii="Times New Roman;serif" w:hAnsi="Times New Roman;serif"/>
          <w:b w:val="false"/>
          <w:color w:val="000000"/>
          <w:sz w:val="24"/>
        </w:rPr>
        <w:t>The Company shall pay you, as severance, the equivalent of 6 months (the “</w:t>
      </w:r>
      <w:r>
        <w:rPr>
          <w:rFonts w:ascii="Times New Roman;serif" w:hAnsi="Times New Roman;serif"/>
          <w:b/>
          <w:color w:val="000000"/>
          <w:sz w:val="24"/>
        </w:rPr>
        <w:t>Severance Period</w:t>
      </w:r>
      <w:r>
        <w:rPr>
          <w:color w:val="000000"/>
        </w:rPr>
        <w:t>”</w:t>
      </w:r>
      <w:r>
        <w:rPr>
          <w:rFonts w:ascii="Times New Roman;serif" w:hAnsi="Times New Roman;serif"/>
          <w:b w:val="false"/>
          <w:color w:val="000000"/>
          <w:sz w:val="24"/>
        </w:rPr>
        <w:t>) of your Base Salary in effect as of the date of your employment termination, subject to standard payroll deductions and withholdings and an amount equal to 6 months of health insurance under COBRA on an after-tax basis (the “</w:t>
      </w:r>
      <w:r>
        <w:rPr>
          <w:rFonts w:ascii="Times New Roman;serif" w:hAnsi="Times New Roman;serif"/>
          <w:b/>
          <w:color w:val="000000"/>
          <w:sz w:val="24"/>
        </w:rPr>
        <w:t>Severance</w:t>
      </w:r>
      <w:r>
        <w:rPr>
          <w:color w:val="000000"/>
        </w:rPr>
        <w:t>”</w:t>
      </w:r>
      <w:r>
        <w:rPr>
          <w:rFonts w:ascii="Times New Roman;serif" w:hAnsi="Times New Roman;serif"/>
          <w:b w:val="false"/>
          <w:color w:val="000000"/>
          <w:sz w:val="24"/>
        </w:rPr>
        <w:t>). The Severance will be paid as a continuation on the Company’s regular payroll, beginning no later than the first regularly-scheduled payroll date following the sixtieth (60</w:t>
      </w:r>
      <w:r>
        <w:rPr>
          <w:rFonts w:ascii="Times New Roman;serif" w:hAnsi="Times New Roman;serif"/>
          <w:b w:val="false"/>
          <w:color w:val="000000"/>
          <w:sz w:val="16"/>
        </w:rPr>
        <w:t>th</w:t>
      </w:r>
      <w:r>
        <w:rPr>
          <w:rFonts w:ascii="Times New Roman;serif" w:hAnsi="Times New Roman;serif"/>
          <w:b w:val="false"/>
          <w:color w:val="000000"/>
          <w:sz w:val="24"/>
        </w:rPr>
        <w:t>) day after your Separation from Service, provided the Separation Agreement (as discussed in Section 7.3) has become effective.</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(b)Payment of Continued Group Health Plan Benefits. </w:t>
      </w:r>
      <w:r>
        <w:rPr>
          <w:rFonts w:ascii="Times New Roman;serif" w:hAnsi="Times New Roman;serif"/>
          <w:b w:val="false"/>
          <w:color w:val="000000"/>
          <w:sz w:val="24"/>
        </w:rPr>
        <w:t>If you are eligible for and timely elect continued group health plan coverage under the Consolidated Omnibus Budget Reconciliation Act of 1985 or any state law of similar effect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serif" w:hAnsi="Times New Roman;serif"/>
          <w:b/>
          <w:i/>
          <w:color w:val="000000"/>
          <w:sz w:val="24"/>
        </w:rPr>
        <w:t>COBRA Payment Period</w:t>
      </w:r>
      <w:r>
        <w:rPr>
          <w:color w:val="000000"/>
        </w:rPr>
        <w:t>”</w:t>
      </w:r>
      <w:r>
        <w:rPr>
          <w:rFonts w:ascii="Times New Roman;serif" w:hAnsi="Times New Roman;serif"/>
          <w:b w:val="false"/>
          <w:color w:val="000000"/>
          <w:sz w:val="24"/>
        </w:rPr>
        <w:t>), (B) the expiration of your eligibility for continuation coverage under COBRA, or (C) the date when 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serif" w:hAnsi="Times New Roman;serif"/>
          <w:b/>
          <w:i/>
          <w:color w:val="000000"/>
          <w:sz w:val="24"/>
        </w:rPr>
        <w:t>Special Severance Payment</w:t>
      </w:r>
      <w:r>
        <w:rPr>
          <w:color w:val="000000"/>
        </w:rPr>
        <w:t>”</w:t>
      </w:r>
      <w:r>
        <w:rPr>
          <w:rFonts w:ascii="Times New Roman;serif" w:hAnsi="Times New Roman;serif"/>
          <w:b w:val="false"/>
          <w:color w:val="000000"/>
          <w:sz w:val="24"/>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2.Termination for Cause; Resignation Without Good Reason; Death or Disability. </w:t>
      </w:r>
      <w:r>
        <w:rPr>
          <w:rFonts w:ascii="Times New Roman;serif" w:hAnsi="Times New Roman;serif"/>
          <w:b w:val="false"/>
          <w:color w:val="000000"/>
          <w:sz w:val="24"/>
        </w:rPr>
        <w:t>If you resign 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pStyle w:val="TextBody"/>
        <w:bidi w:val="0"/>
        <w:spacing w:lineRule="auto" w:line="288" w:before="0" w:after="240"/>
        <w:ind w:left="0" w:right="0" w:firstLine="720"/>
        <w:jc w:val="both"/>
        <w:rPr/>
      </w:pPr>
      <w:r>
        <w:rPr>
          <w:rFonts w:ascii="Times New Roman;serif" w:hAnsi="Times New Roman;serif"/>
          <w:b/>
          <w:color w:val="000000"/>
          <w:sz w:val="24"/>
        </w:rPr>
        <w:t>3.Conditions to Receipt of Severance Benefits.</w:t>
      </w:r>
      <w:r>
        <w:rPr>
          <w:color w:val="000000"/>
        </w:rPr>
        <w:t xml:space="preserve"> </w:t>
      </w:r>
      <w:r>
        <w:rPr>
          <w:rFonts w:ascii="Times New Roman;serif" w:hAnsi="Times New Roman;serif"/>
          <w:b w:val="false"/>
          <w:color w:val="000000"/>
          <w:sz w:val="24"/>
        </w:rPr>
        <w:t>The receipt of the Severance Benefits will be subject to you signing and not revoking a separation agreement and release of claims in a form reasonably satisfactory to the Company (the “</w:t>
      </w:r>
      <w:r>
        <w:rPr>
          <w:rFonts w:ascii="Times New Roman;serif" w:hAnsi="Times New Roman;serif"/>
          <w:b/>
          <w:color w:val="000000"/>
          <w:sz w:val="24"/>
        </w:rPr>
        <w:t>Separation Agreement</w:t>
      </w:r>
      <w:r>
        <w:rPr>
          <w:color w:val="000000"/>
        </w:rPr>
        <w:t>”</w:t>
      </w:r>
      <w:r>
        <w:rPr>
          <w:rFonts w:ascii="Times New Roman;serif" w:hAnsi="Times New Roman;serif"/>
          <w:b w:val="false"/>
          <w:color w:val="000000"/>
          <w:sz w:val="24"/>
        </w:rPr>
        <w:t>) by no later than the sixtieth (60th) day after your employment termination (“</w:t>
      </w:r>
      <w:r>
        <w:rPr>
          <w:rFonts w:ascii="Times New Roman;serif" w:hAnsi="Times New Roman;serif"/>
          <w:b/>
          <w:color w:val="000000"/>
          <w:sz w:val="24"/>
        </w:rPr>
        <w:t>Release Deadline</w:t>
      </w:r>
      <w:r>
        <w:rPr>
          <w:color w:val="000000"/>
        </w:rPr>
        <w:t>”</w:t>
      </w:r>
      <w:r>
        <w:rPr>
          <w:rFonts w:ascii="Times New Roman;serif" w:hAnsi="Times New Roman;serif"/>
          <w:b w:val="false"/>
          <w:color w:val="000000"/>
          <w:sz w:val="24"/>
        </w:rPr>
        <w:t>). No Severance Benefits will be paid or provided until the Separation Agreement becomes effective. You shall also resign from all positions and terminate any relationships as an employee, advisor, officer or director with the Company and any of its affiliates, each effective on the date of termination.</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8.Definitions. </w:t>
      </w:r>
    </w:p>
    <w:p>
      <w:pPr>
        <w:pStyle w:val="TextBody"/>
        <w:bidi w:val="0"/>
        <w:spacing w:lineRule="auto" w:line="288" w:before="0" w:after="240"/>
        <w:ind w:left="0" w:right="0" w:firstLine="720"/>
        <w:jc w:val="both"/>
        <w:rPr/>
      </w:pPr>
      <w:r>
        <w:rPr>
          <w:rFonts w:ascii="Times New Roman;serif" w:hAnsi="Times New Roman;serif"/>
          <w:b/>
          <w:color w:val="000000"/>
          <w:sz w:val="24"/>
        </w:rPr>
        <w:t>1.Cause.</w:t>
      </w:r>
      <w:r>
        <w:rPr>
          <w:color w:val="000000"/>
        </w:rPr>
        <w:t xml:space="preserve"> </w:t>
      </w:r>
      <w:r>
        <w:rPr>
          <w:rFonts w:ascii="Times New Roman;serif" w:hAnsi="Times New Roman;serif"/>
          <w:b w:val="false"/>
          <w:color w:val="000000"/>
          <w:sz w:val="24"/>
        </w:rPr>
        <w:t>For purposes of this Agreement,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means any one of the following: (a) willful material breach by you of any material Company policy (including, but not limited to, the Company’s policies on nondiscrimination, anti-harassment, and confidential information) or your duties or obligations hereunder;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or (d) your willful refusal to follow lawful instructions of the Board.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2.Code. </w:t>
      </w:r>
      <w:r>
        <w:rPr>
          <w:rFonts w:ascii="Times New Roman;serif" w:hAnsi="Times New Roman;serif"/>
          <w:b w:val="false"/>
          <w:color w:val="000000"/>
          <w:sz w:val="24"/>
        </w:rPr>
        <w:t xml:space="preserve">For purposes of this Agreement, </w:t>
      </w:r>
      <w:r>
        <w:rPr>
          <w:color w:val="000000"/>
        </w:rPr>
        <w:t>“</w:t>
      </w:r>
      <w:r>
        <w:rPr>
          <w:rFonts w:ascii="Times New Roman;serif" w:hAnsi="Times New Roman;serif"/>
          <w:b/>
          <w:color w:val="000000"/>
          <w:sz w:val="24"/>
        </w:rPr>
        <w:t xml:space="preserve">Code” </w:t>
      </w:r>
      <w:r>
        <w:rPr>
          <w:rFonts w:ascii="Times New Roman;serif" w:hAnsi="Times New Roman;serif"/>
          <w:b w:val="false"/>
          <w:color w:val="000000"/>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3.Good Reason. </w:t>
      </w:r>
      <w:r>
        <w:rPr>
          <w:rFonts w:ascii="Times New Roman;serif" w:hAnsi="Times New Roman;serif"/>
          <w:b w:val="false"/>
          <w:color w:val="000000"/>
          <w:sz w:val="24"/>
        </w:rPr>
        <w:t>For purposes of this Agreement, “Good Reason” means any one of the following without your consent:</w:t>
      </w:r>
      <w:r>
        <w:rPr>
          <w:color w:val="000000"/>
        </w:rPr>
        <w:t xml:space="preserve"> </w:t>
      </w:r>
      <w:r>
        <w:rPr>
          <w:rFonts w:ascii="Times New Roman;serif" w:hAnsi="Times New Roman;serif"/>
          <w:b w:val="false"/>
          <w:color w:val="000000"/>
          <w:sz w:val="24"/>
        </w:rPr>
        <w:t xml:space="preserve">(a) an assignment of duties or responsibilities (including reporting responsibilities) materially inconsistent with, or which materially reduce, your duties, authority, responsibilities and status with the Company; (b) an adverse change in your title; (c) any material reduction in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4.Involuntary Termination. </w:t>
      </w:r>
      <w:r>
        <w:rPr>
          <w:rFonts w:ascii="Times New Roman;serif" w:hAnsi="Times New Roman;serif"/>
          <w:b w:val="false"/>
          <w:color w:val="000000"/>
          <w:sz w:val="24"/>
        </w:rPr>
        <w:t>For purposes of this Agreement, “</w:t>
      </w:r>
      <w:r>
        <w:rPr>
          <w:rFonts w:ascii="Times New Roman;serif" w:hAnsi="Times New Roman;serif"/>
          <w:b/>
          <w:color w:val="000000"/>
          <w:sz w:val="24"/>
        </w:rPr>
        <w:t>Involuntary Termination</w:t>
      </w:r>
      <w:r>
        <w:rPr>
          <w:color w:val="000000"/>
        </w:rPr>
        <w:t xml:space="preserve">” </w:t>
      </w:r>
      <w:r>
        <w:rPr>
          <w:rFonts w:ascii="Times New Roman;serif" w:hAnsi="Times New Roman;serif"/>
          <w:b w:val="false"/>
          <w:color w:val="000000"/>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5.Separation from Service. </w:t>
      </w:r>
      <w:r>
        <w:rPr>
          <w:rFonts w:ascii="Times New Roman;serif" w:hAnsi="Times New Roman;serif"/>
          <w:b w:val="false"/>
          <w:color w:val="000000"/>
          <w:sz w:val="24"/>
        </w:rPr>
        <w:t>For purposes of this Agreement, “Separation from Service”</w:t>
      </w:r>
      <w:r>
        <w:rPr>
          <w:color w:val="000000"/>
        </w:rPr>
        <w:t xml:space="preserve"> </w:t>
      </w:r>
      <w:r>
        <w:rPr>
          <w:rFonts w:ascii="Times New Roman;serif" w:hAnsi="Times New Roman;serif"/>
          <w:b w:val="false"/>
          <w:color w:val="000000"/>
          <w:sz w:val="24"/>
        </w:rPr>
        <w:t>means a “separation from service”, as defined under Treasury Regulation Section 1.409A-1(h).</w:t>
      </w:r>
    </w:p>
    <w:p>
      <w:pPr>
        <w:pStyle w:val="TextBody"/>
        <w:bidi w:val="0"/>
        <w:spacing w:lineRule="auto" w:line="288" w:before="0" w:after="240"/>
        <w:jc w:val="both"/>
        <w:rPr/>
      </w:pPr>
      <w:r>
        <w:rPr>
          <w:rFonts w:ascii="Times New Roman;serif" w:hAnsi="Times New Roman;serif"/>
          <w:b/>
          <w:color w:val="000000"/>
          <w:sz w:val="24"/>
        </w:rPr>
        <w:t>9.Proprietary Information Obligations.</w:t>
      </w:r>
      <w:r>
        <w:rPr>
          <w:color w:val="000000"/>
        </w:rPr>
        <w:t xml:space="preserve"> </w:t>
      </w:r>
      <w:r>
        <w:rPr>
          <w:rFonts w:ascii="Times New Roman;serif" w:hAnsi="Times New Roman;serif"/>
          <w:b w:val="false"/>
          <w:color w:val="000000"/>
          <w:sz w:val="24"/>
        </w:rPr>
        <w:t xml:space="preserve">As a condition of your continued employment, you shall execute and abide by the Company’s standard form of Employee Confidential Information and Invention Assignment Agreement, attached as </w:t>
      </w:r>
      <w:r>
        <w:rPr>
          <w:rFonts w:ascii="Times New Roman;serif" w:hAnsi="Times New Roman;serif"/>
          <w:b/>
          <w:color w:val="000000"/>
          <w:sz w:val="24"/>
          <w:u w:val="single"/>
        </w:rPr>
        <w:t>Exhibit A</w:t>
      </w:r>
      <w:r>
        <w:rPr>
          <w:rFonts w:ascii="Times New Roman;serif" w:hAnsi="Times New Roman;serif"/>
          <w:b w:val="false"/>
          <w:color w:val="000000"/>
          <w:sz w:val="24"/>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pStyle w:val="TextBody"/>
        <w:bidi w:val="0"/>
        <w:spacing w:lineRule="auto" w:line="288" w:before="0" w:after="240"/>
        <w:jc w:val="both"/>
        <w:rPr/>
      </w:pPr>
      <w:r>
        <w:rPr>
          <w:rFonts w:ascii="Times New Roman;serif" w:hAnsi="Times New Roman;serif"/>
          <w:b/>
          <w:color w:val="000000"/>
          <w:sz w:val="24"/>
        </w:rPr>
        <w:t>10.Section 409A.</w:t>
      </w:r>
      <w:r>
        <w:rPr>
          <w:color w:val="000000"/>
        </w:rPr>
        <w:t xml:space="preserve"> </w:t>
      </w:r>
      <w:r>
        <w:rPr>
          <w:rFonts w:ascii="Times New Roman;serif" w:hAnsi="Times New Roman;serif"/>
          <w:b w:val="false"/>
          <w:color w:val="000000"/>
          <w:sz w:val="24"/>
        </w:rPr>
        <w:t xml:space="preserve">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11.Arbitration of All Disputes.</w:t>
      </w:r>
    </w:p>
    <w:p>
      <w:pPr>
        <w:pStyle w:val="TextBody"/>
        <w:bidi w:val="0"/>
        <w:spacing w:lineRule="auto" w:line="288" w:before="0" w:after="240"/>
        <w:ind w:left="0" w:right="0" w:firstLine="720"/>
        <w:jc w:val="both"/>
        <w:rPr/>
      </w:pPr>
      <w:r>
        <w:rPr>
          <w:rFonts w:ascii="Times New Roman;serif" w:hAnsi="Times New Roman;serif"/>
          <w:b/>
          <w:color w:val="000000"/>
          <w:sz w:val="24"/>
        </w:rPr>
        <w:t>1.Agreement to Arbitrate</w:t>
      </w:r>
      <w:r>
        <w:rPr>
          <w:rFonts w:ascii="Times New Roman;serif" w:hAnsi="Times New Roman;serif"/>
          <w:b w:val="false"/>
          <w:color w:val="000000"/>
          <w:sz w:val="24"/>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serif" w:hAnsi="Times New Roman;serif"/>
          <w:b/>
          <w:color w:val="000000"/>
          <w:sz w:val="24"/>
        </w:rPr>
        <w:t>(i)</w:t>
      </w:r>
      <w:r>
        <w:rPr>
          <w:color w:val="000000"/>
        </w:rPr>
        <w:t xml:space="preserve"> </w:t>
      </w:r>
      <w:r>
        <w:rPr>
          <w:rFonts w:ascii="Times New Roman;serif" w:hAnsi="Times New Roman;serif"/>
          <w:b w:val="false"/>
          <w:color w:val="000000"/>
          <w:sz w:val="24"/>
        </w:rPr>
        <w:t xml:space="preserve">the negotiation, execution, interpretation, performance, breach or enforcement of this Agreement; or </w:t>
      </w:r>
      <w:r>
        <w:rPr>
          <w:rFonts w:ascii="Times New Roman;serif" w:hAnsi="Times New Roman;serif"/>
          <w:b/>
          <w:color w:val="000000"/>
          <w:sz w:val="24"/>
        </w:rPr>
        <w:t>(ii)</w:t>
      </w:r>
      <w:r>
        <w:rPr>
          <w:color w:val="000000"/>
        </w:rPr>
        <w:t xml:space="preserve"> </w:t>
      </w:r>
      <w:r>
        <w:rPr>
          <w:rFonts w:ascii="Times New Roman;serif" w:hAnsi="Times New Roman;serif"/>
          <w:b w:val="false"/>
          <w:color w:val="000000"/>
          <w:sz w:val="24"/>
        </w:rPr>
        <w:t xml:space="preserve">your application, hiring, and employment with the Company (including but not limited to all statutory claims); or </w:t>
      </w:r>
      <w:r>
        <w:rPr>
          <w:rFonts w:ascii="Times New Roman;serif" w:hAnsi="Times New Roman;serif"/>
          <w:b/>
          <w:color w:val="000000"/>
          <w:sz w:val="24"/>
        </w:rPr>
        <w:t>(iii)</w:t>
      </w:r>
      <w:r>
        <w:rPr>
          <w:color w:val="000000"/>
        </w:rPr>
        <w:t xml:space="preserve"> </w:t>
      </w:r>
      <w:r>
        <w:rPr>
          <w:rFonts w:ascii="Times New Roman;serif" w:hAnsi="Times New Roman;serif"/>
          <w:b w:val="false"/>
          <w:color w:val="000000"/>
          <w:sz w:val="24"/>
        </w:rPr>
        <w:t xml:space="preserve">the termination of your employment with the Company (including but not limited to all statutory claims). </w:t>
      </w:r>
      <w:r>
        <w:rPr>
          <w:rFonts w:ascii="Times New Roman;serif" w:hAnsi="Times New Roman;serif"/>
          <w:b/>
          <w:color w:val="000000"/>
          <w:sz w:val="24"/>
        </w:rPr>
        <w:t>BY AGREEING TO THIS ARBITRATION PROCEDURE, BOTH YOU AND THE COMPANY WAIVE THE RIGHT TO RESOLVE ANY SUCH DISPUTES THROUGH A TRIAL BY JURY OR JUDGE OR THROUGH AN ADMINISTRATIVE PROCEEDING.</w:t>
      </w: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2.Arbitrator Authority</w:t>
      </w:r>
      <w:r>
        <w:rPr>
          <w:rFonts w:ascii="Times New Roman;serif" w:hAnsi="Times New Roman;serif"/>
          <w:b w:val="false"/>
          <w:color w:val="000000"/>
          <w:sz w:val="24"/>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bidi w:val="0"/>
        <w:spacing w:lineRule="auto" w:line="288" w:before="0" w:after="240"/>
        <w:ind w:left="0" w:right="0" w:firstLine="720"/>
        <w:jc w:val="both"/>
        <w:rPr/>
      </w:pPr>
      <w:r>
        <w:rPr>
          <w:rFonts w:ascii="Times New Roman;serif" w:hAnsi="Times New Roman;serif"/>
          <w:b/>
          <w:color w:val="000000"/>
          <w:sz w:val="24"/>
        </w:rPr>
        <w:t>3.Individual Capacity Only</w:t>
      </w:r>
      <w:r>
        <w:rPr>
          <w:rFonts w:ascii="Times New Roman;serif" w:hAnsi="Times New Roman;serif"/>
          <w:b w:val="false"/>
          <w:color w:val="000000"/>
          <w:sz w:val="24"/>
        </w:rPr>
        <w:t xml:space="preserve">.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   </w:t>
      </w:r>
    </w:p>
    <w:p>
      <w:pPr>
        <w:pStyle w:val="TextBody"/>
        <w:bidi w:val="0"/>
        <w:spacing w:lineRule="auto" w:line="288" w:before="0" w:after="240"/>
        <w:ind w:left="0" w:right="0" w:firstLine="720"/>
        <w:jc w:val="both"/>
        <w:rPr/>
      </w:pPr>
      <w:r>
        <w:rPr>
          <w:rFonts w:ascii="Times New Roman;serif" w:hAnsi="Times New Roman;serif"/>
          <w:b/>
          <w:color w:val="000000"/>
          <w:sz w:val="24"/>
        </w:rPr>
        <w:t>4.Arbitration Process</w:t>
      </w:r>
      <w:r>
        <w:rPr>
          <w:rFonts w:ascii="Times New Roman;serif" w:hAnsi="Times New Roman;serif"/>
          <w:b w:val="false"/>
          <w:color w:val="000000"/>
          <w:sz w:val="24"/>
        </w:rPr>
        <w:t>. Any arbitration proceeding under this Section shall be presided over by a single arbitrator and conducted by Judicial Arbitration and Mediation Services, Inc. (“</w:t>
      </w:r>
      <w:r>
        <w:rPr>
          <w:rFonts w:ascii="Times New Roman;serif" w:hAnsi="Times New Roman;serif"/>
          <w:b/>
          <w:color w:val="000000"/>
          <w:sz w:val="24"/>
        </w:rPr>
        <w:t>JAMS</w:t>
      </w:r>
      <w:r>
        <w:rPr>
          <w:color w:val="000000"/>
        </w:rPr>
        <w:t>”</w:t>
      </w:r>
      <w:r>
        <w:rPr>
          <w:rFonts w:ascii="Times New Roman;serif" w:hAnsi="Times New Roman;serif"/>
          <w:b w:val="false"/>
          <w:color w:val="000000"/>
          <w:sz w:val="24"/>
        </w:rPr>
        <w:t>) in Los Angeles County, California, or as otherwise agreed to by you and the Company, under the then applicable JAMS rules for the resolution of employment disputes (available upon request and also currently available at </w:t>
      </w:r>
      <w:r>
        <w:rPr>
          <w:rFonts w:ascii="Times New Roman;serif" w:hAnsi="Times New Roman;serif"/>
          <w:b w:val="false"/>
          <w:color w:val="000000"/>
          <w:sz w:val="24"/>
          <w:u w:val="single"/>
        </w:rPr>
        <w:t>http://www.jamsadr.com/rules-employment-arbitration/</w:t>
      </w:r>
      <w:r>
        <w:rPr>
          <w:rFonts w:ascii="Times New Roman;serif" w:hAnsi="Times New Roman;serif"/>
          <w:b w:val="false"/>
          <w:color w:val="000000"/>
          <w:sz w:val="24"/>
        </w:rPr>
        <w:t xml:space="preserve">).  You and the Company both have the right to be represented by legal counsel at any arbitration proceeding, at each party’s own expense.  The Arbitrator shall: </w:t>
      </w:r>
      <w:r>
        <w:rPr>
          <w:rFonts w:ascii="Times New Roman;serif" w:hAnsi="Times New Roman;serif"/>
          <w:b/>
          <w:color w:val="000000"/>
          <w:sz w:val="24"/>
        </w:rPr>
        <w:t>(i)</w:t>
      </w:r>
      <w:r>
        <w:rPr>
          <w:color w:val="000000"/>
        </w:rPr>
        <w:t xml:space="preserve"> </w:t>
      </w:r>
      <w:r>
        <w:rPr>
          <w:rFonts w:ascii="Times New Roman;serif" w:hAnsi="Times New Roman;serif"/>
          <w:b w:val="false"/>
          <w:color w:val="000000"/>
          <w:sz w:val="24"/>
        </w:rPr>
        <w:t xml:space="preserve">have the authority to compel adequate discovery for the resolution of the dispute; </w:t>
      </w:r>
      <w:r>
        <w:rPr>
          <w:rFonts w:ascii="Times New Roman;serif" w:hAnsi="Times New Roman;serif"/>
          <w:b/>
          <w:color w:val="000000"/>
          <w:sz w:val="24"/>
        </w:rPr>
        <w:t>(ii)</w:t>
      </w:r>
      <w:r>
        <w:rPr>
          <w:color w:val="000000"/>
        </w:rPr>
        <w:t xml:space="preserve"> </w:t>
      </w:r>
      <w:r>
        <w:rPr>
          <w:rFonts w:ascii="Times New Roman;serif" w:hAnsi="Times New Roman;serif"/>
          <w:b w:val="false"/>
          <w:color w:val="000000"/>
          <w:sz w:val="24"/>
        </w:rPr>
        <w:t xml:space="preserve">issue a written arbitration decision, to include the arbitrator’s essential findings and conclusions and a statement of the award; and </w:t>
      </w:r>
      <w:r>
        <w:rPr>
          <w:rFonts w:ascii="Times New Roman;serif" w:hAnsi="Times New Roman;serif"/>
          <w:b/>
          <w:color w:val="000000"/>
          <w:sz w:val="24"/>
        </w:rPr>
        <w:t>(iii)</w:t>
      </w:r>
      <w:r>
        <w:rPr>
          <w:color w:val="000000"/>
        </w:rPr>
        <w:t xml:space="preserve"> </w:t>
      </w:r>
      <w:r>
        <w:rPr>
          <w:rFonts w:ascii="Times New Roman;serif" w:hAnsi="Times New Roman;serif"/>
          <w:b w:val="false"/>
          <w:color w:val="000000"/>
          <w:sz w:val="24"/>
        </w:rPr>
        <w:t xml:space="preserve">be authorized to award any or all remedies that you or the Company would be entitled to seek in a court of law. The Company shall pay all JAMS arbitration fees in excess of the amount of court fees that would be required of you if the dispute were decided in a court of law.   </w:t>
      </w:r>
    </w:p>
    <w:p>
      <w:pPr>
        <w:pStyle w:val="TextBody"/>
        <w:bidi w:val="0"/>
        <w:spacing w:lineRule="auto" w:line="288" w:before="0" w:after="240"/>
        <w:ind w:left="0" w:right="0" w:firstLine="720"/>
        <w:jc w:val="both"/>
        <w:rPr/>
      </w:pPr>
      <w:r>
        <w:rPr>
          <w:rFonts w:ascii="Times New Roman;serif" w:hAnsi="Times New Roman;serif"/>
          <w:b/>
          <w:color w:val="000000"/>
          <w:sz w:val="24"/>
        </w:rPr>
        <w:t>5.Excluded Claims</w:t>
      </w:r>
      <w:r>
        <w:rPr>
          <w:rFonts w:ascii="Times New Roman;serif" w:hAnsi="Times New Roman;serif"/>
          <w:b w:val="false"/>
          <w:color w:val="000000"/>
          <w:sz w:val="24"/>
        </w:rPr>
        <w:t>. This Arbitration section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serif" w:hAnsi="Times New Roman;serif"/>
          <w:b/>
          <w:color w:val="000000"/>
          <w:sz w:val="24"/>
        </w:rPr>
        <w:t>Excluded Claims</w:t>
      </w:r>
      <w:r>
        <w:rPr>
          <w:color w:val="000000"/>
        </w:rPr>
        <w:t>”</w:t>
      </w:r>
      <w:r>
        <w:rPr>
          <w:rFonts w:ascii="Times New Roman;serif" w:hAnsi="Times New Roman;serif"/>
          <w:b w:val="false"/>
          <w:color w:val="000000"/>
          <w:sz w:val="24"/>
        </w:rPr>
        <w:t>). In the event you intend to bring multiple claims, including any Excluded Claims, the Excluded Claims may be filed with a court, while any other claims will remain subject to mandatory arbitration.</w:t>
      </w:r>
    </w:p>
    <w:p>
      <w:pPr>
        <w:pStyle w:val="TextBody"/>
        <w:bidi w:val="0"/>
        <w:spacing w:lineRule="auto" w:line="288" w:before="0" w:after="240"/>
        <w:ind w:left="0" w:right="0" w:firstLine="720"/>
        <w:jc w:val="both"/>
        <w:rPr/>
      </w:pPr>
      <w:r>
        <w:rPr>
          <w:rFonts w:ascii="Times New Roman;serif" w:hAnsi="Times New Roman;serif"/>
          <w:b/>
          <w:color w:val="000000"/>
          <w:sz w:val="24"/>
        </w:rPr>
        <w:t>6.Injunctive Relief and Final Orders</w:t>
      </w:r>
      <w:r>
        <w:rPr>
          <w:rFonts w:ascii="Times New Roman;serif" w:hAnsi="Times New Roman;serif"/>
          <w:b w:val="false"/>
          <w:color w:val="000000"/>
          <w:sz w:val="24"/>
        </w:rPr>
        <w:t xml:space="preserve">. Nothing in this Section is intended to prevent either you or the Company from obtaining injunctive relief in court to prevent irreparable harm pending the conclusion of any such arbitration.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final award in any arbitration proceeding hereunder may be entered as a judgment in the federal and state courts of any competent jurisdiction and enforced accordingly.</w:t>
      </w:r>
    </w:p>
    <w:p>
      <w:pPr>
        <w:pStyle w:val="TextBody"/>
        <w:bidi w:val="0"/>
        <w:spacing w:lineRule="auto" w:line="288" w:before="0" w:after="240"/>
        <w:jc w:val="both"/>
        <w:rPr/>
      </w:pPr>
      <w:r>
        <w:rPr>
          <w:rFonts w:ascii="Times New Roman;serif" w:hAnsi="Times New Roman;serif"/>
          <w:b/>
          <w:color w:val="000000"/>
          <w:sz w:val="24"/>
        </w:rPr>
        <w:t>12.General Provisions.</w:t>
      </w:r>
      <w:r>
        <w:rPr>
          <w:color w:val="000000"/>
        </w:rPr>
        <w:t xml:space="preserve"> </w:t>
      </w:r>
      <w:r>
        <w:rPr>
          <w:rFonts w:ascii="Times New Roman;serif" w:hAnsi="Times New Roman;serif"/>
          <w:b w:val="false"/>
          <w:color w:val="000000"/>
          <w:sz w:val="24"/>
        </w:rPr>
        <w:t>This Agreement, together with the Confidential Information and Inventions Assignment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serif" w:hAnsi="Times New Roman;serif"/>
          <w:b/>
          <w:color w:val="000000"/>
          <w:sz w:val="24"/>
        </w:rPr>
        <w:t>Prior Agreements</w:t>
      </w:r>
      <w:r>
        <w:rPr>
          <w:color w:val="000000"/>
        </w:rPr>
        <w:t>”</w:t>
      </w:r>
      <w:r>
        <w:rPr>
          <w:rFonts w:ascii="Times New Roman;serif" w:hAnsi="Times New Roman;serif"/>
          <w:b w:val="false"/>
          <w:color w:val="000000"/>
          <w:sz w:val="24"/>
        </w:rPr>
        <w:t xml:space="preserve">).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Best regards,</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The Honest Company,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Carla Vernon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Carla Vernón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Accepted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Etienne von Kunssberg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Etienne von Kunssberg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Date: __January 10, 2025_______________________</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A </w:t>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Employee Confidential Information and Invention Assignment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SEPARATION AGREEMENT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AND GENERAL RELEASE OF CLAIMS</w:t>
      </w:r>
    </w:p>
    <w:p>
      <w:pPr>
        <w:pStyle w:val="TextBody"/>
        <w:bidi w:val="0"/>
        <w:spacing w:lineRule="auto" w:line="288" w:before="0" w:after="240"/>
        <w:ind w:left="0" w:right="0" w:firstLine="720"/>
        <w:jc w:val="left"/>
        <w:rPr/>
      </w:pPr>
      <w:r>
        <w:rPr>
          <w:rFonts w:ascii="Times New Roman;serif" w:hAnsi="Times New Roman;serif"/>
          <w:b/>
          <w:color w:val="000000"/>
          <w:sz w:val="24"/>
        </w:rPr>
        <w:t>THIS SEPARATION AGREEMENT AND GENERAL RELEASE OF CLAIMS</w:t>
      </w:r>
      <w:r>
        <w:rPr>
          <w:color w:val="000000"/>
        </w:rPr>
        <w:t xml:space="preserve"> </w:t>
      </w:r>
      <w:r>
        <w:rPr>
          <w:rFonts w:ascii="Times New Roman;serif" w:hAnsi="Times New Roman;serif"/>
          <w:b w:val="false"/>
          <w:color w:val="000000"/>
          <w:sz w:val="24"/>
        </w:rPr>
        <w:t>(“Agreement”) is entered into by and between The Honest Company, Inc. (the “Company”), and Katherine Barton (“Employee,” “you,” or “your”) (together the “Parties” or individually a “Party”), in consideration for and as a condition to the Company’s agreement to provide you with certain Separation Benefits (defined below) to which you are not otherwise entitled.</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From Employment and Final Pay</w:t>
      </w:r>
      <w:r>
        <w:rPr>
          <w:rFonts w:ascii="Times New Roman;serif" w:hAnsi="Times New Roman;serif"/>
          <w:b w:val="false"/>
          <w:color w:val="000000"/>
          <w:sz w:val="24"/>
        </w:rPr>
        <w:t xml:space="preserve">. Your employment with the Company will terminate effective on December 31, 2025 (“Separation Date”). Your employment will end on the Separation Date regardless of whether you sign this Agreement or agree to the following terms and conditions. On the Separation Date (or by no later than the timeframe permitted by applicable law), and independent of this Agreement, the Company will provide you with a final paycheck that will fully compensate you for all compensation earned and payable to you through the Separation Date, less applicable taxes and withholdings. The Separation Benefits described in Section 3 below are separate from and in addition to your final pay. You understand that, except as otherwise provided in this Agreement, you are not entitled to anything further from the Company, including reinstatement by the Company, or any compensation or benefits of any kind, for any reason, after the Separation Date.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Benefits Termination.</w:t>
      </w:r>
      <w:r>
        <w:rPr>
          <w:color w:val="000000"/>
        </w:rPr>
        <w:t xml:space="preserve"> </w:t>
      </w:r>
      <w:r>
        <w:rPr>
          <w:rFonts w:ascii="Times New Roman;serif" w:hAnsi="Times New Roman;serif"/>
          <w:b w:val="false"/>
          <w:color w:val="000000"/>
          <w:sz w:val="24"/>
        </w:rPr>
        <w:t xml:space="preserve">Your eligibility for employee benefits as an employee of the Company will terminate on the Separation Date. You will be separately notified of your right to continue your healthcare coverage under COBRA. </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Separation Benefits</w:t>
      </w:r>
      <w:r>
        <w:rPr>
          <w:rFonts w:ascii="Times New Roman;serif" w:hAnsi="Times New Roman;serif"/>
          <w:b w:val="false"/>
          <w:color w:val="000000"/>
          <w:sz w:val="24"/>
        </w:rPr>
        <w:t>. In consideration for entering into this Agreement, and provided that you: (</w:t>
      </w:r>
      <w:r>
        <w:rPr>
          <w:rFonts w:ascii="Times New Roman;serif" w:hAnsi="Times New Roman;serif"/>
          <w:b w:val="false"/>
          <w:color w:val="1A1A1A"/>
          <w:sz w:val="24"/>
        </w:rPr>
        <w:t xml:space="preserve">i) remain in compliance with all Company policies; </w:t>
      </w:r>
      <w:r>
        <w:rPr>
          <w:rFonts w:ascii="Times New Roman;serif" w:hAnsi="Times New Roman;serif"/>
          <w:b w:val="false"/>
          <w:color w:val="000000"/>
          <w:sz w:val="24"/>
        </w:rPr>
        <w:t>your Employment Agreement dated April 13, 2023 (“Employment Agreement”); and your Confidential Information and Invention Assignment Agreement (“CIIAA”), all</w:t>
      </w:r>
      <w:r>
        <w:rPr>
          <w:color w:val="1A1A1A"/>
        </w:rPr>
        <w:t xml:space="preserve"> </w:t>
      </w:r>
      <w:r>
        <w:rPr>
          <w:rFonts w:ascii="Times New Roman;serif" w:hAnsi="Times New Roman;serif"/>
          <w:b w:val="false"/>
          <w:color w:val="1A1A1A"/>
          <w:sz w:val="24"/>
        </w:rPr>
        <w:t xml:space="preserve">through the Separation Date (and after, if applicable), (ii) </w:t>
      </w:r>
      <w:r>
        <w:rPr>
          <w:rFonts w:ascii="Times New Roman;serif" w:hAnsi="Times New Roman;serif"/>
          <w:b w:val="false"/>
          <w:color w:val="000000"/>
          <w:sz w:val="24"/>
        </w:rPr>
        <w:t xml:space="preserve">deliver to the Company all Company property, pursuant to Section 10, by no later than thirty (30) days following the Separation Date, (iii) sign and return the executed copy of this Agreement to the Company on or before the expiration of the Consideration Period, (iv) fully comply with the terms of this Agreement, and (v) do not revoke this Agreement pursuant to Section 6 below, the Company will pay or extend to you, as applicable, the following (collectively referred to as the “Separation Benefits”):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equivalent of twelve (12) months (the “Severance Period”) of your base salary in effect as of the Separation Date (i.e., the gross amount of $34,166.66 per month), subject to standard payroll deductions and withholdings, payable in monthly installments as a continuation on the Company’s regular payroll, beginning no later than the first regularly-scheduled payroll date following the thirtieth (30th) day after your Separation Date, provided this Agreement has become effective;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If you timely elect continued coverage under COBRA, the Company will pay for the COBRA premiums to continue your health insurance coverage (including coverage for eligible dependents, if applicable) (“COBRA Premiums”) through the period (the “COBRA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Premium Period”) starting on the Separation Date and ending on the earliest to occur of: (i) the twelve (12) month anniversary of the Separation Date; (ii) the date you become eligible for group health insurance coverage through a new employer; or (iii) the date you cease to be eligible for COBRA continuation coverage for any reason. You must timely pay your premiums, and then provide the Company with proof of same to obtain reimbursement for your COBRA premiums under this section. In the event you become covered under another employer’s group health plan or otherwise cease to be eligible for COBRA during the COBRA Premium Period, you must immediately notify the Company of such event by email to the Legal Department (legal@thehonestcompany.com).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cash payment equal to the applicable COBRA premiums for that month for the remainder of the COBRA Premium Period, which you may (but are not obligated to) use toward the cost of COBRA premiums;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you will remain eligible for an annual bonus for the 2025 calendar year (notwithstanding your termination of employment prior to the payment date of the bonus, which renders you otherwise ineligible for such bonus), as determined by the Board and/or the Committee in its discretion based on the achievement of the applicable performance goals for the 2025 calendar year, to be paid at the same time that annual bonuses for the 2025 calendar year are paid to other Company executives (but in any event no later than March 15, 2026).</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You acknowledge that the Company has no duty or obligation (including pursuant to the Employment Agreement) to provide you the Separation Benefits absent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Equity Interests</w:t>
      </w:r>
      <w:r>
        <w:rPr>
          <w:rFonts w:ascii="Times New Roman;serif" w:hAnsi="Times New Roman;serif"/>
          <w:b w:val="false"/>
          <w:color w:val="000000"/>
          <w:sz w:val="24"/>
        </w:rPr>
        <w:t>. Your entitlement to outstanding equity awards, if any, shall be governed by the terms of the stock plan governing such options and the documents by which such options were granted to you, along with any amendments thereto.</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In consideration of the Separation Benefits set forth in Section 3 above, you on behalf of yourself and your heirs, any spouse, executor, assigns, administrators, representatives, and agents, hereby release and forever discharge the Company and each of its respective past, present and future employees, officers, directors, members, agents, trustees, administrators, representatives, owners, shareholders, partners, insurers, fiduciaries, attorneys, subsidiaries, parent companies, affiliates, related entities, assigns, predecessors and successors in interest, as well as each of their past, present and future employees, officers, directors, members, agents, trustees, administrators, representatives, owners, shareholders, partners, insurers, fiduciaries, attorneys, subsidiaries, parent companies, affiliates, related entities, assigns, predecessors and successors in interest, jointly and severally, (referred to collectively hereafter as the “Releasees”), from any and all liabilities, claims,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a “Claim” or “Claims”), of whatever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kind and nature, whether now known or unknown, which you have at any time owned or held up to and including the date you sign this Agreement including, and without limiting the generality of the foregoing, any and all Claims arising out of, connected with, or relating to: (a) your employment or termination of employment with the Company; (b) any act or omission by or on the part of any of the Releasees occurring from the beginning of time up through and including your execution of this Agreement; (c) any Claim for violation of any federal, state or local law or regulation prohibiting discrimination, failure to prevent discrimination, harassment or retaliation of any kind; (d) Title VII of the Civil Rights Act of 1964, as amended; the Civil Rights Act of 1991; the Americans with Disabilities Act of 1990, as amended; the Genetic Information and Discrimination Act; the Rehabilitation Act of 1973, as amended; the Age Discrimination in Employment Act of 1967 (“ADEA”), as amended by the Older Workers’ Benefit Protection Act of 1990 (“OWBPA”); the National Labor Relations Act, as amended; the Labor-Management Relations Act, as amended; the Family and Medical Leave Act; the Employee Retirement Income Security Act; the Lily Ledbetter Fair Pay Act; the Pregnancy Discrimination Act; the Occupational Safety and Health Act; the Federal Worker Adjustment and Retraining Notification Act; the Fair Labor Standards Act (including the Equal Pay Act) or the Consolidated Omnibus Budget Reconciliation Act (COBRA), as amended; the Sarbanes-Oxley Act of 2002; the California Worker Adjustment and Retraining Notification Act; the California Business &amp; Professions Code; the California Family Rights Act; the California Labor Code; the California Industrial Welfare Commission Wage Orders; the California Fair Employment and Housing Act; the Minnesota Equal Pay for Equal Work Law; the Minnesota Whistleblower Act; the Minnesota Whistleblower Protection Laws; the Minnesota Parental Leave Act; all releasable allowed under Minnesota Statute Chapter 181; the California, Minnesota, and United States Constitutions; and any local ordinance or federal or state statute, regulation or constitution; and (e) any Claim for attorneys' fees, penalties, interest, costs or expenses. If any claim is not subject to release, to the extent permitted by law, you waive any right or ability to be a class or collective action representative or to otherwise participate or recover any damages, injunctive, declaratory, monetary, or other relief, in any putative or certified class, collective or multi-party action or proceeding based on such a claim in which the Company or any of the other Released Parties is a party. You represent that you are not an “aggrieved employee” for any purpose including under the California Private Attorneys’ General Act (“PAGA”), and therefore the Company is not liable for any penalties pursuant to PAGA for any conduct arising during or out of your employment with the Company. </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General Release in Section 5(a) of this Agreement is intended to be a full and final release covering all suspected, unknown, undisclosed and unanticipated Claims which may have arisen, or may arise, from any act or omission prior to the date that you sign this Agreement, and which arise out of or are related, directly or indirectly, to the dealings between the Parties to this Agreement, or any matters described above. If you later discover facts different from or in addition to those facts you currently know or believe to be true, this Agreement, the waivers and releases will nevertheless remain effective in all respects. You and on behalf of anyone or any entity claiming through you, waive any and all rights or benefits which you may now have, or in the future may have, under the terms of Cal. Civ. Code § 1542 which provides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provisions of § 1542, and for the purpose of implementing a full and complete release and discharge, you expressly acknowledge that (i) this Agreement is intended to and does include in its effect, without limitation, all Claims you do not know or suspect to exist in your favor against any of the Releasees, up to and including the date you sign this Agreement, and (ii) this Agreement expressly contemplates the extinguishment of such Claims.</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Statutory Disclosures and Consideration/ Revocation Periods.</w:t>
      </w:r>
      <w:r>
        <w:rPr>
          <w:color w:val="000000"/>
        </w:rPr>
        <w:t xml:space="preserve"> </w:t>
      </w:r>
      <w:r>
        <w:rPr>
          <w:rFonts w:ascii="Times New Roman;serif" w:hAnsi="Times New Roman;serif"/>
          <w:b w:val="false"/>
          <w:color w:val="000000"/>
          <w:sz w:val="24"/>
        </w:rPr>
        <w:t xml:space="preserve">Section 5 of this Agreement constitutes a knowing and voluntary waiver of any and all rights or Claims that you have or may have under all laws for which claims can be released, including the Federal Age Discrimination in Employment Act, as amended by the OWBPA, and the Minnesota Human Rights Act. You agree and acknowledge that you have read this Section and this Agreement, which are written in a manner to be understood by you; you understand that your release of claims does not apply to rights and Claims that may arise after you sign this Agreement. You are hereby advised in writing to consult with an attorney of your choosing before signing this Agreement. You may take up to forty-five (45) days to review and consider this Agreement (“Consideration Period”), after which time this Agreement to provide you the Separation Benefits will expire. The Parties agree that modification of this Agreement, whether material or immaterial, shall not restart the running of the Consideration Period. If you decide not to use the full Consideration Period, you knowingly and voluntarily waive any claims that you were not given or did not use the full Consideration Period before signing this Agreement and acknowledge that you have signed this Agreement knowingly and voluntarily. You may revoke this Agreement at any time within the 15-day period following the date you sign this Agreement (“Revocation Period”) by providing written notice of revocation via email to the Legal Department (legal@thehonestcompany.com), so that such written notice is received before the Revocation Period expires. Subject also to Section 3 of this Agreement, the Company’s obligation to provide any payment under this Agreement does not become final and binding until after the expiration of the Revocation Period and only if you have not revoked this Agreement during such time period. If you exercise your right to revoke the Agreement during the Revocation Period, the Company reserves the right to treat the Agreement as void, in whole or in part, at its sole discretion. Exhibit A to this Agreement contains information you are entitled to pursuant to the OWBPA. </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Your Protected Rights; Non-Interference</w:t>
      </w:r>
      <w:r>
        <w:rPr>
          <w:rFonts w:ascii="Times New Roman;serif" w:hAnsi="Times New Roman;serif"/>
          <w:b w:val="false"/>
          <w:color w:val="000000"/>
          <w:sz w:val="24"/>
        </w:rPr>
        <w:t xml:space="preserve">. Notwithstanding the above, neither the claims released in Section 5 nor any other provision of this Agreement are intended to affect the following rights and protections: (i) any rights to receive the Separation Benefits; (ii) any claim for vested and accrued benefits under any benefit plan governed by ERISA; (iii) any claim for unemployment or state disability insurance benefits or worker compensation benefits; (iv) any claim of breach of the terms of this Agreement; or (v) any other claims that cannot lawfully be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released as a matter of law or public policy. Additionally, nothing in this Agreement waives or otherwise affects your right to file a charge, communicate with, or cooperate or participate in an investigation or proceeding conducted by an administrative or regulatory agency, such as the Equal Employment Opportunity Commission or the Securities and Exchange Commission (“Government Agencies”), including without providing notice to the Company; to bring a suit to challenge the validity of this Agreement; to engage in activity that is protected under the National Labor Relations Act, such as the right to discuss terms and conditions of employment or the right to file an unfair labor practice charge; to make disclosures that are required by law; to discuss or disclose information about unlawful acts in the workplace, such as harassment or discrimination or any other conduct that you have reason to believe is unlawful; or to testify truthfully, when required or requested to attend the proceeding pursuant to a court order, subpoena, or written request from a Government Agency or the legislature. However, to the extent permitted by law, the consideration provided to you in this Agreement shall be the sole relief provided to you by the Releasees for the matters released in Section 5 and you agree to waive any monetary or other personal relief against the Releasees in connection with any such claim, charge, or proceeding. Notwithstanding anything in this Agreement to the contrary, nothing in this Agreement shall be interpreted to prohibit or prevent you from receiving a bounty or similar award for providing information to a Government Agency or filing or participating in any whistleblower complaint filed with the Securities and Exchange Commission.</w:t>
      </w:r>
    </w:p>
    <w:p>
      <w:pPr>
        <w:pStyle w:val="TextBody"/>
        <w:bidi w:val="0"/>
        <w:spacing w:lineRule="auto" w:line="288" w:before="0" w:after="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Covenant Not to Sue; Representations</w:t>
      </w:r>
      <w:r>
        <w:rPr>
          <w:rFonts w:ascii="Times New Roman;serif" w:hAnsi="Times New Roman;serif"/>
          <w:b w:val="false"/>
          <w:color w:val="000000"/>
          <w:sz w:val="24"/>
        </w:rPr>
        <w:t xml:space="preserve">. Without limiting your rights as set forth in Section 7, you acknowledge and agree that you have not and will not directly or indirectly institute or assist in any legal action in court or arbitration against the Releasees based upon, arising out of, or related to any Claims released herein. You further acknowledge and agree that you have not sustained any workplace injury of any kind during your employment with the Company that you are aware of and that has not been reported. You agree that except for the Separation Benefits, you have been paid all wages and other compensation that you have earned or become entitled to during your employment with the Company, including but not limited to, all wages, salary, bonuses and commissions, vacation and sick time, and reimbursable expenses. </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Confidentiality and Non-Disparagement</w:t>
      </w:r>
      <w:r>
        <w:rPr>
          <w:rFonts w:ascii="Times New Roman;serif" w:hAnsi="Times New Roman;serif"/>
          <w:b w:val="false"/>
          <w:color w:val="000000"/>
          <w:sz w:val="24"/>
        </w:rPr>
        <w:t>. You agree that the terms and conditions of this Agreement are confidential, including, but not limited to, the amounts paid to you under this Agreement. You will not disclose or publicize the existence of this Agreement or any of its terms to any person, or in any manner,</w:t>
      </w:r>
      <w:r>
        <w:rPr>
          <w:color w:val="000000"/>
        </w:rPr>
        <w:t xml:space="preserve"> </w:t>
      </w:r>
      <w:r>
        <w:rPr>
          <w:rFonts w:ascii="Times New Roman;serif" w:hAnsi="Times New Roman;serif"/>
          <w:b w:val="false"/>
          <w:color w:val="000000"/>
          <w:sz w:val="24"/>
        </w:rPr>
        <w:t>except to your spouse, legal counsel, or accounting advisors and then only after securing the agreement of each such individual to maintain the confidentiality of this Agreement. Notwithstanding, this Agreement does not prohibit or restrict you from initiating communications directly with, or responding to any inquiry from, or providing testimony before, any self-regulatory organization or state or federal regulatory authority, regarding this Agreement or its underlying facts or circumstances. You further acknowledge that, during the term of your employment by the Company, you have had access to and possession of Confidential Information (defined below), and that following the Termination Date, you must continue to comply with the terms of the Employment, Confidential Information and Assignment of Inventions Agreement (“CIAIA”) you previously entered into with the Company. For the purposes of this Agreement,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shall have the meaning ascribed to such term in the CIAIA. In addition, you agree that, at all times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Termination Date, you will not make any voluntary statements, written or oral, or cause or encourage others to make any such statements that defame, disparage or in any way criticize the personal and/or business reputations, practices or conduct of the Company or any of the other Releasees. Notwithstanding any of the foregoing, nothing in this Section is intended to limit your rights as set forth in Section 7.</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Surrender and Return of Company Property</w:t>
      </w:r>
      <w:r>
        <w:rPr>
          <w:rFonts w:ascii="Times New Roman;serif" w:hAnsi="Times New Roman;serif"/>
          <w:b w:val="false"/>
          <w:color w:val="000000"/>
          <w:sz w:val="24"/>
        </w:rPr>
        <w:t>. As a condition of your receipt of the Separation Benefits, you represent and warrant that proprietary items will be returned to an authorized officer of the Company, including but not limited to, any computer hardware or software, credit cards, key cards, cellular phones, any books or manuals issued by the Company and any other Confidential Information (including, without limitation, all copies or reproductions of such documents or materials, computer disks, backup copies, and other forms of electronic storage media) within thirty (30) days of the Separation Date, and that you will not retain any copies thereof. Compliance with this Section is a material term of this Agreement, and therefore you understand that failure to timely return the Company property described in this Section 10 will result in delayed payment/receipt or non-payment/receipt of the Separation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Cooperation</w:t>
      </w:r>
      <w:r>
        <w:rPr>
          <w:rFonts w:ascii="Times New Roman;serif" w:hAnsi="Times New Roman;serif"/>
          <w:b w:val="false"/>
          <w:color w:val="000000"/>
          <w:sz w:val="24"/>
        </w:rPr>
        <w:t>. You agree to cooperate fully with the Company regarding matters arising out of or related to your employment, including but not limited to in connection with any and all pending or future litigation or administrative claims, investigations, or proceedings involving the Company, including without limitation your meeting with the Company's counsel and/or advisors at reasonable times, upon their request, and providing written statements or live testimony (in court or at depositions) that is truthful, and complete in accordance with information known to you. To the extent any obligations under this Section require you to travel and/or incur expenses, the Company agrees to pay for any and all such travel and/or expenses, with such travel and/or expenses to be pre-approved by the Company before they are incurred. Nothing in this Section is intended to limit your rights as set forth in Section 7.</w:t>
      </w:r>
    </w:p>
    <w:p>
      <w:pPr>
        <w:pStyle w:val="TextBody"/>
        <w:bidi w:val="0"/>
        <w:spacing w:lineRule="auto" w:line="288"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shd w:fill="FFFFFF" w:val="clear"/>
        </w:rPr>
        <w:t xml:space="preserve">.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you on account of non-compliance with Section 409A. You acknowledge that any and all federal, state, or local tax liability that may be due or become due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because of the Separation Benefits are your sole responsibility, and you further agree to hold the Company harmless and indemnify it for any and all liabilities, penalties, interest, costs, attorneys’ fees and expenses relating to any tax or contribution that may be incurred or demanded as a result of your receipt of the Separation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Agreement is held to be void, null or unenforceable, the remaining portions will remain in full force and effect. To the extent any provision of the general release of claims is deemed to be invalid or unenforceable, the Parties agree to enter into a full and general release of all claims by you that is not invalid. </w:t>
      </w:r>
    </w:p>
    <w:p>
      <w:pPr>
        <w:pStyle w:val="TextBody"/>
        <w:bidi w:val="0"/>
        <w:spacing w:lineRule="auto" w:line="288"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Governing Law; Dispute Resolution</w:t>
      </w:r>
      <w:r>
        <w:rPr>
          <w:rFonts w:ascii="Times New Roman;serif" w:hAnsi="Times New Roman;serif"/>
          <w:b w:val="false"/>
          <w:color w:val="000000"/>
          <w:sz w:val="24"/>
        </w:rPr>
        <w:t xml:space="preserve">. This Agreement shall be deemed to have been executed and delivered within the State of Minnesota, and the rights and obligations of the parties hereunder shall be construed and enforced in accordance with, and governed by, the laws of the State of Minnesota, without regard to principles of conflict of laws. Any and all disputes arising out of or in connection with this Agreement, or the breach thereof, shall be construed, arbitrated and finally resolved by and in accordance with Section 11 of the Employment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No Admission</w:t>
      </w:r>
      <w:r>
        <w:rPr>
          <w:rFonts w:ascii="Times New Roman;serif" w:hAnsi="Times New Roman;serif"/>
          <w:b w:val="false"/>
          <w:color w:val="000000"/>
          <w:sz w:val="24"/>
        </w:rPr>
        <w:t xml:space="preserve">. Neither this Agreement nor the furnishing of the consideration for this Agreement will be deemed or construed as an admission of liability or wrongdoing on the part of the Releasees, nor will it be admissible as evidence in any proceeding other than for the enforcement of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Execution; Counterparts</w:t>
      </w:r>
      <w:r>
        <w:rPr>
          <w:rFonts w:ascii="Times New Roman;serif" w:hAnsi="Times New Roman;serif"/>
          <w:b w:val="false"/>
          <w:color w:val="000000"/>
          <w:sz w:val="24"/>
        </w:rPr>
        <w:t>. You shall not execute this Agreement before the Separation Date, and the Company has no obligation to countersign this Agreement you execute this Agreement before the Separation Date. This Agreement may be executed in counterparts, and each counterpart, when executed, shall have the efficacy of a signed original. Photographic or facsimile copies of such signed counterparts may be used in lieu of the originals for any purpose.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You acknowledge that you have read this Agreement, fully understand the contents of this Agreement, freely, voluntarily and without coercion enter into this Agreement, and are signing it in exchange for good and valuable consideration in addition to anything of value to which you are otherwise entitled, with full knowledge that it is intended, to the maximum extent permitted by law, as a complete release and waiver of any and all claims you may have against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contains all of the terms, conditions, promises, representations and understandings between the Parties, and supersedes any previous written or oral agreements between the Parties, except that any provisions of the CIIAA, your previous indemnification agreement with the Company, and the Employment Agreement provisions that survive the termination of your employment will remain in full force and effect. This Agreement cannot be modified except by a writing signed by you and an authorized officer of the Company. The Company’s failure to insist upon your strict adherence to any term or obligation of this Agreement shall neither be considered a waiver nor deprive the Company of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right to thereafter expect or insist upon strict adherence to that term or obligation, or any other term or obligation,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Agreement shall not become effective until 12:01 a.m. on the 16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after you sign and date this Agreement and do not revoke it (referred to hereafter as the “Effective Date”).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YOU ACKNOWLEDGE AND UNDERSTAND THAT THIS AGREEMENT INCLUDES A RELEASE OF ALL CLAIMS. YOU ACKNOWLEDGE THAT YOU HAVE READ THIS AGREEMENT CAREFULLY, UNDERSTAND ALL OF ITS TERMS AND AGREE TO THOSE TERMS KNOWINGLY, VOLUNTARILY, AND WITHOUT DURESS. YOU ARE ADVISED TO CONSULT WITH COUNSEL ABOUT THE TERMS AND LEGAL EFFECT OF THIS AGREEMENT.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EMPLOYEE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Dated: </w:t>
      </w:r>
      <w:r>
        <w:rPr>
          <w:color w:val="000000"/>
          <w:u w:val="single"/>
        </w:rPr>
        <w:t>        </w:t>
      </w:r>
      <w:r>
        <w:rPr>
          <w:rFonts w:ascii="Times New Roman;serif" w:hAnsi="Times New Roman;serif"/>
          <w:b w:val="false"/>
          <w:color w:val="000000"/>
          <w:sz w:val="24"/>
          <w:u w:val="single"/>
        </w:rPr>
        <w:t>12/31/2025        </w:t>
      </w:r>
      <w:r>
        <w:rPr>
          <w:color w:val="000000"/>
        </w:rPr>
        <w:t>    </w:t>
      </w:r>
      <w:r>
        <w:rPr>
          <w:color w:val="000000"/>
          <w:u w:val="single"/>
        </w:rPr>
        <w:t>    </w:t>
      </w:r>
      <w:r>
        <w:rPr>
          <w:rFonts w:ascii="Times New Roman;serif" w:hAnsi="Times New Roman;serif"/>
          <w:b w:val="false"/>
          <w:color w:val="000000"/>
          <w:sz w:val="24"/>
          <w:u w:val="single"/>
        </w:rPr>
        <w:t>/s/ Kate Barton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Katherine Barton</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THE HONEST COMPANY, INC.</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erif" w:hAnsi="Times New Roman;serif"/>
          <w:b w:val="false"/>
          <w:color w:val="000000"/>
          <w:sz w:val="24"/>
        </w:rPr>
        <w:t xml:space="preserve">Dated: </w:t>
      </w:r>
      <w:r>
        <w:rPr>
          <w:color w:val="000000"/>
          <w:u w:val="single"/>
        </w:rPr>
        <w:t>        </w:t>
      </w:r>
      <w:r>
        <w:rPr>
          <w:rFonts w:ascii="Times New Roman;serif" w:hAnsi="Times New Roman;serif"/>
          <w:b w:val="false"/>
          <w:color w:val="000000"/>
          <w:sz w:val="24"/>
          <w:u w:val="single"/>
        </w:rPr>
        <w:t>12/31/2025    </w:t>
      </w:r>
      <w:r>
        <w:rPr>
          <w:color w:val="000000"/>
        </w:rPr>
        <w:t>        </w:t>
      </w: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Brendan Sheehey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Title: </w:t>
      </w:r>
      <w:r>
        <w:rPr>
          <w:color w:val="000000"/>
          <w:u w:val="single"/>
        </w:rPr>
        <w:t>    </w:t>
      </w:r>
      <w:r>
        <w:rPr>
          <w:rFonts w:ascii="Times New Roman;serif" w:hAnsi="Times New Roman;serif"/>
          <w:b w:val="false"/>
          <w:color w:val="000000"/>
          <w:sz w:val="24"/>
          <w:u w:val="single"/>
        </w:rPr>
        <w:t>General Counsel &amp; Corp. Sec.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information is provided to you by The Honest Company, Inc. (the “Company”) in accordance with the Older Workers Benefit Protection Act (“OWBPA”). The Company is offering severance benefits to eligible employees who were selected for inclusion in the Company’s separation program. The severance benefits offered to you are described within the Separation Agreement and General Release of all Claims (the “Agreement”) accompanying this Exhibit. Note that it is possible that the disclosed information in this Exhibit may change in the future.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Applicable Time Limits</w:t>
      </w:r>
      <w:r>
        <w:rPr>
          <w:rFonts w:ascii="Times New Roman;serif" w:hAnsi="Times New Roman;serif"/>
          <w:b/>
          <w:color w:val="000000"/>
          <w:sz w:val="24"/>
        </w:rPr>
        <w:t xml:space="preserve">. </w:t>
      </w:r>
      <w:r>
        <w:rPr>
          <w:rFonts w:ascii="Times New Roman;serif" w:hAnsi="Times New Roman;serif"/>
          <w:b w:val="false"/>
          <w:color w:val="000000"/>
          <w:sz w:val="24"/>
        </w:rPr>
        <w:t xml:space="preserve">Eligible employees of the age of forty (40) and over are afforded not less than forty-five (45) days from the date of receipt of their Agreement, to consider whether to accept or reject the Company’s offer. Eligible employees who accept the offer within the time-period above will be afforded fifteen (15) days following the date of their execution of their Agreement to revoke their acceptance. The Agreement shall not become effective or enforceable until after the revocation period has expired. </w:t>
      </w:r>
    </w:p>
    <w:p>
      <w:pPr>
        <w:pStyle w:val="TextBody"/>
        <w:bidi w:val="0"/>
        <w:spacing w:before="0" w:after="0"/>
        <w:ind w:left="0" w:right="0" w:firstLine="748"/>
        <w:jc w:val="both"/>
        <w:rPr/>
      </w:pPr>
      <w:r>
        <w:rPr/>
      </w:r>
    </w:p>
    <w:p>
      <w:pPr>
        <w:pStyle w:val="TextBody"/>
        <w:bidi w:val="0"/>
        <w:spacing w:lineRule="auto" w:line="288" w:before="0" w:after="0"/>
        <w:jc w:val="left"/>
        <w:rPr/>
      </w:pPr>
      <w:r>
        <w:rPr>
          <w:rFonts w:ascii="Times New Roman;serif" w:hAnsi="Times New Roman;serif"/>
          <w:b/>
          <w:color w:val="000000"/>
          <w:sz w:val="24"/>
          <w:u w:val="single"/>
        </w:rPr>
        <w:t>Eligibility Requirements</w:t>
      </w:r>
      <w:r>
        <w:rPr>
          <w:rFonts w:ascii="Times New Roman;serif" w:hAnsi="Times New Roman;serif"/>
          <w:b/>
          <w:color w:val="000000"/>
          <w:sz w:val="24"/>
        </w:rPr>
        <w:t xml:space="preserve">. </w:t>
      </w:r>
      <w:r>
        <w:rPr>
          <w:rFonts w:ascii="Times New Roman;serif" w:hAnsi="Times New Roman;serif"/>
          <w:b w:val="false"/>
          <w:color w:val="000000"/>
          <w:sz w:val="24"/>
        </w:rPr>
        <w:t>The class, unit, or group of individuals covered by this program and eligible for severance benefits are those in the full-time positions noted below, who are terminated in connection with the current separation program. To qualify for severance benefits, eligible employees must (1) be a regular full-time employee of the Company as of their respective planned date of termination (“Termination Date”), (2) be involuntarily terminated as a result of a separation program involving employees in the Decisional Unit (described below) on their Separation Date, and (3) sign, return, not timely revoke, and comply with the Agreement that was provided to the employee.</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4"/>
          <w:u w:val="single"/>
        </w:rPr>
        <w:t>Selection Factors / Decisional Unit</w:t>
      </w:r>
      <w:r>
        <w:rPr>
          <w:rFonts w:ascii="Times New Roman;serif" w:hAnsi="Times New Roman;serif"/>
          <w:b/>
          <w:color w:val="000000"/>
          <w:sz w:val="24"/>
        </w:rPr>
        <w:t xml:space="preserve">. </w:t>
      </w:r>
      <w:r>
        <w:rPr>
          <w:rFonts w:ascii="Times New Roman;serif" w:hAnsi="Times New Roman;serif"/>
          <w:b w:val="false"/>
          <w:color w:val="000000"/>
          <w:sz w:val="24"/>
        </w:rPr>
        <w:t xml:space="preserve">The OWBPA requires that the Company inform you of the “Decisional Unit” used in determining whose employment would be terminated in this separation program. The Decisional Unit considered for this separation program was the Company’s executive team. With respect to the Decisional Unit, the Company evaluated employees based on job responsibilities and organizational structure required by organizational strategy changes.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4"/>
        </w:rPr>
        <w:t xml:space="preserve">Applicable Data. </w:t>
      </w:r>
      <w:r>
        <w:rPr>
          <w:rFonts w:ascii="Times New Roman;serif" w:hAnsi="Times New Roman;serif"/>
          <w:b w:val="false"/>
          <w:color w:val="000000"/>
          <w:sz w:val="24"/>
        </w:rPr>
        <w:t xml:space="preserve">The OWBPA also requires that the Company provide you with a list of the job titles and ages of all persons in the Decisional Unit who were, and who were not, selected for termination and offered severance as part of the program. The list that follows provides this information. </w:t>
      </w:r>
    </w:p>
    <w:p>
      <w:pPr>
        <w:pStyle w:val="TextBody"/>
        <w:bidi w:val="0"/>
        <w:spacing w:before="0" w:after="0"/>
        <w:jc w:val="both"/>
        <w:rPr/>
      </w:pPr>
      <w:r>
        <w:rPr/>
      </w:r>
    </w:p>
    <w:tbl>
      <w:tblPr>
        <w:tblW w:w="4890" w:type="dxa"/>
        <w:jc w:val="left"/>
        <w:tblInd w:w="0" w:type="dxa"/>
        <w:tblLayout w:type="fixed"/>
        <w:tblCellMar>
          <w:top w:w="28" w:type="dxa"/>
          <w:left w:w="28" w:type="dxa"/>
          <w:bottom w:w="28" w:type="dxa"/>
          <w:right w:w="28" w:type="dxa"/>
        </w:tblCellMar>
      </w:tblPr>
      <w:tblGrid>
        <w:gridCol w:w="834"/>
        <w:gridCol w:w="734"/>
        <w:gridCol w:w="741"/>
        <w:gridCol w:w="170"/>
        <w:gridCol w:w="170"/>
        <w:gridCol w:w="171"/>
        <w:gridCol w:w="606"/>
        <w:gridCol w:w="606"/>
        <w:gridCol w:w="858"/>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Job Title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Age</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Selected (Yes / No) </w:t>
            </w:r>
          </w:p>
        </w:tc>
      </w:tr>
      <w:tr>
        <w:trPr/>
        <w:tc>
          <w:tcPr>
            <w:tcW w:w="23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Chief Financial Officer</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23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Chief People Officer</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23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Chief Growth Officer</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Yes</w:t>
            </w:r>
          </w:p>
        </w:tc>
      </w:tr>
      <w:tr>
        <w:trPr/>
        <w:tc>
          <w:tcPr>
            <w:tcW w:w="23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SVP, Customer Sales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23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General Counsel</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c>
        <w:tc>
          <w:tcPr>
            <w:tcW w:w="20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tbl>
      <w:tblPr>
        <w:tblW w:w="4862" w:type="dxa"/>
        <w:jc w:val="left"/>
        <w:tblInd w:w="0" w:type="dxa"/>
        <w:tblLayout w:type="fixed"/>
        <w:tblCellMar>
          <w:top w:w="28" w:type="dxa"/>
          <w:left w:w="28" w:type="dxa"/>
          <w:bottom w:w="28" w:type="dxa"/>
          <w:right w:w="28" w:type="dxa"/>
        </w:tblCellMar>
      </w:tblPr>
      <w:tblGrid>
        <w:gridCol w:w="1473"/>
        <w:gridCol w:w="1293"/>
        <w:gridCol w:w="1299"/>
        <w:gridCol w:w="115"/>
        <w:gridCol w:w="115"/>
        <w:gridCol w:w="116"/>
        <w:gridCol w:w="132"/>
        <w:gridCol w:w="132"/>
        <w:gridCol w:w="187"/>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SVP, Strategy &amp; Enterprise Development</w:t>
            </w:r>
          </w:p>
        </w:tc>
        <w:tc>
          <w:tcPr>
            <w:tcW w:w="3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4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4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SVP, Supply Chain</w:t>
            </w:r>
          </w:p>
        </w:tc>
        <w:tc>
          <w:tcPr>
            <w:tcW w:w="3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c>
        <w:tc>
          <w:tcPr>
            <w:tcW w:w="4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4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Chief Innovation Officer</w:t>
            </w:r>
          </w:p>
        </w:tc>
        <w:tc>
          <w:tcPr>
            <w:tcW w:w="3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4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r>
        <w:trPr/>
        <w:tc>
          <w:tcPr>
            <w:tcW w:w="40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VP, Corporate Communications</w:t>
            </w:r>
          </w:p>
        </w:tc>
        <w:tc>
          <w:tcPr>
            <w:tcW w:w="3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4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540" w:before="61" w:after="283"/>
        <w:jc w:val="center"/>
        <w:rPr>
          <w:rFonts w:ascii="Times New Roman;serif" w:hAnsi="Times New Roman;serif"/>
          <w:b/>
          <w:color w:val="000000"/>
          <w:sz w:val="22"/>
        </w:rPr>
      </w:pPr>
      <w:r>
        <w:rPr>
          <w:rFonts w:ascii="Times New Roman;serif" w:hAnsi="Times New Roman;serif"/>
          <w:b/>
          <w:color w:val="000000"/>
          <w:sz w:val="22"/>
        </w:rPr>
        <w:t xml:space="preserve">The Honest Company, Inc. </w:t>
      </w:r>
    </w:p>
    <w:p>
      <w:pPr>
        <w:pStyle w:val="TextBody"/>
        <w:bidi w:val="0"/>
        <w:spacing w:lineRule="auto" w:line="240" w:before="242" w:after="283"/>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before="61" w:after="283"/>
        <w:jc w:val="center"/>
        <w:rPr/>
      </w:pPr>
      <w:r>
        <w:rPr/>
      </w:r>
    </w:p>
    <w:p>
      <w:pPr>
        <w:pStyle w:val="TextBody"/>
        <w:bidi w:val="0"/>
        <w:spacing w:lineRule="auto" w:line="288" w:before="121" w:after="283"/>
        <w:jc w:val="left"/>
        <w:rPr>
          <w:rFonts w:ascii="Times New Roman;serif" w:hAnsi="Times New Roman;serif"/>
          <w:b/>
          <w:color w:val="000000"/>
          <w:sz w:val="22"/>
        </w:rPr>
      </w:pPr>
      <w:r>
        <w:rPr>
          <w:rFonts w:ascii="Times New Roman;serif" w:hAnsi="Times New Roman;serif"/>
          <w:b/>
          <w:color w:val="000000"/>
          <w:sz w:val="22"/>
        </w:rPr>
        <w:t>Policy Principles</w:t>
      </w:r>
    </w:p>
    <w:p>
      <w:pPr>
        <w:pStyle w:val="TextBody"/>
        <w:bidi w:val="0"/>
        <w:spacing w:before="30" w:after="283"/>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Employees, directors and designated consultants (each a “</w:t>
      </w:r>
      <w:r>
        <w:rPr>
          <w:rFonts w:ascii="Times New Roman;serif" w:hAnsi="Times New Roman;serif"/>
          <w:b/>
          <w:i/>
          <w:color w:val="000000"/>
          <w:sz w:val="22"/>
        </w:rPr>
        <w:t>Covered Person</w:t>
      </w:r>
      <w:r>
        <w:rPr>
          <w:rFonts w:ascii="Times New Roman;serif" w:hAnsi="Times New Roman;serif"/>
          <w:b w:val="false"/>
          <w:color w:val="000000"/>
          <w:sz w:val="22"/>
        </w:rPr>
        <w:t>,” and collectively, “</w:t>
      </w:r>
      <w:r>
        <w:rPr>
          <w:rFonts w:ascii="Times New Roman;serif" w:hAnsi="Times New Roman;serif"/>
          <w:b/>
          <w:i/>
          <w:color w:val="000000"/>
          <w:sz w:val="22"/>
        </w:rPr>
        <w:t>Covered Persons</w:t>
      </w:r>
      <w:r>
        <w:rPr>
          <w:color w:val="000000"/>
        </w:rPr>
        <w:t>”</w:t>
      </w:r>
      <w:r>
        <w:rPr>
          <w:rFonts w:ascii="Times New Roman;serif" w:hAnsi="Times New Roman;serif"/>
          <w:b w:val="false"/>
          <w:color w:val="000000"/>
          <w:sz w:val="22"/>
        </w:rPr>
        <w:t>) of The Honest Company, Inc. and its subsidiaries (together,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are responsible for understanding the obligations that come with having access to material nonpublic information and wanting to transact in the Company’s securities.</w:t>
      </w:r>
    </w:p>
    <w:p>
      <w:pPr>
        <w:pStyle w:val="TextBody"/>
        <w:bidi w:val="0"/>
        <w:spacing w:lineRule="auto" w:line="280" w:before="239" w:after="283"/>
        <w:ind w:left="0" w:right="0" w:hanging="360"/>
        <w:jc w:val="both"/>
        <w:rPr/>
      </w:pPr>
      <w:r>
        <w:rPr>
          <w:color w:val="000000"/>
        </w:rPr>
        <w:t>•</w:t>
      </w:r>
      <w:r>
        <w:rPr>
          <w:rFonts w:ascii="Times New Roman;serif" w:hAnsi="Times New Roman;serif"/>
          <w:b w:val="false"/>
          <w:color w:val="000000"/>
          <w:sz w:val="22"/>
        </w:rPr>
        <w:t>Covered Persons who are aware of material nonpublic information relating to the Company may not engage in transactions in the Company’s securities except as permitted by this Insider Trading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and applicable law.</w:t>
      </w:r>
    </w:p>
    <w:p>
      <w:pPr>
        <w:pStyle w:val="TextBody"/>
        <w:bidi w:val="0"/>
        <w:spacing w:lineRule="auto" w:line="288" w:before="233" w:after="283"/>
        <w:ind w:left="0" w:right="0" w:hanging="360"/>
        <w:jc w:val="both"/>
        <w:rPr/>
      </w:pPr>
      <w:r>
        <w:rPr>
          <w:color w:val="000000"/>
        </w:rPr>
        <w:t>•</w:t>
      </w:r>
      <w:r>
        <w:rPr>
          <w:rFonts w:ascii="Times New Roman;serif" w:hAnsi="Times New Roman;serif"/>
          <w:b w:val="false"/>
          <w:color w:val="000000"/>
          <w:sz w:val="22"/>
        </w:rPr>
        <w:t>Covered Persons may not disclose material nonpublic information outside of the Company unless the disclosure is made in accordance with a specific Company policy that authorizes such disclosure.</w:t>
      </w:r>
    </w:p>
    <w:p>
      <w:pPr>
        <w:pStyle w:val="TextBody"/>
        <w:bidi w:val="0"/>
        <w:spacing w:lineRule="auto" w:line="288" w:before="239" w:after="283"/>
        <w:ind w:left="0" w:right="0" w:hanging="360"/>
        <w:jc w:val="both"/>
        <w:rPr/>
      </w:pPr>
      <w:r>
        <w:rPr>
          <w:color w:val="000000"/>
        </w:rPr>
        <w:t>•</w:t>
      </w:r>
      <w:r>
        <w:rPr>
          <w:rFonts w:ascii="Times New Roman;serif" w:hAnsi="Times New Roman;serif"/>
          <w:b w:val="false"/>
          <w:color w:val="000000"/>
          <w:sz w:val="22"/>
        </w:rPr>
        <w:t>Covered Persons may not disclose material nonpublic information to persons within the Company whose jobs do not require them to have that information.</w:t>
      </w:r>
    </w:p>
    <w:p>
      <w:pPr>
        <w:pStyle w:val="TextBody"/>
        <w:bidi w:val="0"/>
        <w:spacing w:lineRule="auto" w:line="288" w:before="239" w:after="283"/>
        <w:ind w:left="0" w:right="0" w:hanging="360"/>
        <w:jc w:val="left"/>
        <w:rPr/>
      </w:pPr>
      <w:r>
        <w:rPr>
          <w:color w:val="000000"/>
        </w:rPr>
        <w:t>•</w:t>
      </w:r>
      <w:r>
        <w:rPr>
          <w:rFonts w:ascii="Times New Roman;serif" w:hAnsi="Times New Roman;serif"/>
          <w:b w:val="false"/>
          <w:color w:val="000000"/>
          <w:sz w:val="22"/>
        </w:rPr>
        <w:t>Covered Persons may not recommend the purchase or sale of any Company’s securities.</w:t>
      </w:r>
    </w:p>
    <w:p>
      <w:pPr>
        <w:pStyle w:val="TextBody"/>
        <w:bidi w:val="0"/>
        <w:spacing w:lineRule="auto" w:line="288" w:before="239" w:after="283"/>
        <w:ind w:left="0" w:right="0" w:hanging="360"/>
        <w:jc w:val="both"/>
        <w:rPr/>
      </w:pPr>
      <w:r>
        <w:rPr>
          <w:color w:val="000000"/>
        </w:rPr>
        <w:t>•</w:t>
      </w:r>
      <w:r>
        <w:rPr>
          <w:rFonts w:ascii="Times New Roman;serif" w:hAnsi="Times New Roman;serif"/>
          <w:b w:val="false"/>
          <w:color w:val="000000"/>
          <w:sz w:val="22"/>
        </w:rPr>
        <w:t>Changes to this Policy require approval by the Company’s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or a duly appointed committee of the Board.</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Policy Q&amp;A</w:t>
      </w:r>
    </w:p>
    <w:p>
      <w:pPr>
        <w:pStyle w:val="TextBody"/>
        <w:bidi w:val="0"/>
        <w:spacing w:before="32"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Policy Scope and Purpose</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Why do we have an insider trading policy?</w:t>
      </w:r>
    </w:p>
    <w:p>
      <w:pPr>
        <w:pStyle w:val="TextBody"/>
        <w:bidi w:val="0"/>
        <w:spacing w:lineRule="auto" w:line="288" w:before="237" w:after="283"/>
        <w:ind w:left="0" w:right="0" w:hanging="720"/>
        <w:jc w:val="both"/>
        <w:rPr/>
      </w:pPr>
      <w:r>
        <w:rPr>
          <w:rFonts w:ascii="Times New Roman;serif" w:hAnsi="Times New Roman;serif"/>
          <w:b w:val="false"/>
          <w:color w:val="000000"/>
          <w:sz w:val="22"/>
        </w:rPr>
        <w:t>A: During the course of your relationship with the Company, you may receive material information that is not yet publicly available (“</w:t>
      </w:r>
      <w:r>
        <w:rPr>
          <w:rFonts w:ascii="Times New Roman;serif" w:hAnsi="Times New Roman;serif"/>
          <w:b/>
          <w:i/>
          <w:color w:val="000000"/>
          <w:sz w:val="22"/>
        </w:rPr>
        <w:t>material nonpublic information</w:t>
      </w:r>
      <w:r>
        <w:rPr>
          <w:color w:val="000000"/>
        </w:rPr>
        <w:t>”</w:t>
      </w:r>
      <w:r>
        <w:rPr>
          <w:rFonts w:ascii="Times New Roman;serif" w:hAnsi="Times New Roman;serif"/>
          <w:b w:val="false"/>
          <w:color w:val="000000"/>
          <w:sz w:val="22"/>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Who is subject to this Policy?</w:t>
      </w:r>
    </w:p>
    <w:p>
      <w:pPr>
        <w:pStyle w:val="TextBody"/>
        <w:bidi w:val="0"/>
        <w:spacing w:lineRule="auto" w:line="288" w:before="237" w:after="283"/>
        <w:ind w:left="0" w:right="0" w:hanging="720"/>
        <w:jc w:val="both"/>
        <w:rPr/>
      </w:pPr>
      <w:r>
        <w:rPr>
          <w:rFonts w:ascii="Times New Roman;serif" w:hAnsi="Times New Roman;serif"/>
          <w:b w:val="false"/>
          <w:color w:val="000000"/>
          <w:sz w:val="22"/>
        </w:rPr>
        <w:t>A: 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The foregoing persons who are deemed subject to this Policy are referred to in this Policy as “</w:t>
      </w:r>
      <w:r>
        <w:rPr>
          <w:rFonts w:ascii="Times New Roman;serif" w:hAnsi="Times New Roman;serif"/>
          <w:b/>
          <w:i/>
          <w:color w:val="000000"/>
          <w:sz w:val="22"/>
        </w:rPr>
        <w:t>Related Persons</w:t>
      </w:r>
      <w:r>
        <w:rPr>
          <w:rFonts w:ascii="Times New Roman;serif" w:hAnsi="Times New Roman;serif"/>
          <w:b w:val="false"/>
          <w:color w:val="000000"/>
          <w:sz w:val="22"/>
        </w:rPr>
        <w:t>.” You are responsible for making sure that your Related Persons comply with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2"/>
        </w:rPr>
        <w:t xml:space="preserve">In addition, if you are an officer or director of the Company, or an employee or designated consultant of the Company described on </w:t>
      </w:r>
      <w:r>
        <w:rPr>
          <w:rFonts w:ascii="Times New Roman;serif" w:hAnsi="Times New Roman;serif"/>
          <w:b/>
          <w:color w:val="000000"/>
          <w:sz w:val="22"/>
        </w:rPr>
        <w:t xml:space="preserve">Appendix A </w:t>
      </w:r>
      <w:r>
        <w:rPr>
          <w:rFonts w:ascii="Times New Roman;serif" w:hAnsi="Times New Roman;serif"/>
          <w:b w:val="false"/>
          <w:color w:val="000000"/>
          <w:sz w:val="22"/>
        </w:rPr>
        <w:t>(“</w:t>
      </w:r>
      <w:r>
        <w:rPr>
          <w:rFonts w:ascii="Times New Roman;serif" w:hAnsi="Times New Roman;serif"/>
          <w:b/>
          <w:i/>
          <w:color w:val="000000"/>
          <w:sz w:val="22"/>
        </w:rPr>
        <w:t>Specified Personnel</w:t>
      </w:r>
      <w:r>
        <w:rPr>
          <w:color w:val="000000"/>
        </w:rPr>
        <w:t>”</w:t>
      </w:r>
      <w:r>
        <w:rPr>
          <w:rFonts w:ascii="Times New Roman;serif" w:hAnsi="Times New Roman;serif"/>
          <w:b w:val="false"/>
          <w:color w:val="000000"/>
          <w:sz w:val="22"/>
        </w:rPr>
        <w:t>), you and your Related Persons are subject to the quarterly and other trading blackout periods described below. Officers, directors and other applicable members of management who have been notified that they are subject to pre-clearance requirements, and their Related Persons are also subject to pre-clear and provide advance notice of transactions as described further below.</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Whose responsibility is it to comply with this Policy?</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What transactions are subject to this Policy?</w:t>
      </w:r>
    </w:p>
    <w:p>
      <w:pPr>
        <w:pStyle w:val="TextBody"/>
        <w:bidi w:val="0"/>
        <w:spacing w:lineRule="auto" w:line="288" w:before="236" w:after="283"/>
        <w:ind w:left="0" w:right="0" w:hanging="720"/>
        <w:jc w:val="both"/>
        <w:rPr/>
      </w:pPr>
      <w:r>
        <w:rPr>
          <w:rFonts w:ascii="Times New Roman;serif" w:hAnsi="Times New Roman;serif"/>
          <w:b w:val="false"/>
          <w:color w:val="000000"/>
          <w:sz w:val="22"/>
        </w:rPr>
        <w:t>A: 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serif" w:hAnsi="Times New Roman;serif"/>
          <w:b/>
          <w:i/>
          <w:color w:val="000000"/>
          <w:sz w:val="22"/>
        </w:rPr>
        <w:t>trade</w:t>
      </w:r>
      <w:r>
        <w:rPr>
          <w:rFonts w:ascii="Times New Roman;serif" w:hAnsi="Times New Roman;serif"/>
          <w:b w:val="false"/>
          <w:color w:val="000000"/>
          <w:sz w:val="22"/>
        </w:rPr>
        <w:t>,” “</w:t>
      </w:r>
      <w:r>
        <w:rPr>
          <w:rFonts w:ascii="Times New Roman;serif" w:hAnsi="Times New Roman;serif"/>
          <w:b/>
          <w:i/>
          <w:color w:val="000000"/>
          <w:sz w:val="22"/>
        </w:rPr>
        <w:t>trading</w:t>
      </w:r>
      <w:r>
        <w:rPr>
          <w:rFonts w:ascii="Times New Roman;serif" w:hAnsi="Times New Roman;serif"/>
          <w:b w:val="false"/>
          <w:color w:val="000000"/>
          <w:sz w:val="22"/>
        </w:rPr>
        <w:t>,” and “</w:t>
      </w:r>
      <w:r>
        <w:rPr>
          <w:rFonts w:ascii="Times New Roman;serif" w:hAnsi="Times New Roman;serif"/>
          <w:b/>
          <w:i/>
          <w:color w:val="000000"/>
          <w:sz w:val="22"/>
        </w:rPr>
        <w:t>transactions</w:t>
      </w:r>
      <w:r>
        <w:rPr>
          <w:color w:val="000000"/>
        </w:rPr>
        <w:t xml:space="preserve">” </w:t>
      </w:r>
      <w:r>
        <w:rPr>
          <w:rFonts w:ascii="Times New Roman;serif" w:hAnsi="Times New Roman;serif"/>
          <w:b w:val="false"/>
          <w:color w:val="000000"/>
          <w:sz w:val="22"/>
        </w:rPr>
        <w:t>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In addition, from time to time, the Company may engage in transactions in its securities. It is the Company’s policy to comply with applicable laws and regulations relating to insider trading.</w:t>
      </w:r>
    </w:p>
    <w:p>
      <w:pPr>
        <w:pStyle w:val="TextBody"/>
        <w:bidi w:val="0"/>
        <w:spacing w:lineRule="auto" w:line="542" w:before="243" w:after="283"/>
        <w:jc w:val="both"/>
        <w:rPr>
          <w:rFonts w:ascii="Times New Roman;serif" w:hAnsi="Times New Roman;serif"/>
          <w:b/>
          <w:color w:val="000000"/>
          <w:sz w:val="22"/>
        </w:rPr>
      </w:pPr>
      <w:r>
        <w:rPr>
          <w:rFonts w:ascii="Times New Roman;serif" w:hAnsi="Times New Roman;serif"/>
          <w:b/>
          <w:color w:val="000000"/>
          <w:sz w:val="22"/>
        </w:rPr>
        <w:t>Insider Trading and Material Nonpublic Information Q: What is insider trading?</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including but not limited to, another publicly traded company that the Company has business relationships with, and you trade in the Company’s or such other company’s securities, you have broken the law. You should be aware that trading securities of another publicly traded company while you are in possession of material nonpublic information about the Company or any other company that you learn in the course of your relationship with the Company and that could affect the share price of such other publicly traded company may give rise to liability under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98830"/>
                <wp:effectExtent l="0" t="0" r="0" b="0"/>
                <wp:wrapNone/>
                <wp:docPr id="126" name="Frame12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color w:val="000000"/>
          <w:sz w:val="22"/>
        </w:rPr>
      </w:pPr>
      <w:r>
        <w:rPr>
          <w:rFonts w:ascii="Times New Roman;serif" w:hAnsi="Times New Roman;serif"/>
          <w:b/>
          <w:color w:val="000000"/>
          <w:sz w:val="22"/>
        </w:rPr>
        <w:t>Q:    Why is insider trading illegal?</w:t>
      </w:r>
    </w:p>
    <w:p>
      <w:pPr>
        <w:pStyle w:val="TextBody"/>
        <w:bidi w:val="0"/>
        <w:spacing w:lineRule="auto" w:line="280"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233" w:after="283"/>
        <w:jc w:val="left"/>
        <w:rPr>
          <w:rFonts w:ascii="Times New Roman;serif" w:hAnsi="Times New Roman;serif"/>
          <w:b/>
          <w:color w:val="000000"/>
          <w:sz w:val="22"/>
        </w:rPr>
      </w:pPr>
      <w:r>
        <w:rPr>
          <w:rFonts w:ascii="Times New Roman;serif" w:hAnsi="Times New Roman;serif"/>
          <w:b/>
          <w:color w:val="000000"/>
          <w:sz w:val="22"/>
        </w:rPr>
        <w:t>Q:    What is material information?</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pStyle w:val="TextBody"/>
        <w:bidi w:val="0"/>
        <w:spacing w:lineRule="auto" w:line="288" w:before="244" w:after="283"/>
        <w:jc w:val="left"/>
        <w:rPr>
          <w:rFonts w:ascii="Times New Roman;serif" w:hAnsi="Times New Roman;serif"/>
          <w:b/>
          <w:color w:val="000000"/>
          <w:sz w:val="22"/>
        </w:rPr>
      </w:pPr>
      <w:r>
        <w:rPr>
          <w:rFonts w:ascii="Times New Roman;serif" w:hAnsi="Times New Roman;serif"/>
          <w:b/>
          <w:color w:val="000000"/>
          <w:sz w:val="22"/>
        </w:rPr>
        <w:t>Q:    What are examples of material information?</w:t>
      </w:r>
    </w:p>
    <w:p>
      <w:pPr>
        <w:pStyle w:val="TextBody"/>
        <w:bidi w:val="0"/>
        <w:spacing w:lineRule="auto" w:line="288" w:before="236"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pStyle w:val="TextBody"/>
        <w:bidi w:val="0"/>
        <w:spacing w:lineRule="auto" w:line="288" w:before="243" w:after="283"/>
        <w:ind w:left="0" w:right="0" w:hanging="360"/>
        <w:jc w:val="left"/>
        <w:rPr/>
      </w:pPr>
      <w:r>
        <w:rPr>
          <w:color w:val="000000"/>
        </w:rPr>
        <w:t>•</w:t>
      </w:r>
      <w:r>
        <w:rPr>
          <w:rFonts w:ascii="Times New Roman;serif" w:hAnsi="Times New Roman;serif"/>
          <w:b w:val="false"/>
          <w:color w:val="000000"/>
          <w:sz w:val="22"/>
        </w:rPr>
        <w:t>financial results or forecasts;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acquisitions, dispositions or other strategic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events regarding the Company’s securities (e.g., repurchase plans, stock splits, public or private equity or debt offerings, or changes in the Company’s dividend policies or amounts);</w:t>
      </w:r>
    </w:p>
    <w:p>
      <w:pPr>
        <w:pStyle w:val="TextBody"/>
        <w:bidi w:val="0"/>
        <w:spacing w:lineRule="auto" w:line="288" w:before="118" w:after="283"/>
        <w:ind w:left="0" w:right="0" w:hanging="360"/>
        <w:jc w:val="left"/>
        <w:rPr/>
      </w:pPr>
      <w:r>
        <w:rPr>
          <w:color w:val="000000"/>
        </w:rPr>
        <w:t>•</w:t>
      </w:r>
      <w:r>
        <w:rPr>
          <w:rFonts w:ascii="Times New Roman;serif" w:hAnsi="Times New Roman;serif"/>
          <w:b w:val="false"/>
          <w:color w:val="000000"/>
          <w:sz w:val="22"/>
        </w:rPr>
        <w:t>major contracts or contract cancellations;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gain or loss of a significant customer;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significant changes or developments in suppliers;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pricing changes;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new product releases;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product recalls or quality control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significant product problems;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management or control changes;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financial restatements or significant writeoffs;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employee layoffs;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a disruption in the Company’s operations, supply chain or distribution channel;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 breach or unauthorized access of the Company’s property or assets, including its facilities or information technology infrastructure;</w:t>
      </w:r>
    </w:p>
    <w:p>
      <w:pPr>
        <w:pStyle w:val="TextBody"/>
        <w:bidi w:val="0"/>
        <w:spacing w:lineRule="auto" w:line="288" w:before="118" w:after="283"/>
        <w:ind w:left="0" w:right="0" w:hanging="360"/>
        <w:jc w:val="left"/>
        <w:rPr/>
      </w:pPr>
      <w:r>
        <w:rPr>
          <w:color w:val="000000"/>
        </w:rPr>
        <w:t>•</w:t>
      </w:r>
      <w:r>
        <w:rPr>
          <w:rFonts w:ascii="Times New Roman;serif" w:hAnsi="Times New Roman;serif"/>
          <w:b w:val="false"/>
          <w:color w:val="000000"/>
          <w:sz w:val="22"/>
        </w:rPr>
        <w:t>proxy fights;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98830"/>
                <wp:effectExtent l="0" t="0" r="0" b="0"/>
                <wp:wrapNone/>
                <wp:docPr id="127" name="Frame12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actual or threatened major litigation,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or other investigations, or a major development in or the resolution of any such litigation or investigation;</w:t>
      </w:r>
    </w:p>
    <w:p>
      <w:pPr>
        <w:pStyle w:val="TextBody"/>
        <w:bidi w:val="0"/>
        <w:spacing w:lineRule="auto" w:line="288" w:before="119" w:after="283"/>
        <w:ind w:left="0" w:right="0" w:hanging="359"/>
        <w:jc w:val="both"/>
        <w:rPr/>
      </w:pPr>
      <w:r>
        <w:rPr>
          <w:color w:val="000000"/>
        </w:rPr>
        <w:t>•</w:t>
      </w:r>
      <w:r>
        <w:rPr>
          <w:rFonts w:ascii="Times New Roman;serif" w:hAnsi="Times New Roman;serif"/>
          <w:b w:val="false"/>
          <w:color w:val="000000"/>
          <w:sz w:val="22"/>
        </w:rPr>
        <w:t>impending bankruptcy;</w:t>
      </w:r>
    </w:p>
    <w:p>
      <w:pPr>
        <w:pStyle w:val="TextBody"/>
        <w:bidi w:val="0"/>
        <w:spacing w:lineRule="auto" w:line="288" w:before="120" w:after="283"/>
        <w:ind w:left="0" w:right="0" w:hanging="359"/>
        <w:jc w:val="both"/>
        <w:rPr/>
      </w:pPr>
      <w:r>
        <w:rPr>
          <w:color w:val="000000"/>
        </w:rPr>
        <w:t>•</w:t>
      </w:r>
      <w:r>
        <w:rPr>
          <w:rFonts w:ascii="Times New Roman;serif" w:hAnsi="Times New Roman;serif"/>
          <w:b w:val="false"/>
          <w:color w:val="000000"/>
          <w:sz w:val="22"/>
        </w:rPr>
        <w:t>communications with government agencies; and</w:t>
      </w:r>
    </w:p>
    <w:p>
      <w:pPr>
        <w:pStyle w:val="TextBody"/>
        <w:bidi w:val="0"/>
        <w:spacing w:lineRule="auto" w:line="288" w:before="119" w:after="283"/>
        <w:ind w:left="0" w:right="0" w:hanging="359"/>
        <w:jc w:val="both"/>
        <w:rPr/>
      </w:pPr>
      <w:r>
        <w:rPr>
          <w:color w:val="000000"/>
        </w:rPr>
        <w:t>•</w:t>
      </w:r>
      <w:r>
        <w:rPr>
          <w:rFonts w:ascii="Times New Roman;serif" w:hAnsi="Times New Roman;serif"/>
          <w:b w:val="false"/>
          <w:color w:val="000000"/>
          <w:sz w:val="22"/>
        </w:rPr>
        <w:t>changes in patents, trademarks or other intellectual property rights.</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When is information considered public?</w:t>
      </w:r>
    </w:p>
    <w:p>
      <w:pPr>
        <w:pStyle w:val="TextBody"/>
        <w:bidi w:val="0"/>
        <w:spacing w:lineRule="auto" w:line="288" w:before="236"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(2)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Who can be guilty of insider trading?</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pStyle w:val="TextBody"/>
        <w:bidi w:val="0"/>
        <w:spacing w:lineRule="auto" w:line="283" w:before="239" w:after="283"/>
        <w:ind w:left="0" w:right="0" w:hanging="720"/>
        <w:jc w:val="both"/>
        <w:rPr>
          <w:rFonts w:ascii="Times New Roman;serif" w:hAnsi="Times New Roman;serif"/>
          <w:b/>
          <w:color w:val="000000"/>
          <w:sz w:val="22"/>
        </w:rPr>
      </w:pPr>
      <w:r>
        <w:rPr>
          <w:rFonts w:ascii="Times New Roman;serif" w:hAnsi="Times New Roman;serif"/>
          <w:b/>
          <w:color w:val="000000"/>
          <w:sz w:val="22"/>
        </w:rPr>
        <w:t>Q: What if I am aware of material nonpublic information when I trade, but the reason I trade is because of something else, like to pay medical bills?</w:t>
      </w:r>
    </w:p>
    <w:p>
      <w:pPr>
        <w:pStyle w:val="TextBody"/>
        <w:bidi w:val="0"/>
        <w:spacing w:lineRule="auto" w:line="288" w:before="23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Q: Do the U.S. securities laws take into account mitigating circumstance, like avoiding a loss or planning a transaction before I had material nonpublic information?</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98830"/>
                <wp:effectExtent l="0" t="0" r="0" b="0"/>
                <wp:wrapNone/>
                <wp:docPr id="128" name="Frame12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material nonpublic information. So, even if you believe you may suffer an economic loss or sacrifice an anticipated profit by waiting to trade, you must wait.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Q: What if I don’t buy or sell anything, but I tell someone else material nonpublic information and he or she buys or sells?</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lineRule="auto" w:line="288" w:before="240" w:after="283"/>
        <w:jc w:val="both"/>
        <w:rPr/>
      </w:pPr>
      <w:r>
        <w:rPr>
          <w:rFonts w:ascii="Times New Roman;serif" w:hAnsi="Times New Roman;serif"/>
          <w:b w:val="false"/>
          <w:color w:val="000000"/>
          <w:sz w:val="22"/>
        </w:rPr>
        <w:t xml:space="preserve">You can be held liable for your own transactions, as well as the transactions by a tippee and even the transactions of a tippee’s tippee. </w:t>
      </w:r>
      <w:r>
        <w:rPr>
          <w:rFonts w:ascii="Times New Roman;serif" w:hAnsi="Times New Roman;serif"/>
          <w:b/>
          <w:i/>
          <w:color w:val="000000"/>
          <w:sz w:val="22"/>
        </w:rPr>
        <w:t>For these and other reasons, no employee, director or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pStyle w:val="TextBody"/>
        <w:bidi w:val="0"/>
        <w:spacing w:lineRule="auto" w:line="288" w:before="239" w:after="283"/>
        <w:ind w:left="0" w:right="0" w:hanging="720"/>
        <w:jc w:val="both"/>
        <w:rPr>
          <w:rFonts w:ascii="Times New Roman;serif" w:hAnsi="Times New Roman;serif"/>
          <w:b/>
          <w:color w:val="000000"/>
          <w:sz w:val="22"/>
        </w:rPr>
      </w:pPr>
      <w:r>
        <w:rPr>
          <w:rFonts w:ascii="Times New Roman;serif" w:hAnsi="Times New Roman;serif"/>
          <w:b/>
          <w:color w:val="000000"/>
          <w:sz w:val="22"/>
        </w:rPr>
        <w:t>Q: What if I don’t tell someone inside information itself; I just tell him or her whether to buy or sell?</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That is still tipping, and you can still be responsible for insider trading. You may never recommend to another person that they buy, hold or sell the Company’s common stock or any derivative security related to the Company’s common stock while you are in possession of material nonpublic information, since that could be a form of tipping.</w:t>
      </w:r>
    </w:p>
    <w:p>
      <w:pPr>
        <w:pStyle w:val="TextBody"/>
        <w:bidi w:val="0"/>
        <w:spacing w:lineRule="auto" w:line="283" w:before="239" w:after="283"/>
        <w:ind w:left="0" w:right="0" w:hanging="720"/>
        <w:jc w:val="both"/>
        <w:rPr>
          <w:rFonts w:ascii="Times New Roman;serif" w:hAnsi="Times New Roman;serif"/>
          <w:b/>
          <w:color w:val="000000"/>
          <w:sz w:val="22"/>
        </w:rPr>
      </w:pPr>
      <w:r>
        <w:rPr>
          <w:rFonts w:ascii="Times New Roman;serif" w:hAnsi="Times New Roman;serif"/>
          <w:b/>
          <w:color w:val="000000"/>
          <w:sz w:val="22"/>
        </w:rPr>
        <w:t>Q: So if I do not trade Company securities when I have material nonpublic information, and I don’t “tip” other people, I am in the clear, right?</w:t>
      </w:r>
    </w:p>
    <w:p>
      <w:pPr>
        <w:pStyle w:val="TextBody"/>
        <w:bidi w:val="0"/>
        <w:spacing w:lineRule="auto" w:line="288" w:before="23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Not necessarily. Even if you do not violate U.S. law, you may still violate our policies. For example, employees and consultants may violate our policies by breaching their confidentiality obligations or by recommending Company stock as an investment, even if these actions do not violate securities laws. Our policies are stricter than the law requires so that we and our employees and consultants can avoid even the appearance of wrongdoing. Therefore, please review all Company policies that apply to you carefully.</w:t>
      </w:r>
    </w:p>
    <w:p>
      <w:pPr>
        <w:pStyle w:val="TextBody"/>
        <w:bidi w:val="0"/>
        <w:spacing w:lineRule="auto" w:line="288" w:before="244" w:after="283"/>
        <w:jc w:val="left"/>
        <w:rPr>
          <w:rFonts w:ascii="Times New Roman;serif" w:hAnsi="Times New Roman;serif"/>
          <w:b/>
          <w:color w:val="000000"/>
          <w:sz w:val="22"/>
        </w:rPr>
      </w:pPr>
      <w:r>
        <w:rPr>
          <w:rFonts w:ascii="Times New Roman;serif" w:hAnsi="Times New Roman;serif"/>
          <w:b/>
          <w:color w:val="000000"/>
          <w:sz w:val="22"/>
        </w:rPr>
        <w:t>Q:    Does this Policy or the insider trading laws apply to me if I work outside the U.S.?</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98830"/>
                <wp:effectExtent l="0" t="0" r="0" b="0"/>
                <wp:wrapNone/>
                <wp:docPr id="129" name="Frame12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7" w:after="283"/>
        <w:jc w:val="both"/>
        <w:rPr/>
      </w:pPr>
      <w:r>
        <w:rPr>
          <w:rFonts w:ascii="Times New Roman;serif" w:hAnsi="Times New Roman;serif"/>
          <w:b w:val="false"/>
          <w:color w:val="000000"/>
          <w:sz w:val="22"/>
        </w:rPr>
        <w:t>work.</w:t>
      </w:r>
      <w:r>
        <w:rPr>
          <w:rFonts w:ascii="Times New Roman;serif" w:hAnsi="Times New Roman;serif"/>
          <w:b/>
          <w:color w:val="000000"/>
          <w:sz w:val="22"/>
        </w:rPr>
        <w:t>Q: Am I restricted from trading securities of any companies other than the Company, for example a customer or competitor of the Company?</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or if you learn material nonpublic information about any company that could affect the share price of another publicly traded company, you should not trade in that company’s or the other publicly traded company’s securities. You should be particularly conscious of this restriction if, through your position at the Company, you sometimes obtain sensitive, material information about other companies and their business dealings with the Company.</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So when can I buy or sell my Company securities?</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A: 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serif" w:hAnsi="Times New Roman;serif"/>
          <w:b/>
          <w:color w:val="000000"/>
          <w:sz w:val="22"/>
        </w:rPr>
        <w:t>In addition, as discussed further below, even if you are not aware of any material nonpublic information, you may not trade common stock of the Company during any trading “blackout” period that applies to you</w:t>
      </w:r>
      <w:r>
        <w:rPr>
          <w:rFonts w:ascii="Times New Roman;serif" w:hAnsi="Times New Roman;serif"/>
          <w:b w:val="false"/>
          <w:color w:val="000000"/>
          <w:sz w:val="22"/>
        </w:rPr>
        <w:t>. This Policy describes the quarterly trading blackout period, and additional event-driven trading blackout periods (which may apply to you even if the quarterly trading blackout periods do not) may be announced by email.</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What if my relationship with the Company ends?</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This Policy continues to apply to your transactions in the Company’s securities or the securities of other public companies engaged in business transactions with the Company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Blackout Periods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Q:    What is a quarterly trading blackout period?</w:t>
      </w:r>
    </w:p>
    <w:p>
      <w:pPr>
        <w:pStyle w:val="TextBody"/>
        <w:bidi w:val="0"/>
        <w:spacing w:lineRule="auto" w:line="288" w:before="239" w:after="283"/>
        <w:ind w:left="0" w:right="0" w:hanging="720"/>
        <w:jc w:val="both"/>
        <w:rPr/>
      </w:pPr>
      <w:r>
        <w:rPr>
          <w:rFonts w:ascii="Times New Roman;serif" w:hAnsi="Times New Roman;serif"/>
          <w:b w:val="false"/>
          <w:color w:val="000000"/>
          <w:sz w:val="22"/>
        </w:rPr>
        <w:t xml:space="preserve">A: To minimize even the appearance of insider trading by the Company’s officers, directors, Specified Personnel,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Personnel, and their Related Persons will be able to trade in Company securities </w:t>
      </w:r>
      <w:r>
        <w:rPr>
          <w:rFonts w:ascii="Times New Roman;serif" w:hAnsi="Times New Roman;serif"/>
          <w:b w:val="false"/>
          <w:color w:val="000000"/>
          <w:sz w:val="22"/>
          <w:u w:val="single"/>
        </w:rPr>
        <w:t>only</w:t>
      </w:r>
      <w:r>
        <w:rPr>
          <w:color w:val="000000"/>
        </w:rPr>
        <w:t xml:space="preserve"> </w:t>
      </w:r>
      <w:r>
        <w:rPr>
          <w:rFonts w:ascii="Times New Roman;serif" w:hAnsi="Times New Roman;serif"/>
          <w:b w:val="false"/>
          <w:color w:val="000000"/>
          <w:sz w:val="22"/>
        </w:rPr>
        <w:t xml:space="preserve">during limited open trading window periods that generally will begin after two (2) full trading days have elapsed since the public dissemination of the Company’s annual or quarterly financial results and end at the beginning of the next quarterly trading blackout period. Of course, even during an open trading window period, you may not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98830"/>
                <wp:effectExtent l="0" t="0" r="0" b="0"/>
                <wp:wrapNone/>
                <wp:docPr id="130" name="Frame12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(unless an exception applies) conduct any trades in Company securities if you are otherwise in possession of material nonpublic information.</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What are the Company’s quarterly trading blackout periods?</w:t>
      </w:r>
    </w:p>
    <w:p>
      <w:pPr>
        <w:pStyle w:val="TextBody"/>
        <w:bidi w:val="0"/>
        <w:spacing w:lineRule="auto" w:line="288" w:before="236" w:after="283"/>
        <w:ind w:left="0" w:right="0" w:hanging="720"/>
        <w:jc w:val="both"/>
        <w:rPr/>
      </w:pPr>
      <w:r>
        <w:rPr>
          <w:rFonts w:ascii="Times New Roman;serif" w:hAnsi="Times New Roman;serif"/>
          <w:b w:val="false"/>
          <w:color w:val="000000"/>
          <w:sz w:val="22"/>
        </w:rPr>
        <w:t>A: Each “</w:t>
      </w:r>
      <w:r>
        <w:rPr>
          <w:rFonts w:ascii="Times New Roman;serif" w:hAnsi="Times New Roman;serif"/>
          <w:b/>
          <w:i/>
          <w:color w:val="000000"/>
          <w:sz w:val="22"/>
        </w:rPr>
        <w:t>quarterly trading blackout period</w:t>
      </w:r>
      <w:r>
        <w:rPr>
          <w:color w:val="000000"/>
        </w:rPr>
        <w:t xml:space="preserve">” </w:t>
      </w:r>
      <w:r>
        <w:rPr>
          <w:rFonts w:ascii="Times New Roman;serif" w:hAnsi="Times New Roman;serif"/>
          <w:b w:val="false"/>
          <w:color w:val="000000"/>
          <w:sz w:val="22"/>
        </w:rPr>
        <w:t>will generally begin at the end of the 15th day of the third month of each fiscal quarter and end after two (2) full trading days have elapsed since the public dissemination of the Company’s financial results for that quarter.</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Can the Company’s quarterly trading blackout periods change?</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quarterly trading blackout period may commence early or may be extended if, in the judgment of the Chief Executive Officer, Chief Financial Officer or General Counsel, there exists undisclosed information that would make trades by Company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Does the Company have blackout periods other than quarterly trading blackout periods?</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 From time to time, an event may occur that is material to the Company and is known by only a few officers, directors and/or other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w:t>
      </w:r>
    </w:p>
    <w:p>
      <w:pPr>
        <w:pStyle w:val="TextBody"/>
        <w:bidi w:val="0"/>
        <w:spacing w:lineRule="auto" w:line="288" w:before="241" w:after="283"/>
        <w:ind w:left="0" w:right="0" w:hanging="720"/>
        <w:jc w:val="both"/>
        <w:rPr>
          <w:rFonts w:ascii="Times New Roman;serif" w:hAnsi="Times New Roman;serif"/>
          <w:b/>
          <w:color w:val="000000"/>
          <w:sz w:val="22"/>
        </w:rPr>
      </w:pPr>
      <w:r>
        <w:rPr>
          <w:rFonts w:ascii="Times New Roman;serif" w:hAnsi="Times New Roman;serif"/>
          <w:b/>
          <w:color w:val="000000"/>
          <w:sz w:val="22"/>
        </w:rPr>
        <w:t>Q: If I am subject to a blackout period and I have an open order to buy or sell Company securities on the date a blackout period commences, can I leave it to my broker to cancel the open order and avoid executing the trade?</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Q: Am I subject to trading blackout periods if I am no longer an employee, director or consultant of the Company?</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Exceptions to this Policy</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Are there any exceptions to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98830"/>
                <wp:effectExtent l="0" t="0" r="0" b="0"/>
                <wp:wrapNone/>
                <wp:docPr id="131" name="Frame13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2"/>
        </w:rPr>
      </w:pPr>
      <w:r>
        <w:rPr>
          <w:rFonts w:ascii="Times New Roman;serif" w:hAnsi="Times New Roman;serif"/>
          <w:b w:val="false"/>
          <w:color w:val="000000"/>
          <w:sz w:val="22"/>
        </w:rPr>
        <w:t>A:    There are no exceptions to this Policy, except as specifically noted below.</w:t>
      </w:r>
    </w:p>
    <w:p>
      <w:pPr>
        <w:pStyle w:val="TextBody"/>
        <w:bidi w:val="0"/>
        <w:spacing w:lineRule="auto" w:line="288" w:before="237" w:after="283"/>
        <w:ind w:left="0" w:right="0" w:hanging="720"/>
        <w:jc w:val="both"/>
        <w:rPr>
          <w:rFonts w:ascii="Times New Roman;serif" w:hAnsi="Times New Roman;serif"/>
          <w:b/>
          <w:color w:val="000000"/>
          <w:sz w:val="22"/>
        </w:rPr>
      </w:pPr>
      <w:r>
        <w:rPr>
          <w:rFonts w:ascii="Times New Roman;serif" w:hAnsi="Times New Roman;serif"/>
          <w:b/>
          <w:color w:val="000000"/>
          <w:sz w:val="22"/>
        </w:rPr>
        <w:t>Q: Can I exercise options granted to me by the Company, or participate in a Company employee stock purchase plan, during a trading blackout period or when I possess material nonpublic information?</w:t>
      </w:r>
    </w:p>
    <w:p>
      <w:pPr>
        <w:pStyle w:val="TextBody"/>
        <w:bidi w:val="0"/>
        <w:spacing w:lineRule="auto" w:line="288" w:before="242" w:after="283"/>
        <w:ind w:left="0" w:right="0" w:hanging="720"/>
        <w:jc w:val="both"/>
        <w:rPr/>
      </w:pPr>
      <w:r>
        <w:rPr>
          <w:rFonts w:ascii="Times New Roman;serif" w:hAnsi="Times New Roman;serif"/>
          <w:b w:val="false"/>
          <w:color w:val="000000"/>
          <w:sz w:val="22"/>
        </w:rPr>
        <w:t xml:space="preserve">A: 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effect a broker-assisted cashless exercise (because these cashless exercise transactions include a market sale) during a trading blackout period or any time that you are aware of material nonpublic information.</w:t>
      </w:r>
    </w:p>
    <w:p>
      <w:pPr>
        <w:pStyle w:val="TextBody"/>
        <w:bidi w:val="0"/>
        <w:spacing w:lineRule="auto" w:line="288" w:before="241" w:after="283"/>
        <w:jc w:val="left"/>
        <w:rPr/>
      </w:pPr>
      <w:r>
        <w:rPr>
          <w:rFonts w:ascii="Times New Roman;serif" w:hAnsi="Times New Roman;serif"/>
          <w:b/>
          <w:color w:val="000000"/>
          <w:sz w:val="22"/>
        </w:rPr>
        <w:t>Q:    What tax withholding transactions are not restricted by this Policy</w:t>
      </w:r>
      <w:r>
        <w:rPr>
          <w:rFonts w:ascii="Times New Roman;serif" w:hAnsi="Times New Roman;serif"/>
          <w:b w:val="false"/>
          <w:color w:val="000000"/>
          <w:sz w:val="22"/>
        </w:rPr>
        <w:t>?</w:t>
      </w:r>
    </w:p>
    <w:p>
      <w:pPr>
        <w:pStyle w:val="TextBody"/>
        <w:bidi w:val="0"/>
        <w:spacing w:lineRule="auto" w:line="288" w:before="237" w:after="283"/>
        <w:ind w:left="0" w:right="0" w:hanging="720"/>
        <w:jc w:val="both"/>
        <w:rPr/>
      </w:pPr>
      <w:r>
        <w:rPr>
          <w:rFonts w:ascii="Times New Roman;serif" w:hAnsi="Times New Roman;serif"/>
          <w:b w:val="false"/>
          <w:color w:val="000000"/>
          <w:sz w:val="22"/>
        </w:rPr>
        <w:t>A: This Policy does not apply to the surrender of shares directly to the Company to satisfy tax withholding obligations as a result of the issuance of shares upon exercise of options or settlement of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issued by the Company. Of course, any market sale of the stock received upon exercise or settlement of any such equity awards remains subject to all provisions of this Policy whether or not for the purpose of generating the cash needed to pay the exercise price or pay taxes; provided, that employees may sell-to-cover that number of shares of the Company’s common stock necessary to satisfy the Company’s tax withholding obligations upon the settlement of RSUs granted under the Company’s equity incentive plans if such sell-to-cover arrangement is effected pursuant to either (i) a program implemented by the Board or a duly appointed committee of the Board or (ii) a written election by the individual employee, provided that in the case of an individual election (a) the election (including any changes to or termination of any election) is made during an open trading window period prior to the settlement of such RSUs and (b) at the time of such election, change or termination, as applicable, such individual was not in possession of material nonpublic information about the Company. For the avoidance of doubt, the subsequent sale of the shares acquired upon the delivery of the remaining vested RSUs is subject to all provisions of this Policy.</w:t>
      </w:r>
    </w:p>
    <w:p>
      <w:pPr>
        <w:pStyle w:val="TextBody"/>
        <w:bidi w:val="0"/>
        <w:spacing w:lineRule="auto" w:line="288" w:before="244" w:after="283"/>
        <w:jc w:val="left"/>
        <w:rPr>
          <w:rFonts w:ascii="Times New Roman;serif" w:hAnsi="Times New Roman;serif"/>
          <w:b/>
          <w:color w:val="000000"/>
          <w:sz w:val="22"/>
        </w:rPr>
      </w:pPr>
      <w:r>
        <w:rPr>
          <w:rFonts w:ascii="Times New Roman;serif" w:hAnsi="Times New Roman;serif"/>
          <w:b/>
          <w:color w:val="000000"/>
          <w:sz w:val="22"/>
        </w:rPr>
        <w:t>Q:    Are mutual funds holding Company common stock subject to the trading blackout periods?</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A:    No. You may trade in mutual funds holding Company stock at any time.</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What are the rules that apply to 10b5-1 Automatic Trading Programs?</w:t>
      </w:r>
    </w:p>
    <w:p>
      <w:pPr>
        <w:pStyle w:val="TextBody"/>
        <w:bidi w:val="0"/>
        <w:spacing w:lineRule="auto" w:line="288" w:before="236" w:after="283"/>
        <w:ind w:left="0" w:right="0" w:hanging="720"/>
        <w:jc w:val="both"/>
        <w:rPr/>
      </w:pPr>
      <w:r>
        <w:rPr>
          <w:rFonts w:ascii="Times New Roman;serif" w:hAnsi="Times New Roman;serif"/>
          <w:b w:val="false"/>
          <w:color w:val="000000"/>
          <w:sz w:val="22"/>
        </w:rPr>
        <w:t>A: Under Rule 10b5-1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any person may establish a trading plan under which a broker is instructed to buy and sell Company securities based on pre-determined criteria (a “</w:t>
      </w:r>
      <w:r>
        <w:rPr>
          <w:rFonts w:ascii="Times New Roman;serif" w:hAnsi="Times New Roman;serif"/>
          <w:b/>
          <w:i/>
          <w:color w:val="000000"/>
          <w:sz w:val="22"/>
        </w:rPr>
        <w:t>Trading Plan</w:t>
      </w:r>
      <w:r>
        <w:rPr>
          <w:color w:val="000000"/>
        </w:rPr>
        <w:t>”</w:t>
      </w:r>
      <w:r>
        <w:rPr>
          <w:rFonts w:ascii="Times New Roman;serif" w:hAnsi="Times New Roman;serif"/>
          <w:b w:val="false"/>
          <w:color w:val="000000"/>
          <w:sz w:val="22"/>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they were not otherwise subject to a trading blackout period. Moreover, all Trading Plans to be adopted by officers, directors, Specified Personnel and their Related Persons must be reviewed and approved by the Company before being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98830"/>
                <wp:effectExtent l="0" t="0" r="0" b="0"/>
                <wp:wrapNone/>
                <wp:docPr id="132" name="Frame13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established to confirm that the Trading Plan complies with all pertinent company policies and applicable securities laws. See “Pre-Clearance of Transactions in Company Stock” below.</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Q: Can I gift stock while I possess material nonpublic information or during a trading blackout period?</w:t>
      </w:r>
    </w:p>
    <w:p>
      <w:pPr>
        <w:pStyle w:val="TextBody"/>
        <w:bidi w:val="0"/>
        <w:spacing w:lineRule="auto" w:line="288" w:before="241" w:after="283"/>
        <w:ind w:left="0" w:right="0" w:hanging="720"/>
        <w:jc w:val="both"/>
        <w:rPr/>
      </w:pPr>
      <w:r>
        <w:rPr>
          <w:rFonts w:ascii="Times New Roman;serif" w:hAnsi="Times New Roman;serif"/>
          <w:b w:val="false"/>
          <w:color w:val="000000"/>
          <w:sz w:val="22"/>
        </w:rPr>
        <w:t xml:space="preserve">A: 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insider trading liability if you were in possession of material nonpublic information at the time of the gift. If you are an officer, director or other applicable member of management who has been notified that you are subject to pre-clearance requirements in accordance with this Policy, you may only make </w:t>
      </w:r>
      <w:r>
        <w:rPr>
          <w:rFonts w:ascii="Times New Roman;serif" w:hAnsi="Times New Roman;serif"/>
          <w:b w:val="false"/>
          <w:i/>
          <w:color w:val="000000"/>
          <w:sz w:val="22"/>
        </w:rPr>
        <w:t xml:space="preserve">bona fide </w:t>
      </w:r>
      <w:r>
        <w:rPr>
          <w:rFonts w:ascii="Times New Roman;serif" w:hAnsi="Times New Roman;serif"/>
          <w:b w:val="false"/>
          <w:color w:val="000000"/>
          <w:sz w:val="22"/>
        </w:rPr>
        <w:t>gifts of Company stock if the gift has been pre-cleared by the Compliance Coordinator identified in the Company’s Section 16 Compliance Program (the “</w:t>
      </w:r>
      <w:r>
        <w:rPr>
          <w:rFonts w:ascii="Times New Roman;serif" w:hAnsi="Times New Roman;serif"/>
          <w:b/>
          <w:i/>
          <w:color w:val="000000"/>
          <w:sz w:val="22"/>
        </w:rPr>
        <w:t>Compliance Coordinator</w:t>
      </w:r>
      <w:r>
        <w:rPr>
          <w:color w:val="000000"/>
        </w:rPr>
        <w:t>”</w:t>
      </w:r>
      <w:r>
        <w:rPr>
          <w:rFonts w:ascii="Times New Roman;serif" w:hAnsi="Times New Roman;serif"/>
          <w:b w:val="false"/>
          <w:color w:val="000000"/>
          <w:sz w:val="22"/>
        </w:rPr>
        <w:t>). Pre-clearance must be obtained at least two (2) business days in advance of the proposed gift, and pre-cleared gifts not completed within two (2) business days will require new pre-clearance. The Company may choose to shorten this period.</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Are purchases of Company stock in a 401(k) plan allowed by this Policy?</w:t>
      </w:r>
    </w:p>
    <w:p>
      <w:pPr>
        <w:pStyle w:val="TextBody"/>
        <w:bidi w:val="0"/>
        <w:spacing w:lineRule="auto" w:line="288" w:before="236" w:after="283"/>
        <w:ind w:left="0" w:right="0" w:hanging="720"/>
        <w:jc w:val="both"/>
        <w:rPr/>
      </w:pPr>
      <w:r>
        <w:rPr>
          <w:rFonts w:ascii="Times New Roman;serif" w:hAnsi="Times New Roman;serif"/>
          <w:b/>
          <w:color w:val="000000"/>
          <w:sz w:val="22"/>
        </w:rPr>
        <w:t>A</w:t>
      </w:r>
      <w:r>
        <w:rPr>
          <w:rFonts w:ascii="Times New Roman;serif" w:hAnsi="Times New Roman;serif"/>
          <w:b w:val="false"/>
          <w:color w:val="000000"/>
          <w:sz w:val="22"/>
        </w:rPr>
        <w:t>: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pStyle w:val="TextBody"/>
        <w:bidi w:val="0"/>
        <w:spacing w:lineRule="auto" w:line="288" w:before="242" w:after="283"/>
        <w:ind w:left="0" w:right="0" w:hanging="720"/>
        <w:jc w:val="both"/>
        <w:rPr>
          <w:rFonts w:ascii="Times New Roman;serif" w:hAnsi="Times New Roman;serif"/>
          <w:b/>
          <w:color w:val="000000"/>
          <w:sz w:val="22"/>
        </w:rPr>
      </w:pPr>
      <w:r>
        <w:rPr>
          <w:rFonts w:ascii="Times New Roman;serif" w:hAnsi="Times New Roman;serif"/>
          <w:b/>
          <w:color w:val="000000"/>
          <w:sz w:val="22"/>
        </w:rPr>
        <w:t>Q: Are purchases or sales of Company securities by directors or executive officers during 401(k) or pension plan “blackout periods” allowed by this Policy?</w:t>
      </w:r>
    </w:p>
    <w:p>
      <w:pPr>
        <w:pStyle w:val="TextBody"/>
        <w:bidi w:val="0"/>
        <w:spacing w:lineRule="auto" w:line="288" w:before="238" w:after="283"/>
        <w:ind w:left="0" w:right="0" w:hanging="720"/>
        <w:jc w:val="both"/>
        <w:rPr/>
      </w:pPr>
      <w:r>
        <w:rPr>
          <w:rFonts w:ascii="Times New Roman;serif" w:hAnsi="Times New Roman;serif"/>
          <w:b/>
          <w:color w:val="000000"/>
          <w:sz w:val="22"/>
        </w:rPr>
        <w:t>A</w:t>
      </w:r>
      <w:r>
        <w:rPr>
          <w:rFonts w:ascii="Times New Roman;serif" w:hAnsi="Times New Roman;serif"/>
          <w:b w:val="false"/>
          <w:color w:val="000000"/>
          <w:sz w:val="22"/>
        </w:rPr>
        <w:t>: No. If the Company is required to impose a 401(k) or pension plan “blackout period” (as defined in Regulation BTR under the Exchange Act) on a 401(k) or pension plan maintained by the Company, no director or executive officer of the Company may, directly or indirectly, purchase, sell or otherwise transfer any equity security of the Company (other than an exempt security) during any such “blackout period”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98830"/>
                <wp:effectExtent l="0" t="0" r="0" b="0"/>
                <wp:wrapNone/>
                <wp:docPr id="133" name="Frame13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40" w:before="61" w:after="283"/>
        <w:jc w:val="both"/>
        <w:rPr>
          <w:rFonts w:ascii="Times New Roman;serif" w:hAnsi="Times New Roman;serif"/>
          <w:b/>
          <w:color w:val="000000"/>
          <w:sz w:val="22"/>
        </w:rPr>
      </w:pPr>
      <w:r>
        <w:rPr>
          <w:rFonts w:ascii="Times New Roman;serif" w:hAnsi="Times New Roman;serif"/>
          <w:b/>
          <w:color w:val="000000"/>
          <w:sz w:val="22"/>
        </w:rPr>
        <w:t>Margin Accounts, Pledging Shares, Hedging and Other Speculation in Company Stock Q: Can I purchase Company securities on margin or hold them in a margin account?</w:t>
      </w:r>
    </w:p>
    <w:p>
      <w:pPr>
        <w:pStyle w:val="TextBody"/>
        <w:bidi w:val="0"/>
        <w:spacing w:lineRule="auto" w:line="288" w:before="3"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Q:    Can I pledge my Company shares as collateral for a loan?</w:t>
      </w:r>
    </w:p>
    <w:p>
      <w:pPr>
        <w:pStyle w:val="TextBody"/>
        <w:bidi w:val="0"/>
        <w:spacing w:lineRule="auto" w:line="280"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pStyle w:val="TextBody"/>
        <w:bidi w:val="0"/>
        <w:spacing w:lineRule="auto" w:line="288" w:before="235" w:after="283"/>
        <w:jc w:val="left"/>
        <w:rPr>
          <w:rFonts w:ascii="Times New Roman;serif" w:hAnsi="Times New Roman;serif"/>
          <w:b/>
          <w:color w:val="000000"/>
          <w:sz w:val="22"/>
        </w:rPr>
      </w:pPr>
      <w:r>
        <w:rPr>
          <w:rFonts w:ascii="Times New Roman;serif" w:hAnsi="Times New Roman;serif"/>
          <w:b/>
          <w:color w:val="000000"/>
          <w:sz w:val="22"/>
        </w:rPr>
        <w:t>Q:    What is problematic about margin accounts and pledged securities?</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w:t>
      </w:r>
    </w:p>
    <w:p>
      <w:pPr>
        <w:pStyle w:val="TextBody"/>
        <w:bidi w:val="0"/>
        <w:spacing w:lineRule="auto" w:line="288" w:before="243" w:after="283"/>
        <w:jc w:val="left"/>
        <w:rPr>
          <w:rFonts w:ascii="Times New Roman;serif" w:hAnsi="Times New Roman;serif"/>
          <w:b/>
          <w:color w:val="000000"/>
          <w:sz w:val="22"/>
        </w:rPr>
      </w:pPr>
      <w:r>
        <w:rPr>
          <w:rFonts w:ascii="Times New Roman;serif" w:hAnsi="Times New Roman;serif"/>
          <w:b/>
          <w:color w:val="000000"/>
          <w:sz w:val="22"/>
        </w:rPr>
        <w:t>Q:    Can I hedge my ownership position in the Company?</w:t>
      </w:r>
    </w:p>
    <w:p>
      <w:pPr>
        <w:pStyle w:val="TextBody"/>
        <w:bidi w:val="0"/>
        <w:spacing w:lineRule="auto" w:line="280"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Hedging or monetization transactions, including through the use of financial instruments such as prepaid variable forwards, equity swaps, collars and exchange funds are prohibited by this Policy.</w:t>
      </w:r>
    </w:p>
    <w:p>
      <w:pPr>
        <w:pStyle w:val="TextBody"/>
        <w:bidi w:val="0"/>
        <w:spacing w:lineRule="auto" w:line="288" w:before="234" w:after="283"/>
        <w:jc w:val="left"/>
        <w:rPr>
          <w:rFonts w:ascii="Times New Roman;serif" w:hAnsi="Times New Roman;serif"/>
          <w:b/>
          <w:color w:val="000000"/>
          <w:sz w:val="22"/>
        </w:rPr>
      </w:pPr>
      <w:r>
        <w:rPr>
          <w:rFonts w:ascii="Times New Roman;serif" w:hAnsi="Times New Roman;serif"/>
          <w:b/>
          <w:color w:val="000000"/>
          <w:sz w:val="22"/>
        </w:rPr>
        <w:t>Q:    Why are hedging transactions prohibited?</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Am I allowed to trade derivative securities of Company common stock?</w:t>
      </w:r>
    </w:p>
    <w:p>
      <w:pPr>
        <w:pStyle w:val="TextBody"/>
        <w:bidi w:val="0"/>
        <w:spacing w:lineRule="auto" w:line="280"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No. You may not trade in derivative securities related to Company common stock, which include publicly traded call and put options. In addition, you may not engage in short selling of Company common stock at any time.</w:t>
      </w:r>
    </w:p>
    <w:p>
      <w:pPr>
        <w:pStyle w:val="TextBody"/>
        <w:bidi w:val="0"/>
        <w:spacing w:lineRule="auto" w:line="288" w:before="234" w:after="283"/>
        <w:jc w:val="left"/>
        <w:rPr>
          <w:rFonts w:ascii="Times New Roman;serif" w:hAnsi="Times New Roman;serif"/>
          <w:b/>
          <w:color w:val="000000"/>
          <w:sz w:val="22"/>
        </w:rPr>
      </w:pPr>
      <w:r>
        <w:rPr>
          <w:rFonts w:ascii="Times New Roman;serif" w:hAnsi="Times New Roman;serif"/>
          <w:b/>
          <w:color w:val="000000"/>
          <w:sz w:val="22"/>
        </w:rPr>
        <w:t>Q:    What are derivative securities?</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p>
    <w:p>
      <w:pPr>
        <w:pStyle w:val="TextBody"/>
        <w:bidi w:val="0"/>
        <w:spacing w:before="239" w:after="283"/>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98830"/>
                <wp:effectExtent l="0" t="0" r="0" b="0"/>
                <wp:wrapNone/>
                <wp:docPr id="134" name="Frame13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61" w:after="283"/>
        <w:jc w:val="left"/>
        <w:rPr>
          <w:rFonts w:ascii="Times New Roman;serif" w:hAnsi="Times New Roman;serif"/>
          <w:b/>
          <w:color w:val="000000"/>
          <w:sz w:val="22"/>
        </w:rPr>
      </w:pPr>
      <w:r>
        <w:rPr>
          <w:rFonts w:ascii="Times New Roman;serif" w:hAnsi="Times New Roman;serif"/>
          <w:b/>
          <w:color w:val="000000"/>
          <w:sz w:val="22"/>
        </w:rPr>
        <w:t>Q:    What is short selling?</w:t>
      </w:r>
    </w:p>
    <w:p>
      <w:pPr>
        <w:pStyle w:val="TextBody"/>
        <w:bidi w:val="0"/>
        <w:spacing w:lineRule="auto" w:line="280"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pStyle w:val="TextBody"/>
        <w:bidi w:val="0"/>
        <w:spacing w:lineRule="auto" w:line="288" w:before="233" w:after="283"/>
        <w:jc w:val="left"/>
        <w:rPr>
          <w:rFonts w:ascii="Times New Roman;serif" w:hAnsi="Times New Roman;serif"/>
          <w:b/>
          <w:color w:val="000000"/>
          <w:sz w:val="22"/>
        </w:rPr>
      </w:pPr>
      <w:r>
        <w:rPr>
          <w:rFonts w:ascii="Times New Roman;serif" w:hAnsi="Times New Roman;serif"/>
          <w:b/>
          <w:color w:val="000000"/>
          <w:sz w:val="22"/>
        </w:rPr>
        <w:t>Q:    Why does the Company prohibit trading in derivative securities and short selling?</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lineRule="auto" w:line="283"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Q: What if I purchased publicly traded options or other derivative securities before I became subject to this Policy?</w:t>
      </w:r>
    </w:p>
    <w:p>
      <w:pPr>
        <w:pStyle w:val="TextBody"/>
        <w:bidi w:val="0"/>
        <w:spacing w:lineRule="auto" w:line="288" w:before="23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same rules apply as for employee stock options. You may exercise the publicly traded options at any time, but you may not sell the securities during a trading blackout period or at any time that you are aware of material nonpublic information.</w:t>
      </w:r>
    </w:p>
    <w:p>
      <w:pPr>
        <w:pStyle w:val="TextBody"/>
        <w:bidi w:val="0"/>
        <w:spacing w:lineRule="auto" w:line="288" w:before="245" w:after="283"/>
        <w:jc w:val="left"/>
        <w:rPr/>
      </w:pPr>
      <w:r>
        <w:rPr>
          <w:rFonts w:ascii="Times New Roman;serif" w:hAnsi="Times New Roman;serif"/>
          <w:b/>
          <w:color w:val="000000"/>
          <w:sz w:val="22"/>
        </w:rPr>
        <w:t>Q:    What are the concerns about standing and limit order</w:t>
      </w:r>
      <w:r>
        <w:rPr>
          <w:rFonts w:ascii="Times New Roman;serif" w:hAnsi="Times New Roman;serif"/>
          <w:b w:val="false"/>
          <w:color w:val="000000"/>
          <w:sz w:val="22"/>
        </w:rPr>
        <w:t>s?</w:t>
      </w:r>
    </w:p>
    <w:p>
      <w:pPr>
        <w:pStyle w:val="TextBody"/>
        <w:bidi w:val="0"/>
        <w:spacing w:lineRule="auto" w:line="288" w:before="236"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and other blackout periods described above.</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Pre-Clearance of Transactions in Company Stock</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Who is required to pre-clear and provide advance notice of transactions?</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In addition to the requirements above, officers, directors and other applicable members of management who have been notified that they are subject to pre-clearance requirements and their Related Persons face a further restriction: Even during an open trading window, they may not engage in any transaction in the Company’s securities without first obtaining pre-clearance of the transaction from the Compliance Coordinator at least two (2) business days in advance of the proposed transaction. If the Compliance Coordinator determines that the transaction does not violate the federal securities laws or a specific provision of this Policy, the transaction may proceed and the Compliance Coordinator will help comply with any required reporting requirements under Section 16(a) of the Exchange Act. Pre-cleared transactions not completed within two (2) business days will require new pre-clearance. The Company may choose to shorten this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98830"/>
                <wp:effectExtent l="0" t="0" r="0" b="0"/>
                <wp:wrapNone/>
                <wp:docPr id="135" name="Frame13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ind w:left="0" w:right="0" w:hanging="720"/>
        <w:jc w:val="both"/>
        <w:rPr>
          <w:rFonts w:ascii="Times New Roman;serif" w:hAnsi="Times New Roman;serif"/>
          <w:b/>
          <w:color w:val="000000"/>
          <w:sz w:val="22"/>
        </w:rPr>
      </w:pPr>
      <w:r>
        <w:rPr>
          <w:rFonts w:ascii="Times New Roman;serif" w:hAnsi="Times New Roman;serif"/>
          <w:b/>
          <w:color w:val="000000"/>
          <w:sz w:val="22"/>
        </w:rPr>
        <w:t>Q: Are individuals subject to pre-clearance required to provide advanced notice of stock option exercises or sell-to-cover arrangements for RSUs?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 Persons subject to pre-clearance must also give advance notice of their plans to exercise an outstanding stock option or enter into a sell-to-cover arrangement with respect to an outstanding RSU to the Compliance Coordinator. Once any transaction takes place, the officer, director or applicable member of management must immediately notify the Compliance Coordinator so that the Company may assist in any Section 16 reporting obligations.</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What additional requirements apply to individuals subject to Section 16?</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pStyle w:val="TextBody"/>
        <w:bidi w:val="0"/>
        <w:spacing w:lineRule="auto" w:line="288" w:before="244" w:after="283"/>
        <w:jc w:val="left"/>
        <w:rPr>
          <w:rFonts w:ascii="Times New Roman;serif" w:hAnsi="Times New Roman;serif"/>
          <w:b/>
          <w:color w:val="000000"/>
          <w:sz w:val="22"/>
        </w:rPr>
      </w:pPr>
      <w:r>
        <w:rPr>
          <w:rFonts w:ascii="Times New Roman;serif" w:hAnsi="Times New Roman;serif"/>
          <w:b/>
          <w:color w:val="000000"/>
          <w:sz w:val="22"/>
        </w:rPr>
        <w:t>Sanctions and Other Information</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Q:    What happens if I violate this Policy?</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Violating the Company’s policies may result in disciplinary action, which may include termination of your employment or other relationship with the Company.</w:t>
      </w:r>
    </w:p>
    <w:p>
      <w:pPr>
        <w:pStyle w:val="TextBody"/>
        <w:bidi w:val="0"/>
        <w:spacing w:lineRule="auto" w:line="288" w:before="241" w:after="283"/>
        <w:jc w:val="left"/>
        <w:rPr>
          <w:rFonts w:ascii="Times New Roman;serif" w:hAnsi="Times New Roman;serif"/>
          <w:b/>
          <w:color w:val="000000"/>
          <w:sz w:val="22"/>
        </w:rPr>
      </w:pPr>
      <w:r>
        <w:rPr>
          <w:rFonts w:ascii="Times New Roman;serif" w:hAnsi="Times New Roman;serif"/>
          <w:b/>
          <w:color w:val="000000"/>
          <w:sz w:val="22"/>
        </w:rPr>
        <w:t>Q:    What are the sanctions if I trade on material nonpublic information or tip off someone else?</w:t>
      </w:r>
    </w:p>
    <w:p>
      <w:pPr>
        <w:pStyle w:val="TextBody"/>
        <w:bidi w:val="0"/>
        <w:spacing w:lineRule="auto" w:line="288" w:before="23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lineRule="auto" w:line="288" w:before="242" w:after="283"/>
        <w:jc w:val="left"/>
        <w:rPr>
          <w:rFonts w:ascii="Times New Roman;serif" w:hAnsi="Times New Roman;serif"/>
          <w:b/>
          <w:color w:val="000000"/>
          <w:sz w:val="22"/>
        </w:rPr>
      </w:pPr>
      <w:r>
        <w:rPr>
          <w:rFonts w:ascii="Times New Roman;serif" w:hAnsi="Times New Roman;serif"/>
          <w:b/>
          <w:color w:val="000000"/>
          <w:sz w:val="22"/>
        </w:rPr>
        <w:t>Q:    What is “loss avoided”?</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If you sell common stock or a related derivative security before negative news is publicly announced, and as a result of the announcement the stock price declines, you have avoided the loss caused by the negative news.</w:t>
      </w:r>
    </w:p>
    <w:p>
      <w:pPr>
        <w:pStyle w:val="TextBody"/>
        <w:bidi w:val="0"/>
        <w:spacing w:lineRule="auto" w:line="288" w:before="245" w:after="283"/>
        <w:jc w:val="left"/>
        <w:rPr>
          <w:rFonts w:ascii="Times New Roman;serif" w:hAnsi="Times New Roman;serif"/>
          <w:b/>
          <w:color w:val="000000"/>
          <w:sz w:val="22"/>
        </w:rPr>
      </w:pPr>
      <w:r>
        <w:rPr>
          <w:rFonts w:ascii="Times New Roman;serif" w:hAnsi="Times New Roman;serif"/>
          <w:b/>
          <w:color w:val="000000"/>
          <w:sz w:val="22"/>
        </w:rPr>
        <w:t>Q:    Who should I contact if I have questions about this Policy or specific trades?</w: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A:    You should email General Counsel at legal@thehonestcompany.com.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98830"/>
                <wp:effectExtent l="0" t="0" r="0" b="0"/>
                <wp:wrapNone/>
                <wp:docPr id="136" name="Frame13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color w:val="000000"/>
          <w:sz w:val="22"/>
        </w:rPr>
      </w:pPr>
      <w:r>
        <w:rPr>
          <w:rFonts w:ascii="Times New Roman;serif" w:hAnsi="Times New Roman;serif"/>
          <w:b/>
          <w:color w:val="000000"/>
          <w:sz w:val="22"/>
        </w:rPr>
        <w:t>Q:    Do changes to this Policy require approval by the Board?</w:t>
      </w:r>
    </w:p>
    <w:p>
      <w:pPr>
        <w:pStyle w:val="TextBody"/>
        <w:bidi w:val="0"/>
        <w:spacing w:lineRule="auto" w:line="288" w:before="23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Yes. Changes to this Policy require approval by the Board or a duly appointed committee of the Board. The Company is committed to regularly reviewing and updating its policies and procedures. The Company therefore reserves the right to amend, alter or terminate this policy at any time and for any reason. A current copy of the Company’s policies regarding insider trading may be obtained by contacting the General Counsel at legal@thehonestcompany.com.</w:t>
      </w:r>
    </w:p>
    <w:p>
      <w:pPr>
        <w:pStyle w:val="TextBody"/>
        <w:bidi w:val="0"/>
        <w:spacing w:before="241"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Amended by the Board of Directors: March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98830"/>
                <wp:effectExtent l="0" t="0" r="0" b="0"/>
                <wp:wrapNone/>
                <wp:docPr id="137" name="Frame13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color w:val="000000"/>
          <w:sz w:val="22"/>
          <w:u w:val="single"/>
        </w:rPr>
      </w:pPr>
      <w:r>
        <w:rPr>
          <w:rFonts w:ascii="Times New Roman;serif" w:hAnsi="Times New Roman;serif"/>
          <w:b/>
          <w:color w:val="000000"/>
          <w:sz w:val="22"/>
          <w:u w:val="single"/>
        </w:rPr>
        <w:t>Appendix A</w:t>
      </w:r>
    </w:p>
    <w:p>
      <w:pPr>
        <w:pStyle w:val="TextBody"/>
        <w:bidi w:val="0"/>
        <w:spacing w:lineRule="auto" w:line="288" w:before="237" w:after="283"/>
        <w:jc w:val="center"/>
        <w:rPr>
          <w:rFonts w:ascii="Times New Roman;serif" w:hAnsi="Times New Roman;serif"/>
          <w:b/>
          <w:color w:val="000000"/>
          <w:sz w:val="22"/>
        </w:rPr>
      </w:pPr>
      <w:r>
        <w:rPr>
          <w:rFonts w:ascii="Times New Roman;serif" w:hAnsi="Times New Roman;serif"/>
          <w:b/>
          <w:color w:val="000000"/>
          <w:sz w:val="22"/>
        </w:rPr>
        <w:t>Specified Personnel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(Non-Officer Employees and Designated Consultants Subject to Quarterly Trading Blackout Periods)</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 employees.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98830"/>
                <wp:effectExtent l="0" t="0" r="0" b="0"/>
                <wp:wrapNone/>
                <wp:docPr id="138" name="Frame13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88" w:before="11" w:after="283"/>
                                    <w:jc w:val="center"/>
                                    <w:rPr>
                                      <w:rFonts w:ascii="Times New Roman;serif" w:hAnsi="Times New Roman;serif"/>
                                      <w:b w:val="false"/>
                                      <w:color w:val="000000"/>
                                      <w:sz w:val="22"/>
                                    </w:rPr>
                                  </w:pPr>
                                  <w:r>
                                    <w:rPr>
                                      <w:rFonts w:ascii="Times New Roman;serif" w:hAnsi="Times New Roman;serif"/>
                                      <w:b w:val="false"/>
                                      <w:color w:val="000000"/>
                                      <w:sz w:val="22"/>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88" w:before="11" w:after="283"/>
                              <w:jc w:val="center"/>
                              <w:rPr>
                                <w:rFonts w:ascii="Times New Roman;serif" w:hAnsi="Times New Roman;serif"/>
                                <w:b w:val="false"/>
                                <w:color w:val="000000"/>
                                <w:sz w:val="22"/>
                              </w:rPr>
                            </w:pPr>
                            <w:r>
                              <w:rPr>
                                <w:rFonts w:ascii="Times New Roman;serif" w:hAnsi="Times New Roman;serif"/>
                                <w:b w:val="false"/>
                                <w:color w:val="000000"/>
                                <w:sz w:val="22"/>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333-255848, 333-263912, 333-270621, 333-270622, 333-277777, and 333-285280) of The Honest Company, Inc. of our report dated February 25, 2026 relating to the financial statements,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Carla Vernón</w:t>
      </w:r>
      <w:r>
        <w:rPr>
          <w:rFonts w:ascii="Times New Roman;serif" w:hAnsi="Times New Roman;serif"/>
          <w:b w:val="false"/>
          <w:color w:val="000000"/>
          <w:sz w:val="20"/>
        </w:rPr>
        <w:t>, certify that:</w:t>
      </w:r>
    </w:p>
    <w:p>
      <w:pPr>
        <w:pStyle w:val="TextBody"/>
        <w:bidi w:val="0"/>
        <w:spacing w:before="0" w:after="0"/>
        <w:jc w:val="left"/>
        <w:rPr/>
      </w:pPr>
      <w:r>
        <w:rPr/>
      </w:r>
    </w:p>
    <w:p>
      <w:pPr>
        <w:pStyle w:val="TextBody"/>
        <w:bidi w:val="0"/>
        <w:spacing w:lineRule="auto" w:line="288" w:before="0" w:after="0"/>
        <w:ind w:left="0" w:right="0" w:hanging="612"/>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The Honest Company, Inc.;</w:t>
      </w:r>
    </w:p>
    <w:p>
      <w:pPr>
        <w:pStyle w:val="TextBody"/>
        <w:bidi w:val="0"/>
        <w:spacing w:before="0" w:after="0"/>
        <w:jc w:val="left"/>
        <w:rPr/>
      </w:pPr>
      <w:r>
        <w:rPr/>
      </w:r>
    </w:p>
    <w:p>
      <w:pPr>
        <w:pStyle w:val="TextBody"/>
        <w:bidi w:val="0"/>
        <w:spacing w:lineRule="auto" w:line="304" w:before="0" w:after="0"/>
        <w:ind w:left="0" w:right="0" w:hanging="612"/>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04" w:before="0" w:after="0"/>
        <w:ind w:left="0" w:right="0" w:hanging="612"/>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21" w:before="0" w:after="0"/>
        <w:ind w:left="0" w:right="0" w:hanging="612"/>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04" w:before="0" w:after="0"/>
        <w:ind w:left="0" w:right="0" w:hanging="605"/>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05"/>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04" w:before="0" w:after="0"/>
        <w:ind w:left="0" w:right="0" w:hanging="605"/>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04" w:before="0" w:after="0"/>
        <w:ind w:left="0" w:right="0" w:hanging="605"/>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96" w:before="0" w:after="0"/>
        <w:ind w:left="0" w:right="0" w:hanging="612"/>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04"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321" w:before="0" w:after="0"/>
        <w:ind w:left="0" w:right="0" w:hanging="605"/>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0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13"/>
        <w:gridCol w:w="913"/>
        <w:gridCol w:w="129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Curtiss Bruce certify that: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The Honest Company, Inc.;</w:t>
      </w:r>
    </w:p>
    <w:p>
      <w:pPr>
        <w:pStyle w:val="TextBody"/>
        <w:bidi w:val="0"/>
        <w:spacing w:before="0" w:after="0"/>
        <w:ind w:left="0" w:right="0" w:firstLine="720"/>
        <w:jc w:val="left"/>
        <w:rPr/>
      </w:pPr>
      <w:r>
        <w:rPr/>
      </w:r>
    </w:p>
    <w:p>
      <w:pPr>
        <w:pStyle w:val="TextBody"/>
        <w:bidi w:val="0"/>
        <w:spacing w:lineRule="auto" w:line="304"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35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30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30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30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30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30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8095" w:type="dxa"/>
        <w:jc w:val="left"/>
        <w:tblInd w:w="0" w:type="dxa"/>
        <w:tblLayout w:type="fixed"/>
        <w:tblCellMar>
          <w:top w:w="28" w:type="dxa"/>
          <w:left w:w="28" w:type="dxa"/>
          <w:bottom w:w="28" w:type="dxa"/>
          <w:right w:w="28" w:type="dxa"/>
        </w:tblCellMar>
      </w:tblPr>
      <w:tblGrid>
        <w:gridCol w:w="754"/>
        <w:gridCol w:w="664"/>
        <w:gridCol w:w="667"/>
        <w:gridCol w:w="267"/>
        <w:gridCol w:w="267"/>
        <w:gridCol w:w="272"/>
        <w:gridCol w:w="1517"/>
        <w:gridCol w:w="1517"/>
        <w:gridCol w:w="217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2085"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04" w:before="0" w:after="0"/>
        <w:jc w:val="left"/>
        <w:rPr/>
      </w:pPr>
      <w:r>
        <w:rPr>
          <w:rFonts w:ascii="Times New Roman;serif" w:hAnsi="Times New Roman;serif"/>
          <w:b w:val="false"/>
          <w:color w:val="000000"/>
          <w:sz w:val="20"/>
        </w:rPr>
        <w:t xml:space="preserve">In connection with the Annual Report on Form 10-K of The Honest Company, Inc. (the “Company”) for the period ended December 31, 2025 as filed with the Securities and Exchange Commission on the date hereof (the “Report”), I, </w:t>
      </w:r>
      <w:r>
        <w:rPr>
          <w:rFonts w:ascii="Times New Roman;serif" w:hAnsi="Times New Roman;serif"/>
          <w:b w:val="false"/>
          <w:color w:val="000000"/>
          <w:sz w:val="20"/>
          <w:shd w:fill="FFFFFF" w:val="clear"/>
        </w:rPr>
        <w:t>Carla Vernón</w:t>
      </w:r>
      <w:r>
        <w:rPr>
          <w:rFonts w:ascii="Times New Roman;serif" w:hAnsi="Times New Roman;serif"/>
          <w:b w:val="false"/>
          <w:color w:val="000000"/>
          <w:sz w:val="20"/>
        </w:rPr>
        <w:t>,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60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13"/>
        <w:gridCol w:w="913"/>
        <w:gridCol w:w="129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The Honest Company, Inc. (the “Company”) for the period ended December 31, 2025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973"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307"/>
        <w:gridCol w:w="1307"/>
        <w:gridCol w:w="187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hyperlink" Target="https://www.sec.gov/Archives/edgar/data/1530979/000119312521130292/d27841dex41.htm" TargetMode="External"/><Relationship Id="rId6" Type="http://schemas.openxmlformats.org/officeDocument/2006/relationships/hyperlink" Target="https://www.sec.gov/Archives/edgar/data/1530979/000153097922000024/honestcoq4-21exhibit42.htm" TargetMode="External"/><Relationship Id="rId7" Type="http://schemas.openxmlformats.org/officeDocument/2006/relationships/hyperlink" Target="https://www.sec.gov/Archives/edgar/data/1530979/000119312521111539/d27841dex102.htm" TargetMode="External"/><Relationship Id="rId8" Type="http://schemas.openxmlformats.org/officeDocument/2006/relationships/hyperlink" Target="https://www.sec.gov/Archives/edgar/data/1530979/000119312521121653/d27841dex103.htm" TargetMode="External"/><Relationship Id="rId9" Type="http://schemas.openxmlformats.org/officeDocument/2006/relationships/hyperlink" Target="https://www.sec.gov/Archives/edgar/data/1530979/000119312521121653/d27841dex104.htm" TargetMode="External"/><Relationship Id="rId10" Type="http://schemas.openxmlformats.org/officeDocument/2006/relationships/hyperlink" Target="https://www.sec.gov/Archives/edgar/data/1530979/000119312521130292/d27841dex105.htm" TargetMode="External"/><Relationship Id="rId11" Type="http://schemas.openxmlformats.org/officeDocument/2006/relationships/hyperlink" Target="https://www.sec.gov/Archives/edgar/data/1530979/000119312521121653/d27841dex106.htm" TargetMode="External"/><Relationship Id="rId12" Type="http://schemas.openxmlformats.org/officeDocument/2006/relationships/hyperlink" Target="https://www.sec.gov/Archives/edgar/data/1530979/000119312521130292/d27841dex1016.htm" TargetMode="External"/><Relationship Id="rId13" Type="http://schemas.openxmlformats.org/officeDocument/2006/relationships/hyperlink" Target="https://www.sec.gov/Archives/edgar/data/1530979/000119312521111539/d27841dex1017.htm" TargetMode="External"/><Relationship Id="rId14" Type="http://schemas.openxmlformats.org/officeDocument/2006/relationships/hyperlink" Target="https://www.sec.gov/Archives/edgar/data/1530979/000119312521111539/d27841dex1018.htm" TargetMode="External"/><Relationship Id="rId15" Type="http://schemas.openxmlformats.org/officeDocument/2006/relationships/hyperlink" Target="https://www.sec.gov/Archives/edgar/data/1530979/000153097922000068/honestcoq1-22ex101swinchel.htm" TargetMode="External"/><Relationship Id="rId16" Type="http://schemas.openxmlformats.org/officeDocument/2006/relationships/hyperlink" Target="https://www.sec.gov/Archives/edgar/data/1530979/000153097923000065/honestcoq1-23ex101employme.htm" TargetMode="External"/><Relationship Id="rId17" Type="http://schemas.openxmlformats.org/officeDocument/2006/relationships/hyperlink" Target="https://www.sec.gov/Archives/edgar/data/1530979/000153097923000143/exhibit101-dlorettaexecuti.htm" TargetMode="External"/><Relationship Id="rId18" Type="http://schemas.openxmlformats.org/officeDocument/2006/relationships/hyperlink" Target="https://www.sec.gov/Archives/edgar/data/1530979/000153097923000013/honestcoexhibit101.htm" TargetMode="External"/><Relationship Id="rId19" Type="http://schemas.openxmlformats.org/officeDocument/2006/relationships/hyperlink" Target="https://www.sec.gov/Archives/edgar/data/1530979/000153097923000038/honestcoq4-22exhibit109.htm" TargetMode="External"/><Relationship Id="rId20" Type="http://schemas.openxmlformats.org/officeDocument/2006/relationships/hyperlink" Target="https://www.sec.gov/Archives/edgar/data/1530979/000153097923000036/honestcoq4-22exhibit101.htm" TargetMode="External"/><Relationship Id="rId21" Type="http://schemas.openxmlformats.org/officeDocument/2006/relationships/hyperlink" Target="https://www.sec.gov/Archives/edgar/data/1530979/000153097923000036/honestcoq4-22exhibit102.htm" TargetMode="External"/><Relationship Id="rId22" Type="http://schemas.openxmlformats.org/officeDocument/2006/relationships/hyperlink" Target="https://www.sec.gov/Archives/edgar/data/1530979/000153097924000028/exhibit1020-ontex1124redac.htm" TargetMode="External"/><Relationship Id="rId23" Type="http://schemas.openxmlformats.org/officeDocument/2006/relationships/hyperlink" Target="https://www.sec.gov/Archives/edgar/data/1530979/000153097924000028/honestcoq4-23ex1021xdballe.htm" TargetMode="External"/><Relationship Id="rId24" Type="http://schemas.openxmlformats.org/officeDocument/2006/relationships/hyperlink" Target="https://www.sec.gov/Archives/edgar/data/1530979/000153097925000047/exhibit101-executiveemploy.htm" TargetMode="External"/><Relationship Id="rId25" Type="http://schemas.openxmlformats.org/officeDocument/2006/relationships/hyperlink" Target="https://www.sec.gov/Archives/edgar/data/1530979/000153097925000065/honestcoq2-25ex102xdlorett.htm" TargetMode="External"/><Relationship Id="rId26" Type="http://schemas.openxmlformats.org/officeDocument/2006/relationships/hyperlink" Target="https://www.sec.gov/Archives/edgar/data/1530979/000153097923000038/exhibit211subsidiaries.htm" TargetMode="External"/><Relationship Id="rId27" Type="http://schemas.openxmlformats.org/officeDocument/2006/relationships/hyperlink" Target="https://www.sec.gov/Archives/edgar/data/1530979/000153097924000028/exhibit97-doddxfrankcompli.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88368</Words>
  <Characters>495224</Characters>
  <CharactersWithSpaces>581490</CharactersWithSpaces>
  <Paragraphs>3741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