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before="0" w:after="0"/>
        <w:jc w:val="center"/>
        <w:rPr/>
      </w:pPr>
      <w:r>
        <w:rPr/>
      </w:r>
    </w:p>
    <w:p>
      <w:pPr>
        <w:pStyle w:val="TextBody"/>
        <w:bidi w:val="0"/>
        <w:spacing w:lineRule="auto" w:line="326"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196"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QUARTERLY REPORT PURSUANT TO SECTION 13 OR 15(d) OF THE SECURITIES EXCHANGE ACT OF 1934 </w:t>
            </w:r>
          </w:p>
        </w:tc>
      </w:tr>
    </w:tbl>
    <w:p>
      <w:pPr>
        <w:pStyle w:val="TextBody"/>
        <w:bidi w:val="0"/>
        <w:spacing w:lineRule="auto" w:line="196"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transition period from</w:t>
      </w:r>
      <w:r>
        <w:rPr>
          <w:color w:val="000000"/>
        </w:rPr>
        <w:t>    </w:t>
      </w:r>
      <w:r>
        <w:rPr>
          <w:rFonts w:ascii="Times New Roman;sans-serif" w:hAnsi="Times New Roman;sans-serif"/>
          <w:b/>
          <w:color w:val="000000"/>
          <w:sz w:val="20"/>
        </w:rPr>
        <w:t>to</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Commission File Number: 001-40378</w:t>
      </w:r>
    </w:p>
    <w:p>
      <w:pPr>
        <w:pStyle w:val="TextBody"/>
        <w:bidi w:val="0"/>
        <w:spacing w:before="0" w:after="0"/>
        <w:jc w:val="center"/>
        <w:rPr/>
      </w:pPr>
      <w:r>
        <w:rPr/>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00025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714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The Honest Company, Inc.</w: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6502" w:type="dxa"/>
        <w:jc w:val="center"/>
        <w:tblInd w:w="0" w:type="dxa"/>
        <w:tblLayout w:type="fixed"/>
        <w:tblCellMar>
          <w:top w:w="28" w:type="dxa"/>
          <w:left w:w="28" w:type="dxa"/>
          <w:bottom w:w="28" w:type="dxa"/>
          <w:right w:w="28" w:type="dxa"/>
        </w:tblCellMar>
      </w:tblPr>
      <w:tblGrid>
        <w:gridCol w:w="1090"/>
        <w:gridCol w:w="956"/>
        <w:gridCol w:w="968"/>
        <w:gridCol w:w="109"/>
        <w:gridCol w:w="109"/>
        <w:gridCol w:w="109"/>
        <w:gridCol w:w="459"/>
        <w:gridCol w:w="459"/>
        <w:gridCol w:w="462"/>
        <w:gridCol w:w="109"/>
        <w:gridCol w:w="109"/>
        <w:gridCol w:w="109"/>
        <w:gridCol w:w="424"/>
        <w:gridCol w:w="424"/>
        <w:gridCol w:w="606"/>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90-0750205</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12130 Millennium Drive,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Los Angeles,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90094</w:t>
            </w:r>
          </w:p>
        </w:tc>
      </w:tr>
      <w:tr>
        <w:trPr/>
        <w:tc>
          <w:tcPr>
            <w:tcW w:w="30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(888) 862-8818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tc>
      </w:tr>
      <w:tr>
        <w:trPr/>
        <w:tc>
          <w:tcPr>
            <w:tcW w:w="65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bl>
    <w:tbl>
      <w:tblPr>
        <w:tblW w:w="9128" w:type="dxa"/>
        <w:jc w:val="center"/>
        <w:tblInd w:w="0" w:type="dxa"/>
        <w:tblLayout w:type="fixed"/>
        <w:tblCellMar>
          <w:top w:w="28" w:type="dxa"/>
          <w:left w:w="28" w:type="dxa"/>
          <w:bottom w:w="28" w:type="dxa"/>
          <w:right w:w="28" w:type="dxa"/>
        </w:tblCellMar>
      </w:tblPr>
      <w:tblGrid>
        <w:gridCol w:w="1339"/>
        <w:gridCol w:w="1176"/>
        <w:gridCol w:w="1190"/>
        <w:gridCol w:w="109"/>
        <w:gridCol w:w="109"/>
        <w:gridCol w:w="109"/>
        <w:gridCol w:w="314"/>
        <w:gridCol w:w="314"/>
        <w:gridCol w:w="31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Trading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HNST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left"/>
        <w:rPr/>
      </w:pPr>
      <w:r>
        <w:rPr/>
      </w:r>
    </w:p>
    <w:p>
      <w:pPr>
        <w:pStyle w:val="TextBody"/>
        <w:bidi w:val="0"/>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lineRule="auto" w:line="211"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jc w:val="left"/>
        <w:rPr/>
      </w:pPr>
      <w:r>
        <w:rPr/>
      </w:r>
    </w:p>
    <w:p>
      <w:pPr>
        <w:pStyle w:val="TextBody"/>
        <w:bidi w:val="0"/>
        <w:spacing w:lineRule="auto" w:line="211" w:before="0" w:after="0"/>
        <w:ind w:left="0" w:right="0" w:firstLine="599"/>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5334"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11" w:before="0" w:after="0"/>
        <w:ind w:left="0" w:right="0" w:firstLine="599"/>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before="0" w:after="0"/>
        <w:jc w:val="left"/>
        <w:rPr/>
      </w:pPr>
      <w:r>
        <w:rPr/>
      </w:r>
    </w:p>
    <w:p>
      <w:pPr>
        <w:pStyle w:val="TextBody"/>
        <w:bidi w:val="0"/>
        <w:spacing w:lineRule="auto" w:line="300" w:before="0" w:after="0"/>
        <w:ind w:left="0" w:right="0" w:firstLine="599"/>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5, 2024, the registrant had 100,081,644 shares of common stock, $0.0001 par value per share outstanding.</w:t>
      </w:r>
    </w:p>
    <w:tbl>
      <w:tblPr>
        <w:tblW w:w="136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11"/>
        <w:gridCol w:w="273"/>
        <w:gridCol w:w="275"/>
        <w:gridCol w:w="2909"/>
        <w:gridCol w:w="2909"/>
        <w:gridCol w:w="2914"/>
        <w:gridCol w:w="178"/>
        <w:gridCol w:w="178"/>
        <w:gridCol w:w="258"/>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Page </w:t>
            </w:r>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3">
              <w:r>
                <w:rPr>
                  <w:rStyle w:val="InternetLink"/>
                  <w:rFonts w:ascii="Times New Roman;sans-serif" w:hAnsi="Times New Roman;sans-serif"/>
                  <w:b w:val="false"/>
                  <w:strike w:val="false"/>
                  <w:dstrike w:val="false"/>
                  <w:color w:val="000000"/>
                  <w:sz w:val="20"/>
                  <w:u w:val="none"/>
                  <w:effect w:val="none"/>
                </w:rPr>
                <w:t>FINANCIAL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3">
              <w:r>
                <w:rPr>
                  <w:rStyle w:val="InternetLink"/>
                  <w:rFonts w:ascii="Times New Roman;sans-serif" w:hAnsi="Times New Roman;sans-serif"/>
                  <w:b w:val="false"/>
                  <w:color w:val="0000FF"/>
                  <w:sz w:val="20"/>
                  <w:u w:val="single"/>
                </w:rPr>
                <w:t>1</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6">
              <w:r>
                <w:rPr>
                  <w:rStyle w:val="InternetLink"/>
                  <w:rFonts w:ascii="Times New Roman;sans-serif" w:hAnsi="Times New Roman;sans-serif"/>
                  <w:b w:val="false"/>
                  <w:strike w:val="false"/>
                  <w:dstrike w:val="false"/>
                  <w:color w:val="000000"/>
                  <w:sz w:val="20"/>
                  <w:u w:val="none"/>
                  <w:effect w:val="none"/>
                </w:rPr>
                <w:t>Condensed Consolidated Financial Statements (Unaudited)</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6">
              <w:r>
                <w:rPr>
                  <w:rStyle w:val="InternetLink"/>
                  <w:rFonts w:ascii="Times New Roman;sans-serif" w:hAnsi="Times New Roman;sans-serif"/>
                  <w:b w:val="false"/>
                  <w:color w:val="0000FF"/>
                  <w:sz w:val="20"/>
                  <w:u w:val="single"/>
                </w:rPr>
                <w:t>1</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9">
              <w:r>
                <w:rPr>
                  <w:rStyle w:val="InternetLink"/>
                  <w:rFonts w:ascii="Times New Roman;sans-serif" w:hAnsi="Times New Roman;sans-serif"/>
                  <w:b w:val="false"/>
                  <w:strike w:val="false"/>
                  <w:dstrike w:val="false"/>
                  <w:color w:val="000000"/>
                  <w:sz w:val="20"/>
                  <w:u w:val="none"/>
                  <w:effect w:val="none"/>
                </w:rPr>
                <w:t xml:space="preserve">Condensed Consolidated Balance Sheets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9">
              <w:r>
                <w:rPr>
                  <w:rStyle w:val="InternetLink"/>
                  <w:rFonts w:ascii="Times New Roman;sans-serif" w:hAnsi="Times New Roman;sans-serif"/>
                  <w:b w:val="false"/>
                  <w:color w:val="0000FF"/>
                  <w:sz w:val="20"/>
                  <w:u w:val="single"/>
                </w:rPr>
                <w:t>1</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22">
              <w:r>
                <w:rPr>
                  <w:rStyle w:val="InternetLink"/>
                  <w:rFonts w:ascii="Times New Roman;sans-serif" w:hAnsi="Times New Roman;sans-serif"/>
                  <w:b w:val="false"/>
                  <w:strike w:val="false"/>
                  <w:dstrike w:val="false"/>
                  <w:color w:val="000000"/>
                  <w:sz w:val="20"/>
                  <w:u w:val="none"/>
                  <w:effect w:val="none"/>
                </w:rPr>
                <w:t xml:space="preserve">Condensed Consolidated Statements of Comprehensive Loss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22">
              <w:r>
                <w:rPr>
                  <w:rStyle w:val="InternetLink"/>
                  <w:rFonts w:ascii="Times New Roman;sans-serif" w:hAnsi="Times New Roman;sans-serif"/>
                  <w:b w:val="false"/>
                  <w:color w:val="0000FF"/>
                  <w:sz w:val="20"/>
                  <w:u w:val="single"/>
                </w:rPr>
                <w:t>2</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25">
              <w:r>
                <w:rPr>
                  <w:rStyle w:val="InternetLink"/>
                  <w:rFonts w:ascii="Times New Roman;sans-serif" w:hAnsi="Times New Roman;sans-serif"/>
                  <w:b w:val="false"/>
                  <w:strike w:val="false"/>
                  <w:dstrike w:val="false"/>
                  <w:color w:val="000080"/>
                  <w:sz w:val="20"/>
                  <w:u w:val="single"/>
                  <w:effect w:val="none"/>
                </w:rPr>
                <w:t xml:space="preserve">Condensed Consolidated Statements of Redeemable Convertible Preferred Stock and Stockholders’ </w:t>
              </w:r>
            </w:hyperlink>
            <w:hyperlink w:anchor="i26356c026abf4d19aaa99c1a76e63c1d_25">
              <w:r>
                <w:rPr>
                  <w:rStyle w:val="InternetLink"/>
                  <w:rFonts w:ascii="Times New Roman;sans-serif" w:hAnsi="Times New Roman;sans-serif"/>
                  <w:b w:val="false"/>
                  <w:strike w:val="false"/>
                  <w:dstrike w:val="false"/>
                  <w:color w:val="000080"/>
                  <w:sz w:val="20"/>
                  <w:u w:val="single"/>
                  <w:effect w:val="none"/>
                </w:rPr>
                <w:t>Equity (</w:t>
              </w:r>
            </w:hyperlink>
            <w:hyperlink w:anchor="i26356c026abf4d19aaa99c1a76e63c1d_25">
              <w:r>
                <w:rPr>
                  <w:rStyle w:val="InternetLink"/>
                  <w:rFonts w:ascii="Times New Roman;sans-serif" w:hAnsi="Times New Roman;sans-serif"/>
                  <w:b w:val="false"/>
                  <w:strike w:val="false"/>
                  <w:dstrike w:val="false"/>
                  <w:color w:val="000080"/>
                  <w:sz w:val="20"/>
                  <w:u w:val="single"/>
                  <w:effect w:val="none"/>
                </w:rPr>
                <w:t>Deficit</w:t>
              </w:r>
            </w:hyperlink>
            <w:hyperlink w:anchor="i26356c026abf4d19aaa99c1a76e63c1d_25">
              <w:r>
                <w:rPr>
                  <w:rStyle w:val="InternetLink"/>
                  <w:rFonts w:ascii="Times New Roman;sans-serif" w:hAnsi="Times New Roman;sans-serif"/>
                  <w:b w:val="false"/>
                  <w:strike w:val="false"/>
                  <w:dstrike w:val="false"/>
                  <w:color w:val="000080"/>
                  <w:sz w:val="20"/>
                  <w:u w:val="single"/>
                  <w:effect w:val="none"/>
                </w:rPr>
                <w:t>)</w:t>
              </w:r>
            </w:hyperlink>
            <w:hyperlink w:anchor="i26356c026abf4d19aaa99c1a76e63c1d_25">
              <w:r>
                <w:rPr>
                  <w:rStyle w:val="InternetLink"/>
                  <w:rFonts w:ascii="Times New Roman;sans-serif" w:hAnsi="Times New Roman;sans-serif"/>
                  <w:b w:val="false"/>
                  <w:strike w:val="false"/>
                  <w:dstrike w:val="false"/>
                  <w:color w:val="000080"/>
                  <w:sz w:val="20"/>
                  <w:u w:val="single"/>
                  <w:effect w:val="none"/>
                </w:rPr>
                <w:t xml:space="preserve">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25">
              <w:r>
                <w:rPr>
                  <w:rStyle w:val="InternetLink"/>
                  <w:rFonts w:ascii="Times New Roman;sans-serif" w:hAnsi="Times New Roman;sans-serif"/>
                  <w:b w:val="false"/>
                  <w:color w:val="0000FF"/>
                  <w:sz w:val="20"/>
                  <w:u w:val="single"/>
                </w:rPr>
                <w:t>3</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31">
              <w:r>
                <w:rPr>
                  <w:rStyle w:val="InternetLink"/>
                  <w:rFonts w:ascii="Times New Roman;sans-serif" w:hAnsi="Times New Roman;sans-serif"/>
                  <w:b w:val="false"/>
                  <w:strike w:val="false"/>
                  <w:dstrike w:val="false"/>
                  <w:color w:val="000000"/>
                  <w:sz w:val="20"/>
                  <w:u w:val="none"/>
                  <w:effect w:val="none"/>
                </w:rPr>
                <w:t xml:space="preserve">Condensed Consolidated Statements of Cash Flows </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31">
              <w:r>
                <w:rPr>
                  <w:rStyle w:val="InternetLink"/>
                  <w:rFonts w:ascii="Times New Roman;sans-serif" w:hAnsi="Times New Roman;sans-serif"/>
                  <w:b w:val="false"/>
                  <w:color w:val="0000FF"/>
                  <w:sz w:val="20"/>
                  <w:u w:val="single"/>
                </w:rPr>
                <w:t>5</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34">
              <w:r>
                <w:rPr>
                  <w:rStyle w:val="InternetLink"/>
                  <w:rFonts w:ascii="Times New Roman;sans-serif" w:hAnsi="Times New Roman;sans-serif"/>
                  <w:b w:val="false"/>
                  <w:strike w:val="false"/>
                  <w:dstrike w:val="false"/>
                  <w:color w:val="000000"/>
                  <w:sz w:val="20"/>
                  <w:u w:val="none"/>
                  <w:effect w:val="none"/>
                </w:rPr>
                <w:t>Notes to Condensed Consolidated Financial Statements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34">
              <w:r>
                <w:rPr>
                  <w:rStyle w:val="InternetLink"/>
                  <w:rFonts w:ascii="Times New Roman;sans-serif" w:hAnsi="Times New Roman;sans-serif"/>
                  <w:b w:val="false"/>
                  <w:color w:val="0000FF"/>
                  <w:sz w:val="20"/>
                  <w:u w:val="single"/>
                </w:rPr>
                <w:t>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00">
              <w:r>
                <w:rPr>
                  <w:rStyle w:val="InternetLink"/>
                  <w:rFonts w:ascii="Times New Roman;sans-serif" w:hAnsi="Times New Roman;sans-serif"/>
                  <w:b w:val="false"/>
                  <w:strike w:val="false"/>
                  <w:dstrike w:val="false"/>
                  <w:color w:val="000000"/>
                  <w:sz w:val="20"/>
                  <w:u w:val="none"/>
                  <w:effect w:val="none"/>
                </w:rPr>
                <w:t>Management’s Discussion and Analysis of Financial Condition and Results of Operations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00">
              <w:r>
                <w:rPr>
                  <w:rStyle w:val="InternetLink"/>
                  <w:rFonts w:ascii="Times New Roman;sans-serif" w:hAnsi="Times New Roman;sans-serif"/>
                  <w:b w:val="false"/>
                  <w:color w:val="0000FF"/>
                  <w:sz w:val="20"/>
                  <w:u w:val="single"/>
                </w:rPr>
                <w:t>16</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06">
              <w:r>
                <w:rPr>
                  <w:rStyle w:val="InternetLink"/>
                  <w:rFonts w:ascii="Times New Roman;sans-serif" w:hAnsi="Times New Roman;sans-serif"/>
                  <w:b w:val="false"/>
                  <w:strike w:val="false"/>
                  <w:dstrike w:val="false"/>
                  <w:color w:val="000000"/>
                  <w:sz w:val="20"/>
                  <w:u w:val="none"/>
                  <w:effect w:val="none"/>
                </w:rPr>
                <w:t>Quantitative and Qualitative Disclosures About Market Risk</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06">
              <w:r>
                <w:rPr>
                  <w:rStyle w:val="InternetLink"/>
                  <w:rFonts w:ascii="Times New Roman;sans-serif" w:hAnsi="Times New Roman;sans-serif"/>
                  <w:b w:val="false"/>
                  <w:color w:val="0000FF"/>
                  <w:sz w:val="20"/>
                  <w:u w:val="single"/>
                </w:rPr>
                <w:t>28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12">
              <w:r>
                <w:rPr>
                  <w:rStyle w:val="InternetLink"/>
                  <w:rFonts w:ascii="Times New Roman;sans-serif" w:hAnsi="Times New Roman;sans-serif"/>
                  <w:b w:val="false"/>
                  <w:strike w:val="false"/>
                  <w:dstrike w:val="false"/>
                  <w:color w:val="000000"/>
                  <w:sz w:val="20"/>
                  <w:u w:val="none"/>
                  <w:effect w:val="none"/>
                </w:rPr>
                <w:t>Controls and Procedures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12">
              <w:r>
                <w:rPr>
                  <w:rStyle w:val="InternetLink"/>
                  <w:rFonts w:ascii="Times New Roman;sans-serif" w:hAnsi="Times New Roman;sans-serif"/>
                  <w:b w:val="false"/>
                  <w:color w:val="0000FF"/>
                  <w:sz w:val="20"/>
                  <w:u w:val="single"/>
                </w:rPr>
                <w:t>28</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15">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18">
              <w:r>
                <w:rPr>
                  <w:rStyle w:val="InternetLink"/>
                  <w:rFonts w:ascii="Times New Roman;sans-serif" w:hAnsi="Times New Roman;sans-serif"/>
                  <w:b w:val="false"/>
                  <w:color w:val="0000FF"/>
                  <w:sz w:val="20"/>
                  <w:u w:val="single"/>
                </w:rPr>
                <w:t>29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18">
              <w:r>
                <w:rPr>
                  <w:rStyle w:val="InternetLink"/>
                  <w:rFonts w:ascii="Times New Roman;sans-serif" w:hAnsi="Times New Roman;sans-serif"/>
                  <w:b w:val="false"/>
                  <w:strike w:val="false"/>
                  <w:dstrike w:val="false"/>
                  <w:color w:val="000000"/>
                  <w:sz w:val="20"/>
                  <w:u w:val="none"/>
                  <w:effect w:val="none"/>
                </w:rPr>
                <w:t>Legal Proceedings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18">
              <w:r>
                <w:rPr>
                  <w:rStyle w:val="InternetLink"/>
                  <w:rFonts w:ascii="Times New Roman;sans-serif" w:hAnsi="Times New Roman;sans-serif"/>
                  <w:b w:val="false"/>
                  <w:color w:val="0000FF"/>
                  <w:sz w:val="20"/>
                  <w:u w:val="single"/>
                </w:rPr>
                <w:t>29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21">
              <w:r>
                <w:rPr>
                  <w:rStyle w:val="InternetLink"/>
                  <w:rFonts w:ascii="Times New Roman;sans-serif" w:hAnsi="Times New Roman;sans-serif"/>
                  <w:b w:val="false"/>
                  <w:strike w:val="false"/>
                  <w:dstrike w:val="false"/>
                  <w:color w:val="000000"/>
                  <w:sz w:val="20"/>
                  <w:u w:val="none"/>
                  <w:effect w:val="none"/>
                </w:rPr>
                <w:t>Risk Factors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21">
              <w:r>
                <w:rPr>
                  <w:rStyle w:val="InternetLink"/>
                  <w:rFonts w:ascii="Times New Roman;sans-serif" w:hAnsi="Times New Roman;sans-serif"/>
                  <w:b w:val="false"/>
                  <w:color w:val="0000FF"/>
                  <w:sz w:val="20"/>
                  <w:u w:val="single"/>
                </w:rPr>
                <w:t>29</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24">
              <w:r>
                <w:rPr>
                  <w:rStyle w:val="InternetLink"/>
                  <w:rFonts w:ascii="Times New Roman;sans-serif" w:hAnsi="Times New Roman;sans-serif"/>
                  <w:b w:val="false"/>
                  <w:strike w:val="false"/>
                  <w:dstrike w:val="false"/>
                  <w:color w:val="000000"/>
                  <w:sz w:val="20"/>
                  <w:u w:val="none"/>
                  <w:effect w:val="none"/>
                </w:rPr>
                <w:t>Unregistered Sales of Equity Securities and Use of Proceeds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24">
              <w:r>
                <w:rPr>
                  <w:rStyle w:val="InternetLink"/>
                  <w:rFonts w:ascii="Times New Roman;sans-serif" w:hAnsi="Times New Roman;sans-serif"/>
                  <w:b w:val="false"/>
                  <w:color w:val="0000FF"/>
                  <w:sz w:val="20"/>
                  <w:u w:val="single"/>
                </w:rPr>
                <w:t>31</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27">
              <w:r>
                <w:rPr>
                  <w:rStyle w:val="InternetLink"/>
                  <w:rFonts w:ascii="Times New Roman;sans-serif" w:hAnsi="Times New Roman;sans-serif"/>
                  <w:b w:val="false"/>
                  <w:strike w:val="false"/>
                  <w:dstrike w:val="false"/>
                  <w:color w:val="000000"/>
                  <w:sz w:val="20"/>
                  <w:u w:val="none"/>
                  <w:effect w:val="none"/>
                </w:rPr>
                <w:t>Defaults Under Senior Securities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27">
              <w:r>
                <w:rPr>
                  <w:rStyle w:val="InternetLink"/>
                  <w:rFonts w:ascii="Times New Roman;sans-serif" w:hAnsi="Times New Roman;sans-serif"/>
                  <w:b w:val="false"/>
                  <w:color w:val="0000FF"/>
                  <w:sz w:val="20"/>
                  <w:u w:val="single"/>
                </w:rPr>
                <w:t>31</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30">
              <w:r>
                <w:rPr>
                  <w:rStyle w:val="InternetLink"/>
                  <w:rFonts w:ascii="Times New Roman;sans-serif" w:hAnsi="Times New Roman;sans-serif"/>
                  <w:b w:val="false"/>
                  <w:strike w:val="false"/>
                  <w:dstrike w:val="false"/>
                  <w:color w:val="000000"/>
                  <w:sz w:val="20"/>
                  <w:u w:val="none"/>
                  <w:effect w:val="none"/>
                </w:rPr>
                <w:t>Mine Safety Disclosures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30">
              <w:r>
                <w:rPr>
                  <w:rStyle w:val="InternetLink"/>
                  <w:rFonts w:ascii="Times New Roman;sans-serif" w:hAnsi="Times New Roman;sans-serif"/>
                  <w:b w:val="false"/>
                  <w:color w:val="0000FF"/>
                  <w:sz w:val="20"/>
                  <w:u w:val="single"/>
                </w:rPr>
                <w:t>31</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33">
              <w:r>
                <w:rPr>
                  <w:rStyle w:val="InternetLink"/>
                  <w:rFonts w:ascii="Times New Roman;sans-serif" w:hAnsi="Times New Roman;sans-serif"/>
                  <w:b w:val="false"/>
                  <w:strike w:val="false"/>
                  <w:dstrike w:val="false"/>
                  <w:color w:val="000000"/>
                  <w:sz w:val="20"/>
                  <w:u w:val="none"/>
                  <w:effect w:val="none"/>
                </w:rPr>
                <w:t>Other Information</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33">
              <w:r>
                <w:rPr>
                  <w:rStyle w:val="InternetLink"/>
                  <w:rFonts w:ascii="Times New Roman;sans-serif" w:hAnsi="Times New Roman;sans-serif"/>
                  <w:b w:val="false"/>
                  <w:color w:val="0000FF"/>
                  <w:sz w:val="20"/>
                  <w:u w:val="single"/>
                </w:rPr>
                <w:t>31</w:t>
              </w:r>
            </w:hyperlink>
          </w:p>
        </w:tc>
      </w:tr>
      <w:tr>
        <w:trPr/>
        <w:tc>
          <w:tcPr>
            <w:tcW w:w="8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36">
              <w:r>
                <w:rPr>
                  <w:rStyle w:val="InternetLink"/>
                  <w:rFonts w:ascii="Times New Roman;sans-serif" w:hAnsi="Times New Roman;sans-serif"/>
                  <w:b w:val="false"/>
                  <w:strike w:val="false"/>
                  <w:dstrike w:val="false"/>
                  <w:color w:val="000000"/>
                  <w:sz w:val="20"/>
                  <w:u w:val="none"/>
                  <w:effect w:val="none"/>
                </w:rPr>
                <w:t>Exhibits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36">
              <w:r>
                <w:rPr>
                  <w:rStyle w:val="InternetLink"/>
                  <w:rFonts w:ascii="Times New Roman;sans-serif" w:hAnsi="Times New Roman;sans-serif"/>
                  <w:b w:val="false"/>
                  <w:color w:val="0000FF"/>
                  <w:sz w:val="20"/>
                  <w:u w:val="single"/>
                </w:rPr>
                <w:t>32</w:t>
              </w:r>
            </w:hyperlink>
          </w:p>
        </w:tc>
      </w:tr>
      <w:tr>
        <w:trPr/>
        <w:tc>
          <w:tcPr>
            <w:tcW w:w="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56c026abf4d19aaa99c1a76e63c1d_139">
              <w:r>
                <w:rPr>
                  <w:rStyle w:val="InternetLink"/>
                  <w:rFonts w:ascii="Times New Roman;sans-serif" w:hAnsi="Times New Roman;sans-serif"/>
                  <w:b w:val="false"/>
                  <w:strike w:val="false"/>
                  <w:dstrike w:val="false"/>
                  <w:color w:val="000000"/>
                  <w:sz w:val="20"/>
                  <w:u w:val="none"/>
                  <w:effect w:val="none"/>
                </w:rPr>
                <w:t>Signatures</w:t>
              </w:r>
            </w:hyperlink>
          </w:p>
        </w:tc>
        <w:tc>
          <w:tcPr>
            <w:tcW w:w="614"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6356c026abf4d19aaa99c1a76e63c1d_139">
              <w:r>
                <w:rPr>
                  <w:rStyle w:val="InternetLink"/>
                  <w:rFonts w:ascii="Times New Roman;sans-serif" w:hAnsi="Times New Roman;sans-serif"/>
                  <w:b w:val="false"/>
                  <w:color w:val="0000FF"/>
                  <w:sz w:val="20"/>
                  <w:u w:val="single"/>
                </w:rPr>
                <w:t>33</w:t>
              </w:r>
            </w:hyperlink>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67665"/>
                <wp:effectExtent l="0" t="0" r="0" b="0"/>
                <wp:wrapNone/>
                <wp:docPr id="3" name="Frame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 xml:space="preserve">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r>
        <w:rPr>
          <w:rFonts w:ascii="Times New Roman;sans-serif" w:hAnsi="Times New Roman;sans-serif"/>
          <w:b w:val="false"/>
          <w:color w:val="000000"/>
          <w:sz w:val="20"/>
          <w:shd w:fill="FFFFFF" w:val="clear"/>
        </w:rPr>
        <w:t>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w:t>
      </w:r>
      <w:r>
        <w:rPr>
          <w:rFonts w:ascii="Times New Roman;sans-serif" w:hAnsi="Times New Roman;sans-serif"/>
          <w:b w:val="false"/>
          <w:color w:val="000000"/>
          <w:sz w:val="20"/>
        </w:rPr>
        <w:t xml:space="preserve">, those set forth in Part II, Item 1A, “Risk Factors,” if any, and other factors set forth in other parts of this Quarterly Report on Form 10-Q as well as in Part I, Item 1A, “Risk Factors” in our Annual Report on Form 10-K for the fiscal year ended December 31, 2023 (the “Annual Report”), filed with the Securities and Exchange Commission (“SEC”) on March 8, 2024. Furthermore, such forward-looking statements speak only as of the date of this report. Except as required by law, we undertake no obligation to update any forward-looking statements to reflect events or circumstances after the date of such statements. These forward-looking statements include, but are not limited to, statements concerning our expectations regarding our future results of operations and financial condition, including our ability to achieve or sustain profitability; our ability to continue to launch new products; momentum in our business; our ability to attract and retain customers; our ability to execute on and to continue driving benefits from our Transformation Pillars of Brand Maximization, Margin Enhancement, and Operating Discipline; our marketing strategies; our continued focus on research, development and innovation; our expectations regarding consumer demand and the timing and amount of orders from key customers; the effect of macroeconomic factors, including supply chain disruptions and inflationary pressures; anticipated trends, growth rates, and challenges in our business and in the markets in which we operate; and our ability to execute on other business strategies, plans and objectives of management for future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4"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55"/>
        <w:gridCol w:w="2303"/>
        <w:gridCol w:w="2235"/>
        <w:gridCol w:w="219"/>
        <w:gridCol w:w="858"/>
        <w:gridCol w:w="113"/>
        <w:gridCol w:w="109"/>
        <w:gridCol w:w="109"/>
        <w:gridCol w:w="109"/>
        <w:gridCol w:w="246"/>
        <w:gridCol w:w="966"/>
        <w:gridCol w:w="183"/>
      </w:tblGrid>
      <w:tr>
        <w:trPr/>
        <w:tc>
          <w:tcPr>
            <w:tcW w:w="275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73,673 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8,611 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162,218 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157,772 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200,154 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201,621 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52,936 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56,710 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 term liabilities</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70,473 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78,482 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Commitments and contingencies (Note </w:t>
            </w:r>
            <w:r>
              <w:rPr>
                <w:rFonts w:ascii="Times New Roman;sans-serif" w:hAnsi="Times New Roman;sans-serif"/>
                <w:b w:val="false"/>
                <w:color w:val="000000"/>
                <w:sz w:val="22"/>
              </w:rPr>
              <w:t>7</w:t>
            </w:r>
            <w:r>
              <w:rPr>
                <w:rFonts w:ascii="Times New Roman;sans-serif" w:hAnsi="Times New Roman;sans-serif"/>
                <w:b w:val="false"/>
                <w:color w:val="000000"/>
                <w:sz w:val="20"/>
              </w:rPr>
              <w:t>)</w:t>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20,000,000 shares authorized at June 30, 2024 and December 31, 2023, none issued or outstanding as of June 30, 2024 and December 31, 2023</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1,000,000,000 shares authorized at June 30, 2024 and December 31, 2023; 100,156,974 and 95,868,421 shares issued and outstanding as of June 30, 2024 and December 31, 2023, respectively</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614,220 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602,198 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(484,548)</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(479,068)</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129,681 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123,139 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200,154 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201,621 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20"/>
        <w:gridCol w:w="1256"/>
        <w:gridCol w:w="1179"/>
        <w:gridCol w:w="267"/>
        <w:gridCol w:w="852"/>
        <w:gridCol w:w="120"/>
        <w:gridCol w:w="120"/>
        <w:gridCol w:w="120"/>
        <w:gridCol w:w="120"/>
        <w:gridCol w:w="267"/>
        <w:gridCol w:w="888"/>
        <w:gridCol w:w="120"/>
        <w:gridCol w:w="109"/>
        <w:gridCol w:w="109"/>
        <w:gridCol w:w="109"/>
        <w:gridCol w:w="237"/>
        <w:gridCol w:w="876"/>
        <w:gridCol w:w="113"/>
        <w:gridCol w:w="113"/>
        <w:gridCol w:w="113"/>
        <w:gridCol w:w="113"/>
        <w:gridCol w:w="237"/>
        <w:gridCol w:w="876"/>
        <w:gridCol w:w="171"/>
      </w:tblGrid>
      <w:tr>
        <w:trPr/>
        <w:tc>
          <w:tcPr>
            <w:tcW w:w="172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179,266 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111,772 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124,832 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35,612 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67,494 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48,850 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39,657 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72,853 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75,145 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(13,387)</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(32,044)</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(32,242)</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w:t>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loss per share attributable to common stockholders: </w:t>
            </w:r>
          </w:p>
        </w:tc>
        <w:tc>
          <w:tcPr>
            <w:tcW w:w="12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99,078,930 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94,103,266 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97,676,049 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93,607,425 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84"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 net of taxes</w:t>
            </w:r>
          </w:p>
        </w:tc>
        <w:tc>
          <w:tcPr>
            <w:tcW w:w="111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(32,249)</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ind w:left="0" w:right="0" w:firstLine="720"/>
        <w:jc w:val="center"/>
        <w:rPr/>
      </w:pPr>
      <w:r>
        <w:rPr>
          <w:rFonts w:ascii="Times New Roman;sans-serif" w:hAnsi="Times New Roman;sans-serif"/>
          <w:b w:val="false"/>
          <w:i/>
          <w:color w:val="000000"/>
          <w:sz w:val="18"/>
        </w:rPr>
        <w:t>(in thousands, except share amounts)</w:t>
      </w:r>
      <w:r>
        <w:rPr>
          <w:color w:val="000000"/>
        </w:rPr>
        <w:t xml:space="preserve"> </w:t>
      </w:r>
    </w:p>
    <w:tbl>
      <w:tblPr>
        <w:tblW w:w="11901" w:type="dxa"/>
        <w:jc w:val="center"/>
        <w:tblInd w:w="0" w:type="dxa"/>
        <w:tblLayout w:type="fixed"/>
        <w:tblCellMar>
          <w:top w:w="28" w:type="dxa"/>
          <w:left w:w="28" w:type="dxa"/>
          <w:bottom w:w="28" w:type="dxa"/>
          <w:right w:w="28" w:type="dxa"/>
        </w:tblCellMar>
      </w:tblPr>
      <w:tblGrid>
        <w:gridCol w:w="621"/>
        <w:gridCol w:w="282"/>
        <w:gridCol w:w="283"/>
        <w:gridCol w:w="254"/>
        <w:gridCol w:w="254"/>
        <w:gridCol w:w="123"/>
        <w:gridCol w:w="109"/>
        <w:gridCol w:w="109"/>
        <w:gridCol w:w="109"/>
        <w:gridCol w:w="296"/>
        <w:gridCol w:w="406"/>
        <w:gridCol w:w="109"/>
        <w:gridCol w:w="109"/>
        <w:gridCol w:w="109"/>
        <w:gridCol w:w="109"/>
        <w:gridCol w:w="109"/>
        <w:gridCol w:w="109"/>
        <w:gridCol w:w="109"/>
        <w:gridCol w:w="480"/>
        <w:gridCol w:w="481"/>
        <w:gridCol w:w="211"/>
        <w:gridCol w:w="109"/>
        <w:gridCol w:w="109"/>
        <w:gridCol w:w="109"/>
        <w:gridCol w:w="291"/>
        <w:gridCol w:w="357"/>
        <w:gridCol w:w="163"/>
        <w:gridCol w:w="109"/>
        <w:gridCol w:w="109"/>
        <w:gridCol w:w="109"/>
        <w:gridCol w:w="196"/>
        <w:gridCol w:w="736"/>
        <w:gridCol w:w="109"/>
        <w:gridCol w:w="109"/>
        <w:gridCol w:w="109"/>
        <w:gridCol w:w="109"/>
        <w:gridCol w:w="208"/>
        <w:gridCol w:w="800"/>
        <w:gridCol w:w="118"/>
        <w:gridCol w:w="109"/>
        <w:gridCol w:w="109"/>
        <w:gridCol w:w="109"/>
        <w:gridCol w:w="360"/>
        <w:gridCol w:w="745"/>
        <w:gridCol w:w="201"/>
        <w:gridCol w:w="109"/>
        <w:gridCol w:w="109"/>
        <w:gridCol w:w="109"/>
        <w:gridCol w:w="216"/>
        <w:gridCol w:w="813"/>
        <w:gridCol w:w="172"/>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December 31, 2022</w:t>
            </w:r>
          </w:p>
        </w:tc>
        <w:tc>
          <w:tcPr>
            <w:tcW w:w="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92,907,351 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586,213 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(439,830)</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146,360 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549,484 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2023</w:t>
            </w:r>
          </w:p>
        </w:tc>
        <w:tc>
          <w:tcPr>
            <w:tcW w:w="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93,456,835 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(458,697)</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131,284 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(13,416)</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1,532,507 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under employee stock purchase plan</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68,884 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June 30, 2023</w:t>
            </w:r>
          </w:p>
        </w:tc>
        <w:tc>
          <w:tcPr>
            <w:tcW w:w="5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95,060,526 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(472,113)</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124,400 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Redeemable Convertible Preferred Stock and Stockholders’ Equity (Deficit)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p>
      <w:pPr>
        <w:pStyle w:val="TextBody"/>
        <w:bidi w:val="0"/>
        <w:spacing w:lineRule="auto" w:line="288" w:before="0" w:after="0"/>
        <w:ind w:left="0" w:right="0" w:firstLine="720"/>
        <w:jc w:val="center"/>
        <w:rPr/>
      </w:pPr>
      <w:r>
        <w:rPr>
          <w:rFonts w:ascii="Times New Roman;sans-serif" w:hAnsi="Times New Roman;sans-serif"/>
          <w:b w:val="false"/>
          <w:i/>
          <w:color w:val="000000"/>
          <w:sz w:val="18"/>
        </w:rPr>
        <w:t>(in thousands, except share amounts)</w:t>
      </w:r>
      <w:r>
        <w:rPr>
          <w:color w:val="000000"/>
        </w:rPr>
        <w:t xml:space="preserve"> </w:t>
      </w:r>
    </w:p>
    <w:tbl>
      <w:tblPr>
        <w:tblW w:w="11961" w:type="dxa"/>
        <w:jc w:val="center"/>
        <w:tblInd w:w="0" w:type="dxa"/>
        <w:tblLayout w:type="fixed"/>
        <w:tblCellMar>
          <w:top w:w="28" w:type="dxa"/>
          <w:left w:w="28" w:type="dxa"/>
          <w:bottom w:w="28" w:type="dxa"/>
          <w:right w:w="28" w:type="dxa"/>
        </w:tblCellMar>
      </w:tblPr>
      <w:tblGrid>
        <w:gridCol w:w="419"/>
        <w:gridCol w:w="368"/>
        <w:gridCol w:w="369"/>
        <w:gridCol w:w="254"/>
        <w:gridCol w:w="254"/>
        <w:gridCol w:w="123"/>
        <w:gridCol w:w="109"/>
        <w:gridCol w:w="109"/>
        <w:gridCol w:w="109"/>
        <w:gridCol w:w="296"/>
        <w:gridCol w:w="406"/>
        <w:gridCol w:w="109"/>
        <w:gridCol w:w="109"/>
        <w:gridCol w:w="109"/>
        <w:gridCol w:w="109"/>
        <w:gridCol w:w="109"/>
        <w:gridCol w:w="109"/>
        <w:gridCol w:w="109"/>
        <w:gridCol w:w="524"/>
        <w:gridCol w:w="527"/>
        <w:gridCol w:w="211"/>
        <w:gridCol w:w="109"/>
        <w:gridCol w:w="109"/>
        <w:gridCol w:w="109"/>
        <w:gridCol w:w="291"/>
        <w:gridCol w:w="357"/>
        <w:gridCol w:w="163"/>
        <w:gridCol w:w="109"/>
        <w:gridCol w:w="109"/>
        <w:gridCol w:w="109"/>
        <w:gridCol w:w="196"/>
        <w:gridCol w:w="736"/>
        <w:gridCol w:w="109"/>
        <w:gridCol w:w="109"/>
        <w:gridCol w:w="109"/>
        <w:gridCol w:w="109"/>
        <w:gridCol w:w="208"/>
        <w:gridCol w:w="800"/>
        <w:gridCol w:w="118"/>
        <w:gridCol w:w="109"/>
        <w:gridCol w:w="109"/>
        <w:gridCol w:w="109"/>
        <w:gridCol w:w="360"/>
        <w:gridCol w:w="745"/>
        <w:gridCol w:w="201"/>
        <w:gridCol w:w="109"/>
        <w:gridCol w:w="109"/>
        <w:gridCol w:w="109"/>
        <w:gridCol w:w="216"/>
        <w:gridCol w:w="813"/>
        <w:gridCol w:w="172"/>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Additional Paid-in 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Other Comprehensive 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Equity (Deficit)</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r>
              <w:rPr>
                <w:rFonts w:ascii="Times New Roman;sans-serif" w:hAnsi="Times New Roman;sans-serif"/>
                <w:b/>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Balances at December 31, 2023</w:t>
            </w:r>
          </w:p>
        </w:tc>
        <w:tc>
          <w:tcPr>
            <w:tcW w:w="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95,868,421 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602,198 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(479,068)</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123,139 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exercised</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126,000 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2,523 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1,174,282 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March 31, 2024</w:t>
            </w:r>
          </w:p>
        </w:tc>
        <w:tc>
          <w:tcPr>
            <w:tcW w:w="5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97,168,703 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605,229 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(480,471)</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124,767 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restricted stock units</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2,924,878 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under employee stock purchase plan</w:t>
            </w:r>
          </w:p>
        </w:tc>
        <w:tc>
          <w:tcPr>
            <w:tcW w:w="5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63,393 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Balances at June 30, 2024</w:t>
            </w:r>
          </w:p>
        </w:tc>
        <w:tc>
          <w:tcPr>
            <w:tcW w:w="50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100,156,974 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614,220 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(484,548)</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129,681 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bl>
      <w:tblPr>
        <w:tblW w:w="9431" w:type="dxa"/>
        <w:jc w:val="left"/>
        <w:tblInd w:w="0" w:type="dxa"/>
        <w:tblLayout w:type="fixed"/>
        <w:tblCellMar>
          <w:top w:w="28" w:type="dxa"/>
          <w:left w:w="28" w:type="dxa"/>
          <w:bottom w:w="28" w:type="dxa"/>
          <w:right w:w="28" w:type="dxa"/>
        </w:tblCellMar>
      </w:tblPr>
      <w:tblGrid>
        <w:gridCol w:w="2326"/>
        <w:gridCol w:w="2047"/>
        <w:gridCol w:w="2061"/>
        <w:gridCol w:w="250"/>
        <w:gridCol w:w="855"/>
        <w:gridCol w:w="129"/>
        <w:gridCol w:w="129"/>
        <w:gridCol w:w="129"/>
        <w:gridCol w:w="129"/>
        <w:gridCol w:w="250"/>
        <w:gridCol w:w="944"/>
        <w:gridCol w:w="182"/>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4,664 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33,561 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long-term liabilities</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(23,104)</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liabilities </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(3,807)</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short-term investments</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2021 ESPP</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 liabilities</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in cash and cash equivalents </w:t>
            </w:r>
          </w:p>
        </w:tc>
        <w:tc>
          <w:tcPr>
            <w:tcW w:w="1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8,328 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w:t>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36,593 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17,845 </w:t>
            </w:r>
          </w:p>
        </w:tc>
        <w:tc>
          <w:tcPr>
            <w:tcW w:w="1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disclosures of noncash activities</w:t>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included in accounts payable and accrued expenses</w:t>
            </w:r>
          </w:p>
        </w:tc>
        <w:tc>
          <w:tcPr>
            <w:tcW w:w="25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Honest Company,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June 30, 2024</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share and per share amounts, percentages and as otherwise indicated)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     Nature of Business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(the “Company”) was incorporated in the State of California on July 19, 2011 and on May 23, 2012 was re-incorporated in the State of Delaware under the same name. The Company is a personal care company dedicated to creating clean- and sustainably-designed products.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accounting principles generally accepted in the United States (“GAAP”) and applicable rules and regulations of the Securities and Exchange Commission (“SEC”) regarding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the audited consolidated financial statements and related notes for the year ended December 31, 2023. The condensed consolidated financial statements are unaudited. The unaudited interim condensed consolidated financial statements have been prepared on a basis consistent with that used to prepare the audited annual consolidated financial statements and include, in the opinion of management, all adjustments, consisting of normal recurring items, necessary for the fair statement of the condensed consolidated financial statements. The consolidated balance sheet as of December 31, 2023 has been derived from the audited financial statements at that date but does not include all of the disclosures required by GAAP.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wholly owned subsidiaries after elimination of intercompany transactions and balances.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Segment Reporting and Geographic Information</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Executive Officer (“CEO”), as the chief operating decision maker (“CODM”), organizes the Company, manages resource allocations, and measures performance on the basis of one operating segment. All of the Company’s long-lived assets are located in the United States and substantially all of the Company’s revenue is from customers located in the United States.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68" w:before="0" w:after="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affect the reported amounts of assets and liabilities, the disclosure of contingent assets and contingent liabilities at the date of the condensed consolidated financial statements and the reported amounts of revenues and expenses during the reporting period. Actual results could differ from those estimates. The Company’s estimates, which are subject to varying degrees of judgment, include the valuation of inventories, sales returns and allowances, allowances for credit losses, valuation of short-term investments, capitalized software, useful lives associated with long-lived assets, incremental borrowing rates associated with leases, valuation allowances with respect to deferred tax assets, accruals and contingencies, recoverability of non-cash marketing credits, recoverability of goodwill and long-lived assets, and the valuation and assumptions underlying stock-based compensation. On an ongoing basis, the Company evaluates its estimates compared to historical experience and trends, which form the basis for making judgments about the carrying value of assets and liabilities.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assessed certain accounting matters and estimates that generally require consideration of forecasted information in context with the information reasonably available to the Company as of June 30, 2024 and through the date these condensed consolidated financial statements were issued. Management is not aware of any specific event or circumstance that would require an update to estimates or judgments or a revision to the carrying value of assets or liabilities. However, these estimates and judgments may change as new events occur and additional information is obtained, which may result in changes being recognized in the Company’s consolidated financial statements in future periods.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equivalents consist of short-term, highly liquid investments with stated maturities of three months or less from the date of purchase. Cash equivalents comprise amounts invested in money market funds. </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are presented as net of allowance for credit losses. The Company does not accrue interest on its trade receivables. The Company evaluates accounts receivable estimated to be uncollectible by considering the lifetime expected credit losses of the Company's accounts receivable at time of inception, and records an allowance for credit losses, as necessary, with the balance of the Company's accounts receivable presented at the net realizable value. The Company considers factors in its allowance for credit losses such as historical analysis, credit quality of customers, the age of the accounts receivable balances and macroeconomic conditions that may impact the Company's customers' ability to pay. The allowance for credit losses was $0.5 million and $0.4 million as of June 30, 2024 and December 31, 2023, respectively.</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The Company uses the following hierarchy in measuring the fair value of the Company’s assets and liabilities, focusing on the most observable inputs when available:</w:t>
      </w:r>
    </w:p>
    <w:p>
      <w:pPr>
        <w:pStyle w:val="TextBody"/>
        <w:bidi w:val="0"/>
        <w:spacing w:before="0" w:after="0"/>
        <w:ind w:left="0" w:right="0" w:hanging="81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1 - Quoted prices in active markets for identical assets or liabilities. </w:t>
      </w:r>
    </w:p>
    <w:p>
      <w:pPr>
        <w:pStyle w:val="TextBody"/>
        <w:bidi w:val="0"/>
        <w:spacing w:lineRule="auto" w:line="268" w:before="0" w:after="0"/>
        <w:ind w:left="0" w:right="0" w:hanging="81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Observable inputs other than Level 1 quoted prices, such as quoted prices for similar assets and liabilities in active markets, quoted prices in markets that are not active for identical or similar assets and liabilities, or other inputs that are observable or can be corroborated by observable market data for substantially the full term of the assets or liabilities. </w:t>
      </w:r>
    </w:p>
    <w:p>
      <w:pPr>
        <w:pStyle w:val="TextBody"/>
        <w:bidi w:val="0"/>
        <w:spacing w:lineRule="auto" w:line="268" w:before="0" w:after="0"/>
        <w:ind w:left="0" w:right="0" w:hanging="810"/>
        <w:jc w:val="left"/>
        <w:rPr>
          <w:rFonts w:ascii="Times New Roman;sans-serif" w:hAnsi="Times New Roman;sans-serif"/>
          <w:b w:val="false"/>
          <w:color w:val="000000"/>
          <w:sz w:val="20"/>
        </w:rPr>
      </w:pPr>
      <w:r>
        <w:rPr>
          <w:rFonts w:ascii="Times New Roman;sans-serif" w:hAnsi="Times New Roman;sans-serif"/>
          <w:b w:val="false"/>
          <w:color w:val="000000"/>
          <w:sz w:val="20"/>
        </w:rPr>
        <w:t>Level 3 - Valuations are based on inputs that are unobservable and significant to the overall fair value measurement of the assets or liabilities. Inputs reflect management’s best estimate of what market participants would use in pricing the asset or liability at the measurement date. Consideration is given to the risk inherent in the valuation technique and the risk inherent in the inputs to the model.</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based on quoted market prices, if available. If listed prices or quotes are not available, fair value is based on internally developed models that primarily use market-based or independently sourced market parameters as inputs. Cash equivalents, consisting primarily of money market funds, represent highly liquid investments with maturities of three months or less at purchase. Market prices, which are Level 1 in the fair value hierarchy, are used to determine the fair value of the money market funds. Investments in debt securities are measured using broker provided indicative prices developed using observable market data, which are considered Level 2 in the fair value hierarchy. Certain assets, including long-lived assets, goodwill and intangible assets are also subject to measurement at fair value on a non-recurring basis if they are deemed to be impaired as a result of an impairment review. The fair value is measured using Level 3 inputs in the fair value hierarchy.</w:t>
      </w:r>
    </w:p>
    <w:p>
      <w:pPr>
        <w:pStyle w:val="TextBody"/>
        <w:bidi w:val="0"/>
        <w:spacing w:lineRule="auto" w:line="268" w:before="0" w:after="0"/>
        <w:jc w:val="both"/>
        <w:rPr/>
      </w:pPr>
      <w:r>
        <w:rPr>
          <w:rFonts w:ascii="Times New Roman;sans-serif" w:hAnsi="Times New Roman;sans-serif"/>
          <w:b/>
          <w:color w:val="000000"/>
          <w:sz w:val="20"/>
        </w:rPr>
        <w:t>Recent Accounting Pronouncements</w:t>
      </w:r>
      <w:r>
        <w:rPr>
          <w:color w:val="000000"/>
        </w:rPr>
        <w:t xml:space="preserve"> </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an “emerging growth company,” the Jumpstart Our Business Startups Act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Issued Accounting Pronouncements – Not Yet Adopted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expands reportable segment disclosure requirements, primarily through enhanced disclosures about significant segment expenses. The amendments in the ASU require that a public entity discloses, on an annual and interim basis, significant segment expenses that are regularly provided to an entity's CODM, a description of other segment items by reportable segment, and any additional measures of a segment's profit or loss used by the CODM when deciding how to allocate resources. The amendments in this ASU are effective for fiscal years beginning after December 15, 2023, and interim periods within fiscal years beginning after December 15, 2024. Retrospective application is required for all prior periods presented, and early adoption is permitted. The Company does not expect the adoption of ASU No. 2023-07 to have a material impact on the Company’s consolidated financial statements or disclosures.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Income Taxes: Improvements to Income Tax Disclosures. This guidance requires consistent categories and greater disaggregation of information in the rate reconciliation and disclosures of income taxes paid by jurisdiction. For public business entities, the amendments in this update are effective for annual periods beginning after December 15, 2024. The Company does not expect the adoption of ASU No. 2023-09 to have a material impact on the Company’s consolidated financial statements or disclosures.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333333"/>
          <w:sz w:val="20"/>
        </w:rPr>
      </w:pPr>
      <w:r>
        <w:rPr>
          <w:rFonts w:ascii="Times New Roman;sans-serif" w:hAnsi="Times New Roman;sans-serif"/>
          <w:b/>
          <w:color w:val="333333"/>
          <w:sz w:val="20"/>
        </w:rPr>
        <w:t xml:space="preserve">3.Revenue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The Company previously presented its revenue by sales channel of Digital and Retail and by product category of Diapers and Wipes, Skin and Personal Care and Household and Wellness. In determining the appropriate categories to use to disaggregate revenue in accordance with the requirements of Accounting Standards Codification Topic 606, </w:t>
      </w:r>
      <w:r>
        <w:rPr>
          <w:rFonts w:ascii="Times New Roman;sans-serif" w:hAnsi="Times New Roman;sans-serif"/>
          <w:b w:val="false"/>
          <w:i/>
          <w:color w:val="000000"/>
          <w:sz w:val="20"/>
        </w:rPr>
        <w:t xml:space="preserve">Revenue from Contracts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i/>
          <w:color w:val="000000"/>
          <w:sz w:val="20"/>
        </w:rPr>
        <w:t xml:space="preserve">Customers, </w:t>
      </w:r>
      <w:r>
        <w:rPr>
          <w:rFonts w:ascii="Times New Roman;sans-serif" w:hAnsi="Times New Roman;sans-serif"/>
          <w:b w:val="false"/>
          <w:color w:val="000000"/>
          <w:sz w:val="20"/>
        </w:rPr>
        <w:t xml:space="preserve">the Company had considered the information regularly reviewed by its CODM for evaluating its financial performance and making resource allocation decisions and the guidance to disaggregate revenue from contracts with customers into categories that depict how the nature, amount, timing, and uncertainty of revenue and cash flows are affected by economic factors. In 2023, the Company executed a broad-based Transformation Initiative with Brand Maximization as one of the Pillars designed to leverage the strength of the Honest brand. As part of its strategy to build the Honest brand, the Company’s CODM is evaluating the Company’s financial performance and making resource allocation decisions across the Company’s products as one brand of a portfolio of multiple products. As a result, in the first quarter of 2024, the Company removed the disaggregation of revenue by product category to align with changes made to the Company’s long-term strategy and began disaggregating revenue by direct-to-consumer and retail and third-party ecommerce customers. The change had no effect on the Company's results of operations or timing of revenue recognition. Presentation of disaggregated revenue by direct-to-consumer and retail and third-party ecommerce customers in prior periods have been modified to conform to the current period presentation.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Direct-to-Consumer</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direct sales to the consumer through the Company's website, Honest.com, the Company's performance obligation consists of the sale of finished goods to the consumer. Consumers may purchase products at any time or enter into subscription arrangements. Consumers place orders online in accordance with the Company's standard terms and conditions and authorize payment when the order is placed. Credit cards are charged at the time of shipment and payments are typically processed within two to three business days. For subscription arrangements, consumers sign up to receive products on a periodic basis. Subscriptions are cancellable at any time without penalty, and no amounts are collected from the consumer until products are shipped. Revenue is recognized when transfer of control to the consumer takes place, which is when the product is delivered to the carrier. Sales taxes collected from consumers are accounted for on a net basis and are excluded from revenue. Revenue generated from Honest.com was 13% and 19%, respectively, of the Company's total revenue during the three months ended June 30, 2024 and 2023, and 14% and 18%, respectively, of the Company's total revenue during the six months ended June 30, 2024 and 2023.</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Retail and Third-Party Ecommerce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retail and third-party ecommerce sales, the Company's performance obligation consists of the sale of finished goods to retailers and third-party ecommerce customers. Revenue is recognized when control of the promised goods is transferred to those customers at time of shipment or delivery, depending on the contract terms. After the completion of the performance obligation, the Company has the right to consideration as outlined in the contract. Payment terms vary among the retail and third-party ecommerce customers although terms generally include a requirement of payment within 30 to 45 days of product shipment.</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Non-Monetary Transactions</w:t>
      </w:r>
    </w:p>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in the past and may in the future enter into trade agreements with a vendor to exchange excess inventory for future marketing and transportation credits. The Company recognizes revenue reflecting the fair value of the marketing and transportation credits upon delivery of goods, with the corresponding short and long-term asset included in prepaid expenses and other current assets and other assets in the accompanying condensed consolidated balance sheets. The Company may use the marketing and transportation credits over four years from the date of the respective agreement, with an option to extend for another two years if agreed upon by both parties. For the six months ended June 30, 2024, the Company did not enter into any new trade agreements.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and 2023, the Company did not recognize any revenue or associated cost of revenue related to these marketing and transportation credits. The Company assesses the recoverability of the marketing and transportation credits periodically. Factors considered in evaluating the recoverability include management’s history of credit usage and future plans with respect to advertising, freight and other services for which these credits can be used. Any impairment losses are charged to operations as they become determinable. For the six months ended June 30, 2024 and 2023, the Company recorded no impairment losses related to these credits and used an aggregate of $1.5 million and $0.2 million of credits, respectively.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4.     Fair Value Measurements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measured and recorded at fair value on a recurring basis consist of the following as of:</w:t>
      </w:r>
    </w:p>
    <w:tbl>
      <w:tblPr>
        <w:tblW w:w="6316" w:type="dxa"/>
        <w:jc w:val="left"/>
        <w:tblInd w:w="0" w:type="dxa"/>
        <w:tblLayout w:type="fixed"/>
        <w:tblCellMar>
          <w:top w:w="28" w:type="dxa"/>
          <w:left w:w="28" w:type="dxa"/>
          <w:bottom w:w="28" w:type="dxa"/>
          <w:right w:w="28" w:type="dxa"/>
        </w:tblCellMar>
      </w:tblPr>
      <w:tblGrid>
        <w:gridCol w:w="706"/>
        <w:gridCol w:w="621"/>
        <w:gridCol w:w="623"/>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2"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before="0" w:after="0"/>
        <w:jc w:val="left"/>
        <w:rPr/>
      </w:pPr>
      <w:r>
        <w:rPr/>
      </w:r>
    </w:p>
    <w:tbl>
      <w:tblPr>
        <w:tblW w:w="6316" w:type="dxa"/>
        <w:jc w:val="left"/>
        <w:tblInd w:w="0" w:type="dxa"/>
        <w:tblLayout w:type="fixed"/>
        <w:tblCellMar>
          <w:top w:w="28" w:type="dxa"/>
          <w:left w:w="28" w:type="dxa"/>
          <w:bottom w:w="28" w:type="dxa"/>
          <w:right w:w="28" w:type="dxa"/>
        </w:tblCellMar>
      </w:tblPr>
      <w:tblGrid>
        <w:gridCol w:w="706"/>
        <w:gridCol w:w="621"/>
        <w:gridCol w:w="623"/>
        <w:gridCol w:w="211"/>
        <w:gridCol w:w="616"/>
        <w:gridCol w:w="109"/>
        <w:gridCol w:w="109"/>
        <w:gridCol w:w="109"/>
        <w:gridCol w:w="109"/>
        <w:gridCol w:w="213"/>
        <w:gridCol w:w="411"/>
        <w:gridCol w:w="110"/>
        <w:gridCol w:w="109"/>
        <w:gridCol w:w="109"/>
        <w:gridCol w:w="109"/>
        <w:gridCol w:w="213"/>
        <w:gridCol w:w="411"/>
        <w:gridCol w:w="110"/>
        <w:gridCol w:w="109"/>
        <w:gridCol w:w="109"/>
        <w:gridCol w:w="109"/>
        <w:gridCol w:w="211"/>
        <w:gridCol w:w="61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equivalents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for the Company’s cash equivalents, accounts receivable, accounts payable, and accrued expenses approximate fair value due to their short maturities.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5.     Credit Facilities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the Company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the Company’s accounts receivable and inventory as reduced by an availability block and certain reserves, if any.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The Company recognizes the commitment fee as incurred in interest and other income (expense), net in the condensed consolidated statements of comprehensive loss. For the three and six months ended June 30, 2024 and 2023, the commitment fee incurred was immaterial. As of June 30, 2024, there were $2.7 million outstanding letters of credit and $20.5 million available to be drawn upon. As of June 30, 2024, there was no outstanding balance under the 2023 Credit Facility.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the Company’s option, either (a) the Adjusted Term SOFR rate (subject to a 0.00% floor), plus a margin ranging from 1.50% to 2.25% or (b) the CB floating rate, (i) plus a margin of 0.25% or (ii) minus a margin ranging from 0.25% to 0.50%. The margin is based upon the Company’s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the Company’s material domestic subsidiaries and is secured by substantially all of the Company’s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the Company's ability to sell assets, make investments and acquisitions, grant liens, change the Company’s lines of business, pay dividends and make certain other restricted payments. The Company is subject to certain affirmative and negative covenants including the requirement that it maintains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June 30, 2024, the Company is in compliance with all covenants under the 2023 Credit Facility.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5"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6.     Accrued Expenses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6595" w:type="dxa"/>
        <w:jc w:val="left"/>
        <w:tblInd w:w="0" w:type="dxa"/>
        <w:tblLayout w:type="fixed"/>
        <w:tblCellMar>
          <w:top w:w="28" w:type="dxa"/>
          <w:left w:w="28" w:type="dxa"/>
          <w:bottom w:w="28" w:type="dxa"/>
          <w:right w:w="28" w:type="dxa"/>
        </w:tblCellMar>
      </w:tblPr>
      <w:tblGrid>
        <w:gridCol w:w="1167"/>
        <w:gridCol w:w="1027"/>
        <w:gridCol w:w="1030"/>
        <w:gridCol w:w="258"/>
        <w:gridCol w:w="883"/>
        <w:gridCol w:w="133"/>
        <w:gridCol w:w="109"/>
        <w:gridCol w:w="109"/>
        <w:gridCol w:w="109"/>
        <w:gridCol w:w="344"/>
        <w:gridCol w:w="1175"/>
        <w:gridCol w:w="251"/>
      </w:tblGrid>
      <w:tr>
        <w:trPr/>
        <w:tc>
          <w:tcPr>
            <w:tcW w:w="116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Payroll and payroll related expenses</w:t>
            </w:r>
            <w:r>
              <w:rPr>
                <w:rFonts w:ascii="Times New Roman;sans-serif" w:hAnsi="Times New Roman;sans-serif"/>
                <w:b w:val="false"/>
                <w:color w:val="000000"/>
                <w:sz w:val="13"/>
              </w:rPr>
              <w:t>(1)</w:t>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8,007 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inventory purchases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9,368 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returns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Accrued rent</w:t>
            </w:r>
            <w:r>
              <w:rPr>
                <w:rFonts w:ascii="Times New Roman;sans-serif" w:hAnsi="Times New Roman;sans-serif"/>
                <w:b w:val="false"/>
                <w:color w:val="000000"/>
                <w:sz w:val="13"/>
              </w:rPr>
              <w:t>(2)</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8,105 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Accrued restructuring</w:t>
            </w:r>
            <w:r>
              <w:rPr>
                <w:rFonts w:ascii="Times New Roman;sans-serif" w:hAnsi="Times New Roman;sans-serif"/>
                <w:b w:val="false"/>
                <w:color w:val="000000"/>
                <w:sz w:val="13"/>
              </w:rPr>
              <w:t>(3)</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6,104 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expenses</w:t>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31,332 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32,209 </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before="0" w:after="0"/>
        <w:jc w:val="both"/>
        <w:rPr/>
      </w:pPr>
      <w:r>
        <w:rPr/>
      </w:r>
    </w:p>
    <w:p>
      <w:pPr>
        <w:pStyle w:val="TextBody"/>
        <w:bidi w:val="0"/>
        <w:spacing w:lineRule="auto" w:line="276"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(1) Includes $1.1 million and $1.2 million of executive transition related expenses as of June 30, 2024 and December 31, 2023, respectively.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(2) Represents short-term operating lease liabilities. Refer to Note 12, "Leases" included in these condensed consolidated financial statements for more information on leases. </w:t>
      </w:r>
    </w:p>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 xml:space="preserve">(3) Refer to Note 13, "Restructuring" included in these condensed consolidated financial statements for more information on the Company's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3"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pPr>
      <w:r>
        <w:rPr>
          <w:rFonts w:ascii="Times New Roman;sans-serif" w:hAnsi="Times New Roman;sans-serif"/>
          <w:b/>
          <w:color w:val="000000"/>
          <w:sz w:val="20"/>
        </w:rPr>
        <w:t>7.    Commitments and Contingencies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Litigation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subject to various claims and contingencies which are in the scope of ordinary and routine litigation incidental to its business, including those related to regulation, business transactions, employee-related matters and taxes, among others. When the Company becomes aware of a claim or potential claim, the likelihood of any loss or exposure is assessed. If it is probable that a loss will result and the amount or range of the loss can be reasonably estimated, the Company records a liability for the loss and discloses the possible loss in the consolidated financial statements. Legal costs are expensed as incurred.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23, 2020, the Center for Advanced Public Awareness (“CAPA”) served a 60-Day Notice of Violation on the Company, alleging that the Company violated California’s Health and Safety Code (“Prop 65”) because of the amount of lead in the Company’s Diaper Rash Cream and seeking statutory penalties and product warnings available under Prop 65. On October 22, 2021, CAPA filed a complaint in California Superior Court in the County of San Francisco (the “Court”) for the alleged Prop 65 violations contained in its 60-Day Notice of Violation. The Company filed its answer and notice of related cases against Prestige Consumer Healthcare, Inc., Burt's Bees, Inc., and Hain Celestial Group, Inc. on January 7, 2022 and has stipulated to relate these cases and transfer them to the Court's Complex Division. On April 30, 2024, the Company filed its motion for summary judgment. The Company's motion for summary judgment is pending. The Company intends to vigorously defend itself in this matter. The matter’s outcome and materiality are uncertain at this time. Therefore, the Company cannot estimate the probability of loss or make an estimate of the loss or range of loss in this matter.</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On September 15, 2021, Cody Dixon filed a putative class action complaint in the U.S. District Court for the Central District of California alleging federal securities law violations by the Company, certain current officers and directors, and certain underwriters in connection with the Company’s initial public offering (“IPO”). A second putative class action complaint containing similar allegations against the Company and certain current officers and directors was filed by Stephen Gambino on October 8, 2021 in the U.S. District Court for the Central District of California. These related complaints have been transferred to the same court and a Lead Plaintiff has been appointed in the matter, and a putative consolidated class action complaint was filed by the Lead Plaintiff on February 21, 2022, alleging claims and seeking relief under Sections 11 and 15 of the Securities Act of 1933 relating to the Company’s IPO. Defendants’ motion to dismiss the putative consolidated class action complaint was filed on March 14, 2022. On July 18, 2022, the Company's motion to dismiss was granted in part and denied in part. On May 1, 2023, the Lead Plaintiff’s motion for class certification in the consolidated class action was granted in part and denied in part, with the U.S. District Court for the Central District of California limiting the certified class to only those persons and entities that purchased or otherwise acquired the Company’s publicly traded common stock pursuant and traceable to the Company’s IPO offering documents prior to August 19, 2021, as well as all persons and entities that acquired ownership of a trading account, retirement account, or any other similar investment account or portfolio containing the Company’s publicly traded common stock that was purchased or otherwise acquired pursuant and traceable to the IPO offering documents prior to August 19, 2021, and were damaged thereby. On August 14, 2023 the Lead Plaintiff filed an amended consolidated class action complaint naming as additional defendants Catterton Management Company L.L.C., L Catterton VIII, L.P., L. Catterton VIII Offshore, L.P., THC Shared Abacus, LP, Catterton Managing Partner VIII, L.L.C., and C8 Management, L.L.C. On October 16, 2023, those additional defendants filed a motion to dismiss the Second Amended Complaint with respect to the claims against them. On January 31, 2024, that motion to dismiss was granted by the court to the extent those additional defendants challenged the claims as untimely. The court granted Lead Plaintiff leave to amend within fourteen days of that order. On February 14, 2024, the Lead Plaintiff filed a further amended Second Amended Complaint against the additional defendants. The additional defendants filed a motion to dismiss the further amended Second Amended Complaint, which was denied by the court on April 22, 2024. A derivative complaint was filed by Hayato Ono on behalf of the Company on November 29, 2021 in the U.S. District Court for the Central District of California, alleging breach of fiduciary duties, unjust enrichment, waste, gross mismanagement, and federal securities law violations by the Company’s directors and certain officers. On December 17, 2021, a second derivative complaint containing similar allegations against the Company’s directors and certain officers was filed by Mike Wang in the U.S. District Court for the Central District of California. These two federal derivative cases have been transferred to the same judge who is presiding over the securities class action complaints. A third derivative complaint was filed by Leah Bisch and Raluca Corobana in California Superior Court for the County of Los Angeles on January 3, 2022 with similar allegations. A fourth derivative complaint was filed by David Butler in the U.S. District Court for the District of Delaware on October 19, 2022 with similar allegations. Each of these federal and state court derivative cases have been stayed pending the outcome of a motion for summary judgment in the securities class action. These matters are in the preliminary stages of litigation with uncertain outcomes at this time. Therefore, the Company cannot estimate the probability of loss or make an estimate of the loss or range of loss in these matters.</w:t>
      </w:r>
      <w:r>
        <w:rPr>
          <w:color w:val="FF0000"/>
        </w:rPr>
        <w:t xml:space="preser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10, 2022, Catrice Sida and Kris Yerby filed a putative class action complaint in the U.S. District Court for the Northern District of California alleging violations of California’s Unfair Competition Law, False Advertising Law, Consumers Legal Remedies Act, breach of warranty, and unjust enrichment related to plant-based claims on certain of the Company’s wipes products and seeking declaratory relief, injunctive relief, monetary damages, punitive damages and statutory penalties, and attorneys’ fees and costs. The Company filed its motion to dismiss on October 17, 2022. On December 6, 2022, the Company's motion to dismiss was denied. The Company’s motion to stay pending the Ninth Circuit Court of Appeals’ review of the Central District of California’s decision in Whiteside v. Kimberly-Clark Corp., No. 5:22-cv-1988 JGB (SPx), 2023 WL 4328175 (C.D.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4"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 June 1, 2023) was denied on September 5, 2023. On February 20, 2024, the parties filed a Notice of Settlement to notify the court that the parties have agreed to settle the matter on an individual, non-class basis. The Court granted the plaintiffs' Stipulation of Dismissal on July 2, 2024.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 Company was not subject to any other currently pending legal matters or claims that based on its current evaluation are expected to have a material adverse effect on its financial position, results of operations, or cash flows should such matters be resolved unfavorably.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may provide indemnifications of varying scope and terms to investors, directors and officers with respect to certain matters, including, but not limited to, losses arising out of the Company’s breach of such agreements, services to be provided by the Company, or from intellectual property infringement claims made by third parties. These indemnifications may survive termination of the underlying agreement and the maximum potential number of future payments the Company could be required to make under these indemnification provisions may not be subject to maximum loss clauses. The maximum potential number of future payments the Company could be required to make under these indemnification provisions is indeterminable. The Company has never been involved in litigation in connection with these indemnification arrangements. As of June 30, 2024 and December 31, 2023, the Company has not accrued a liability for these guarantees as the likelihood of incurring a payment obligation, if any, in connection with these guarantees is not probable or reasonably estimable due to the unique facts and circumstances involved.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8.     Stock-Based Compensation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stock option activity:</w:t>
      </w:r>
    </w:p>
    <w:tbl>
      <w:tblPr>
        <w:tblW w:w="8065" w:type="dxa"/>
        <w:jc w:val="left"/>
        <w:tblInd w:w="0" w:type="dxa"/>
        <w:tblLayout w:type="fixed"/>
        <w:tblCellMar>
          <w:top w:w="28" w:type="dxa"/>
          <w:left w:w="28" w:type="dxa"/>
          <w:bottom w:w="28" w:type="dxa"/>
          <w:right w:w="28" w:type="dxa"/>
        </w:tblCellMar>
      </w:tblPr>
      <w:tblGrid>
        <w:gridCol w:w="1097"/>
        <w:gridCol w:w="964"/>
        <w:gridCol w:w="969"/>
        <w:gridCol w:w="569"/>
        <w:gridCol w:w="569"/>
        <w:gridCol w:w="571"/>
        <w:gridCol w:w="109"/>
        <w:gridCol w:w="109"/>
        <w:gridCol w:w="109"/>
        <w:gridCol w:w="721"/>
        <w:gridCol w:w="1748"/>
        <w:gridCol w:w="530"/>
      </w:tblGrid>
      <w:tr>
        <w:trPr/>
        <w:tc>
          <w:tcPr>
            <w:tcW w:w="1097"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r>
      <w:tr>
        <w:trPr/>
        <w:tc>
          <w:tcPr>
            <w:tcW w:w="3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99"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December 31, 2023</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13,315,796 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(126,000)</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Forfeited/Cancelled</w:t>
            </w:r>
          </w:p>
        </w:tc>
        <w:tc>
          <w:tcPr>
            <w:tcW w:w="113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(58,388)</w:t>
            </w:r>
          </w:p>
        </w:tc>
        <w:tc>
          <w:tcPr>
            <w:tcW w:w="5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Outstanding at June 30, 2024</w:t>
            </w:r>
          </w:p>
        </w:tc>
        <w:tc>
          <w:tcPr>
            <w:tcW w:w="113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13,131,408 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5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2021 Equity Incentive Plan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Equity Incentive Plan (the “2021 Plan”), which became effective in connection with the IPO. All equity-based awards granted on or after the effectiveness of the 2021 Plan are granted under the 2021 Plan. The 2021 Plan provides for grants of incentive stock options (“ISOs”) within the meaning of Section 422 of the Internal Revenue Code of 1986, as amended (the “Code”), to the Company’s employees and its parent and subsidiary corporations’ employees, and for the grant of nonstatutory stock options (“NSOs”), stock appreciation rights, restricted stock awards, restricted stock units (“RSUs”) awards, performance awards and other forms of awards to the Company’s employees, directors and consultants and any of its affiliates’ employees and consultants. Initially, the maximum number of shares of the Company’s common stock that may be issued under its 2021 Plan will not exceed 25,025,580 shares of the Company’s common stock. In addition, the number of shares of the Company’s common stock reserved for issuance under its 2021 Plan will automatically increase on January 1 of each year for a period of ten years, beginning on January 1, 2022 and continuing through January 1, 2031, in an amount equal to (1) 4% of the total number of shares of the Company’s common stock outstanding on December 31 of the immediately preceding year, or (2) a lesser number of shares determined by the Company’s board of directors prior to the date of the increase. On January 1, 2024, 3,825,379 additional shares were reserved for issuance pursuant to this provision. The maximum number of shares of the Company’s common stock that may be issued on the exercise of ISOs under its 2021 Plan is 75,100,000 shares.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5"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RSU activity:</w:t>
      </w:r>
    </w:p>
    <w:tbl>
      <w:tblPr>
        <w:tblW w:w="10205" w:type="dxa"/>
        <w:jc w:val="left"/>
        <w:tblInd w:w="0" w:type="dxa"/>
        <w:tblLayout w:type="fixed"/>
        <w:tblCellMar>
          <w:top w:w="28" w:type="dxa"/>
          <w:left w:w="28" w:type="dxa"/>
          <w:bottom w:w="28" w:type="dxa"/>
          <w:right w:w="28" w:type="dxa"/>
        </w:tblCellMar>
      </w:tblPr>
      <w:tblGrid>
        <w:gridCol w:w="714"/>
        <w:gridCol w:w="627"/>
        <w:gridCol w:w="630"/>
        <w:gridCol w:w="553"/>
        <w:gridCol w:w="553"/>
        <w:gridCol w:w="554"/>
        <w:gridCol w:w="134"/>
        <w:gridCol w:w="134"/>
        <w:gridCol w:w="134"/>
        <w:gridCol w:w="775"/>
        <w:gridCol w:w="580"/>
        <w:gridCol w:w="582"/>
        <w:gridCol w:w="109"/>
        <w:gridCol w:w="109"/>
        <w:gridCol w:w="109"/>
        <w:gridCol w:w="503"/>
        <w:gridCol w:w="985"/>
        <w:gridCol w:w="172"/>
        <w:gridCol w:w="156"/>
        <w:gridCol w:w="156"/>
        <w:gridCol w:w="156"/>
        <w:gridCol w:w="527"/>
        <w:gridCol w:w="956"/>
        <w:gridCol w:w="297"/>
      </w:tblGrid>
      <w:tr>
        <w:trPr/>
        <w:tc>
          <w:tcPr>
            <w:tcW w:w="7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 Per Share</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Directors, Officers and Employees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Non-Employee Directors</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Directors, Officers and Employees</w:t>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December 31, 2023</w:t>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957,199 </w:t>
            </w:r>
          </w:p>
        </w:tc>
        <w:tc>
          <w:tcPr>
            <w:tcW w:w="5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7,299,254 </w:t>
            </w:r>
          </w:p>
        </w:tc>
        <w:tc>
          <w:tcPr>
            <w:tcW w:w="58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780"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545,178 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4,616,500 </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(632,583)</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(3,466,577)</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0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(397,925)</w:t>
            </w:r>
          </w:p>
        </w:tc>
        <w:tc>
          <w:tcPr>
            <w:tcW w:w="5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Unvested RSUs at June 30, 2024</w:t>
            </w:r>
          </w:p>
        </w:tc>
        <w:tc>
          <w:tcPr>
            <w:tcW w:w="11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869,794 </w:t>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8,051,252 </w:t>
            </w:r>
          </w:p>
        </w:tc>
        <w:tc>
          <w:tcPr>
            <w:tcW w:w="5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left"/>
        <w:rPr>
          <w:color w:val="000000"/>
        </w:rPr>
      </w:pPr>
      <w:r>
        <w:rPr>
          <w:color w:val="000000"/>
        </w:rPr>
        <w:t>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$21.5 million of unrecognized stock-based compensation expense related to unvested RSUs, which is expected to be recognized over a weighted-average period of 3.0 years.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2021 Employee Stock Purchase Plan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2021, the Company’s board of directors adopted the Company’s 2021 Employee Stock Purchase Plan (the “2021 ESPP”). The Company authorized the issuance of 1,175,000 shares of common stock under the 2021 ESPP. In addition, the number of shares available for issuance under the 2021 ESPP will be annually increased on January 1 of each year for a period of ten years, beginning on January 1, 2022 and continuing through January 1, 2031 by the lesser of (i) 1% of the total number of shares of common stock outstanding on December 31 of the immediately preceding year; and (ii) 3,525,000 shares, except before the date of any such increase, the Company’s board of directors may determine that such increase will be less than the amount set forth in clauses (i) and (ii). On January 1, 2024, 956,344 additional shares were reserved for issuance pursuant to this provision. Subject to any limitations contained therein, the 2021 ESPP allows eligible employees to contribute (in the form of payroll deductions or otherwise to the extent permitted by the administrator) an amount established by the administrator from time to time in its discretion to purchase common stock at a discounted price per share.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2021 ESPP, eligible employees are granted the right to purchase shares of common stock at the lower of 85% of the fair value at the time of grant or 85% of the fair value at the time of exercise. The right to purchase shares of common stock is granted in May and November of each year for an offering period of approximately six months. For the three and six months ended June 30, 2024, 63,393 shares were purchased under the 2021 ESPP. As of June 30, 2024, the Company had 3,649,345 remaining authorized shares available for purchase.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key input assumptions used in the Black-Scholes option-pricing model to estimate the grant-date fair value of the 2021 ESPP:</w:t>
      </w:r>
    </w:p>
    <w:p>
      <w:pPr>
        <w:pStyle w:val="TextBody"/>
        <w:bidi w:val="0"/>
        <w:spacing w:before="0" w:after="0"/>
        <w:jc w:val="left"/>
        <w:rPr/>
      </w:pPr>
      <w:r>
        <w:rPr/>
      </w:r>
    </w:p>
    <w:tbl>
      <w:tblPr>
        <w:tblW w:w="8573" w:type="dxa"/>
        <w:jc w:val="left"/>
        <w:tblInd w:w="0" w:type="dxa"/>
        <w:tblLayout w:type="fixed"/>
        <w:tblCellMar>
          <w:top w:w="28" w:type="dxa"/>
          <w:left w:w="28" w:type="dxa"/>
          <w:bottom w:w="28" w:type="dxa"/>
          <w:right w:w="28" w:type="dxa"/>
        </w:tblCellMar>
      </w:tblPr>
      <w:tblGrid>
        <w:gridCol w:w="1478"/>
        <w:gridCol w:w="1299"/>
        <w:gridCol w:w="1303"/>
        <w:gridCol w:w="412"/>
        <w:gridCol w:w="412"/>
        <w:gridCol w:w="1026"/>
        <w:gridCol w:w="412"/>
        <w:gridCol w:w="412"/>
        <w:gridCol w:w="412"/>
        <w:gridCol w:w="412"/>
        <w:gridCol w:w="412"/>
        <w:gridCol w:w="583"/>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pPr>
            <w:r>
              <w:rPr>
                <w:color w:val="000000"/>
              </w:rPr>
              <w:t>          </w:t>
            </w:r>
            <w:r>
              <w:rPr>
                <w:rFonts w:ascii="Times New Roman;sans-serif" w:hAnsi="Times New Roman;sans-serif"/>
                <w:b/>
                <w:color w:val="000000"/>
                <w:sz w:val="20"/>
              </w:rPr>
              <w:t xml:space="preserve">For the </w:t>
            </w:r>
            <w:r>
              <w:rPr>
                <w:rFonts w:ascii="Times New Roman;sans-serif" w:hAnsi="Times New Roman;sans-serif"/>
                <w:b/>
                <w:color w:val="000000"/>
                <w:sz w:val="22"/>
              </w:rPr>
              <w:t>six months ended June 30, 2024</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life of options (in years)</w:t>
            </w:r>
          </w:p>
        </w:tc>
        <w:tc>
          <w:tcPr>
            <w:tcW w:w="4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8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69.20 </w:t>
            </w:r>
          </w:p>
        </w:tc>
        <w:tc>
          <w:tcPr>
            <w:tcW w:w="10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79.27%</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44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5.43%</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4493" w:type="dxa"/>
            <w:gridSpan w:val="9"/>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r>
        <w:trPr/>
        <w:tc>
          <w:tcPr>
            <w:tcW w:w="40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 average grant-date fair value per share </w:t>
            </w:r>
          </w:p>
        </w:tc>
        <w:tc>
          <w:tcPr>
            <w:tcW w:w="18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$0.56</w:t>
            </w:r>
          </w:p>
        </w:tc>
        <w:tc>
          <w:tcPr>
            <w:tcW w:w="12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4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c>
      </w:tr>
    </w:tbl>
    <w:p>
      <w:pPr>
        <w:pStyle w:val="TextBody"/>
        <w:bidi w:val="0"/>
        <w:spacing w:before="0" w:after="0"/>
        <w:ind w:left="0" w:right="0" w:firstLine="720"/>
        <w:jc w:val="left"/>
        <w:rPr/>
      </w:pPr>
      <w:r>
        <w:rPr/>
      </w:r>
    </w:p>
    <w:p>
      <w:pPr>
        <w:pStyle w:val="TextBody"/>
        <w:bidi w:val="0"/>
        <w:spacing w:lineRule="auto" w:line="268" w:before="0" w:after="240"/>
        <w:jc w:val="both"/>
        <w:rPr>
          <w:rFonts w:ascii="Times New Roman;sans-serif" w:hAnsi="Times New Roman;sans-serif"/>
          <w:b/>
          <w:color w:val="000000"/>
          <w:sz w:val="20"/>
        </w:rPr>
      </w:pPr>
      <w:r>
        <w:rPr>
          <w:rFonts w:ascii="Times New Roman;sans-serif" w:hAnsi="Times New Roman;sans-serif"/>
          <w:b/>
          <w:color w:val="000000"/>
          <w:sz w:val="20"/>
        </w:rPr>
        <w:t>2023 Inducement Plan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the Company's Compensation Committee adopted the 2023 Inducement Plan (the “Inducement Plan”). The Inducement Plan reserved 4,000,000 shares of the Company’s common stock for issuance under the Inducement Plan to individuals who satisfy the standards for inducement grants under the relevant Nasdaq Stock Market rules. As of June 30, 2024, there were 275,083 shares available for future grant under the Inducement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6"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RSU awards, 2021 ESPP purchases and stock options, as applicable, are as follows:</w:t>
      </w:r>
    </w:p>
    <w:p>
      <w:pPr>
        <w:pStyle w:val="TextBody"/>
        <w:bidi w:val="0"/>
        <w:spacing w:before="0" w:after="0"/>
        <w:jc w:val="left"/>
        <w:rPr/>
      </w:pPr>
      <w:r>
        <w:rPr/>
      </w:r>
    </w:p>
    <w:tbl>
      <w:tblPr>
        <w:tblW w:w="9923" w:type="dxa"/>
        <w:jc w:val="left"/>
        <w:tblInd w:w="0" w:type="dxa"/>
        <w:tblLayout w:type="fixed"/>
        <w:tblCellMar>
          <w:top w:w="28" w:type="dxa"/>
          <w:left w:w="28" w:type="dxa"/>
          <w:bottom w:w="28" w:type="dxa"/>
          <w:right w:w="28" w:type="dxa"/>
        </w:tblCellMar>
      </w:tblPr>
      <w:tblGrid>
        <w:gridCol w:w="1248"/>
        <w:gridCol w:w="1097"/>
        <w:gridCol w:w="1105"/>
        <w:gridCol w:w="302"/>
        <w:gridCol w:w="882"/>
        <w:gridCol w:w="156"/>
        <w:gridCol w:w="156"/>
        <w:gridCol w:w="156"/>
        <w:gridCol w:w="156"/>
        <w:gridCol w:w="302"/>
        <w:gridCol w:w="882"/>
        <w:gridCol w:w="156"/>
        <w:gridCol w:w="109"/>
        <w:gridCol w:w="109"/>
        <w:gridCol w:w="109"/>
        <w:gridCol w:w="258"/>
        <w:gridCol w:w="881"/>
        <w:gridCol w:w="133"/>
        <w:gridCol w:w="133"/>
        <w:gridCol w:w="133"/>
        <w:gridCol w:w="133"/>
        <w:gridCol w:w="258"/>
        <w:gridCol w:w="881"/>
        <w:gridCol w:w="188"/>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5" w:before="0" w:after="0"/>
        <w:jc w:val="both"/>
        <w:rPr>
          <w:rFonts w:ascii="Times New Roman;sans-serif" w:hAnsi="Times New Roman;sans-serif"/>
          <w:b w:val="false"/>
          <w:i/>
          <w:color w:val="000000"/>
          <w:sz w:val="13"/>
        </w:rPr>
      </w:pPr>
      <w:r>
        <w:rPr>
          <w:rFonts w:ascii="Times New Roman;sans-serif" w:hAnsi="Times New Roman;sans-serif"/>
          <w:b w:val="false"/>
          <w:i/>
          <w:color w:val="000000"/>
          <w:sz w:val="13"/>
        </w:rPr>
        <w:t>________________________</w:t>
      </w:r>
    </w:p>
    <w:p>
      <w:pPr>
        <w:pStyle w:val="TextBody"/>
        <w:bidi w:val="0"/>
        <w:spacing w:lineRule="auto" w:line="288" w:before="0" w:after="0"/>
        <w:jc w:val="both"/>
        <w:rPr>
          <w:rFonts w:ascii="Times New Roman;sans-serif" w:hAnsi="Times New Roman;sans-serif"/>
          <w:b w:val="false"/>
          <w:color w:val="000000"/>
          <w:sz w:val="14"/>
        </w:rPr>
      </w:pPr>
      <w:r>
        <w:rPr>
          <w:rFonts w:ascii="Times New Roman;sans-serif" w:hAnsi="Times New Roman;sans-serif"/>
          <w:b w:val="false"/>
          <w:color w:val="000000"/>
          <w:sz w:val="14"/>
        </w:rPr>
        <w:t>(1) Includes $6.7 million and $2.6 million of stock-based compensation expense related to the acceleration of RSUs held by the Company's founder and the Company's former CEO, respectively, during the three months ended June 30, 2024 and 2023, respectively.</w:t>
      </w:r>
    </w:p>
    <w:p>
      <w:pPr>
        <w:pStyle w:val="TextBody"/>
        <w:bidi w:val="0"/>
        <w:spacing w:before="0" w:after="0"/>
        <w:ind w:left="0" w:right="0" w:firstLine="35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9.     Net Income (Loss) per Share Attributable to Common Stockholders</w:t>
      </w:r>
    </w:p>
    <w:p>
      <w:pPr>
        <w:pStyle w:val="TextBody"/>
        <w:bidi w:val="0"/>
        <w:spacing w:before="0" w:after="0"/>
        <w:ind w:left="0" w:right="0" w:hanging="47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net income (loss) per share using the two-class method required for participating securities. The two-class method requires net income be allocated between common stock and participating securities based upon their respective rights to receive dividends as if all income for the period had been distributed. In periods where the Company has net losses, losses are not allocated to participating securities as they are not required to fund the losses. </w:t>
      </w:r>
    </w:p>
    <w:p>
      <w:pPr>
        <w:pStyle w:val="TextBody"/>
        <w:bidi w:val="0"/>
        <w:spacing w:before="0" w:after="0"/>
        <w:jc w:val="left"/>
        <w:rPr/>
      </w:pPr>
      <w:r>
        <w:rPr/>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attributable to common stockholders per share is calculated by dividing net income (loss) attributable to common stockholders by the weighted-average number of shares of common stock outstanding. The Company computes diluted net income per share under a two-class method where income is reallocated between common stock, potential common stock and participating securities. Diluted net income (loss) per share attributable to common stockholders adjusts the basic net income (loss) per share attributable to common stockholders and the weighted-average number of shares of common stock outstanding for the potentially dilutive impact of stock options using the treasury stock method. </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basic and diluted net loss per share attributable to common stockholders:</w:t>
      </w:r>
    </w:p>
    <w:tbl>
      <w:tblPr>
        <w:tblW w:w="10205" w:type="dxa"/>
        <w:jc w:val="left"/>
        <w:tblInd w:w="0" w:type="dxa"/>
        <w:tblLayout w:type="fixed"/>
        <w:tblCellMar>
          <w:top w:w="28" w:type="dxa"/>
          <w:left w:w="28" w:type="dxa"/>
          <w:bottom w:w="28" w:type="dxa"/>
          <w:right w:w="28" w:type="dxa"/>
        </w:tblCellMar>
      </w:tblPr>
      <w:tblGrid>
        <w:gridCol w:w="1530"/>
        <w:gridCol w:w="1251"/>
        <w:gridCol w:w="1259"/>
        <w:gridCol w:w="270"/>
        <w:gridCol w:w="853"/>
        <w:gridCol w:w="125"/>
        <w:gridCol w:w="125"/>
        <w:gridCol w:w="125"/>
        <w:gridCol w:w="125"/>
        <w:gridCol w:w="270"/>
        <w:gridCol w:w="928"/>
        <w:gridCol w:w="125"/>
        <w:gridCol w:w="109"/>
        <w:gridCol w:w="109"/>
        <w:gridCol w:w="109"/>
        <w:gridCol w:w="253"/>
        <w:gridCol w:w="828"/>
        <w:gridCol w:w="120"/>
        <w:gridCol w:w="120"/>
        <w:gridCol w:w="120"/>
        <w:gridCol w:w="120"/>
        <w:gridCol w:w="253"/>
        <w:gridCol w:w="898"/>
        <w:gridCol w:w="180"/>
      </w:tblGrid>
      <w:tr>
        <w:trPr/>
        <w:tc>
          <w:tcPr>
            <w:tcW w:w="153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for share and per share values)</w:t>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 — basic and diluted</w:t>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of common stock outstanding — basic and diluted</w:t>
            </w:r>
          </w:p>
        </w:tc>
        <w:tc>
          <w:tcPr>
            <w:tcW w:w="11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99,078,930 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94,103,266 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97,676,049 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93,607,425 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shareholders: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(0.14)</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40"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3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potentially dilutive shares were excluded from the computation of diluted net income (loss) per share because including them would have been antidilutive: </w:t>
      </w:r>
    </w:p>
    <w:tbl>
      <w:tblPr>
        <w:tblW w:w="10205" w:type="dxa"/>
        <w:jc w:val="left"/>
        <w:tblInd w:w="0" w:type="dxa"/>
        <w:tblLayout w:type="fixed"/>
        <w:tblCellMar>
          <w:top w:w="28" w:type="dxa"/>
          <w:left w:w="28" w:type="dxa"/>
          <w:bottom w:w="28" w:type="dxa"/>
          <w:right w:w="28" w:type="dxa"/>
        </w:tblCellMar>
      </w:tblPr>
      <w:tblGrid>
        <w:gridCol w:w="985"/>
        <w:gridCol w:w="840"/>
        <w:gridCol w:w="843"/>
        <w:gridCol w:w="798"/>
        <w:gridCol w:w="329"/>
        <w:gridCol w:w="274"/>
        <w:gridCol w:w="274"/>
        <w:gridCol w:w="274"/>
        <w:gridCol w:w="274"/>
        <w:gridCol w:w="798"/>
        <w:gridCol w:w="329"/>
        <w:gridCol w:w="274"/>
        <w:gridCol w:w="109"/>
        <w:gridCol w:w="109"/>
        <w:gridCol w:w="109"/>
        <w:gridCol w:w="798"/>
        <w:gridCol w:w="307"/>
        <w:gridCol w:w="252"/>
        <w:gridCol w:w="252"/>
        <w:gridCol w:w="252"/>
        <w:gridCol w:w="252"/>
        <w:gridCol w:w="798"/>
        <w:gridCol w:w="307"/>
        <w:gridCol w:w="368"/>
      </w:tblGrid>
      <w:tr>
        <w:trPr/>
        <w:tc>
          <w:tcPr>
            <w:tcW w:w="98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68"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to purchase common stock</w:t>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13,131,408 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13,445,693 </w:t>
            </w:r>
          </w:p>
        </w:tc>
        <w:tc>
          <w:tcPr>
            <w:tcW w:w="2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13,131,408 </w:t>
            </w:r>
          </w:p>
        </w:tc>
        <w:tc>
          <w:tcPr>
            <w:tcW w:w="2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13,445,693 </w:t>
            </w:r>
          </w:p>
        </w:tc>
        <w:tc>
          <w:tcPr>
            <w:tcW w:w="3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8,921,046 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8,776,348 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8,921,046 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8,776,348 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44,245 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68,962 </w:t>
            </w:r>
          </w:p>
        </w:tc>
        <w:tc>
          <w:tcPr>
            <w:tcW w:w="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44,245 </w:t>
            </w:r>
          </w:p>
        </w:tc>
        <w:tc>
          <w:tcPr>
            <w:tcW w:w="2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68,962 </w:t>
            </w:r>
          </w:p>
        </w:tc>
        <w:tc>
          <w:tcPr>
            <w:tcW w:w="3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2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22,096,699 </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22,291,003 </w:t>
            </w:r>
          </w:p>
        </w:tc>
        <w:tc>
          <w:tcPr>
            <w:tcW w:w="2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22,096,699 </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22,291,003 </w:t>
            </w:r>
          </w:p>
        </w:tc>
        <w:tc>
          <w:tcPr>
            <w:tcW w:w="3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7"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quarterly provisions for income taxes, the Company uses the annual estimated effective tax rate applied to the actual year-to-date loss, adjusted for discrete items arising in that quarter. The Company’s annual estimated effective tax rate differs from the U.S. federal statutory rate of 21% primarily as a result of a valuation allowance against net deferred tax assets, stock-based compensation, state taxes, nondeductible executive compensation and other permanent differences.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available positive and negative evidence supporting the realization of its gross deferred tax assets, including cumulative losses, and the amount and timing of future taxable income, and has determined it is more likely than not that the assets will not be realized. Accordingly, the Company has recorded a full valuation allowance against the U.S. federal and state deferred tax assets as of each balance sheet date presented.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and 2023, the Company has not recorded any uncertain tax positions and has not recognized interest or penalties in the condensed consolidated statements of comprehensive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11.     Related Party Transactions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engaged Summit House Studios LLC, a third-party consultant, to provide digital ad production services. Summit House Studios LLC is owned by a major shareholder of the Company. Based on services provided, the Company did not incur any advertising costs for this related party during the three and six months ended June 30, 2024 and incurred an immaterial amount in the three and six months ended June 30, 2023, which is reported as marketing expense in the Company’s condensed consolidated statements of comprehensive loss.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12.    Leases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lease portfolio includes both real estate and non-real estate type leases which are accounted for as either finance or operating leases. Real estate leases generally include office and warehouse facilities and non-real estate leases generally include office equipment and machinery. The Company determines if a contract is or contains a lease at inception. The Company’s leases have remaining lease terms of less than one to three years.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were as follows (in thousands):</w:t>
      </w:r>
    </w:p>
    <w:tbl>
      <w:tblPr>
        <w:tblW w:w="8719" w:type="dxa"/>
        <w:jc w:val="left"/>
        <w:tblInd w:w="0" w:type="dxa"/>
        <w:tblLayout w:type="fixed"/>
        <w:tblCellMar>
          <w:top w:w="28" w:type="dxa"/>
          <w:left w:w="28" w:type="dxa"/>
          <w:bottom w:w="28" w:type="dxa"/>
          <w:right w:w="28" w:type="dxa"/>
        </w:tblCellMar>
      </w:tblPr>
      <w:tblGrid>
        <w:gridCol w:w="815"/>
        <w:gridCol w:w="714"/>
        <w:gridCol w:w="720"/>
        <w:gridCol w:w="302"/>
        <w:gridCol w:w="882"/>
        <w:gridCol w:w="156"/>
        <w:gridCol w:w="156"/>
        <w:gridCol w:w="156"/>
        <w:gridCol w:w="156"/>
        <w:gridCol w:w="302"/>
        <w:gridCol w:w="882"/>
        <w:gridCol w:w="156"/>
        <w:gridCol w:w="109"/>
        <w:gridCol w:w="109"/>
        <w:gridCol w:w="109"/>
        <w:gridCol w:w="282"/>
        <w:gridCol w:w="823"/>
        <w:gridCol w:w="145"/>
        <w:gridCol w:w="145"/>
        <w:gridCol w:w="145"/>
        <w:gridCol w:w="145"/>
        <w:gridCol w:w="282"/>
        <w:gridCol w:w="823"/>
        <w:gridCol w:w="205"/>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expense:</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0"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Operating lease expense</w:t>
            </w:r>
            <w:r>
              <w:rPr>
                <w:rFonts w:ascii="Times New Roman;sans-serif" w:hAnsi="Times New Roman;sans-serif"/>
                <w:b w:val="false"/>
                <w:color w:val="000000"/>
                <w:sz w:val="13"/>
              </w:rPr>
              <w:t>(1)</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Sublease income</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expense, net</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before="1" w:after="1"/>
        <w:ind w:left="0" w:right="0" w:hanging="720"/>
        <w:jc w:val="left"/>
        <w:rPr/>
      </w:pPr>
      <w:r>
        <w:rPr/>
      </w:r>
    </w:p>
    <w:p>
      <w:pPr>
        <w:pStyle w:val="TextBody"/>
        <w:bidi w:val="0"/>
        <w:spacing w:lineRule="auto" w:line="288" w:before="0" w:after="0"/>
        <w:ind w:left="0" w:right="0" w:hanging="720"/>
        <w:jc w:val="left"/>
        <w:rPr>
          <w:rFonts w:ascii="Times New Roman;sans-serif" w:hAnsi="Times New Roman;sans-serif"/>
          <w:b w:val="false"/>
          <w:color w:val="000000"/>
          <w:sz w:val="13"/>
        </w:rPr>
      </w:pPr>
      <w:r>
        <w:rPr>
          <w:rFonts w:ascii="Times New Roman;sans-serif" w:hAnsi="Times New Roman;sans-serif"/>
          <w:b w:val="false"/>
          <w:color w:val="000000"/>
          <w:sz w:val="13"/>
        </w:rPr>
        <w:t xml:space="preserve">(1)     Represents the straight-line lease expense of operating leases, inclusive of amortization of ROU assets and the interest component of operating lease liabilities.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nature of the Right-Of-Use (“ROU”) assets, amortization of finance leases and amortization of operating ROU assets, operating lease expense and other lease expense are recorded within either cost of revenue or selling, general and administrative expenses and interest on finance lease liabilities is recorded within interest and other expense, net in the condensed consolidated statements of comprehensive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8"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amount of lease assets and lease liabilities included in the Company’s condensed consolidated balance sheets (in thousands):</w:t>
      </w:r>
    </w:p>
    <w:p>
      <w:pPr>
        <w:pStyle w:val="TextBody"/>
        <w:bidi w:val="0"/>
        <w:spacing w:before="0" w:after="0"/>
        <w:ind w:left="0" w:right="0" w:firstLine="720"/>
        <w:jc w:val="left"/>
        <w:rPr/>
      </w:pPr>
      <w:r>
        <w:rPr/>
      </w:r>
    </w:p>
    <w:tbl>
      <w:tblPr>
        <w:tblW w:w="8182" w:type="dxa"/>
        <w:jc w:val="left"/>
        <w:tblInd w:w="0" w:type="dxa"/>
        <w:tblLayout w:type="fixed"/>
        <w:tblCellMar>
          <w:top w:w="28" w:type="dxa"/>
          <w:left w:w="28" w:type="dxa"/>
          <w:bottom w:w="28" w:type="dxa"/>
          <w:right w:w="28" w:type="dxa"/>
        </w:tblCellMar>
      </w:tblPr>
      <w:tblGrid>
        <w:gridCol w:w="794"/>
        <w:gridCol w:w="702"/>
        <w:gridCol w:w="708"/>
        <w:gridCol w:w="109"/>
        <w:gridCol w:w="109"/>
        <w:gridCol w:w="109"/>
        <w:gridCol w:w="1333"/>
        <w:gridCol w:w="1333"/>
        <w:gridCol w:w="1338"/>
        <w:gridCol w:w="109"/>
        <w:gridCol w:w="109"/>
        <w:gridCol w:w="109"/>
        <w:gridCol w:w="256"/>
        <w:gridCol w:w="877"/>
        <w:gridCol w:w="187"/>
      </w:tblGrid>
      <w:tr>
        <w:trPr/>
        <w:tc>
          <w:tcPr>
            <w:tcW w:w="794"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20,528 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25,872 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related to the Company’s leases for the six months ended June 30, 2024 was as follows:</w:t>
      </w:r>
    </w:p>
    <w:p>
      <w:pPr>
        <w:pStyle w:val="TextBody"/>
        <w:bidi w:val="0"/>
        <w:spacing w:before="0" w:after="0"/>
        <w:ind w:left="0" w:right="0" w:firstLine="720"/>
        <w:jc w:val="left"/>
        <w:rPr/>
      </w:pPr>
      <w:r>
        <w:rPr/>
      </w:r>
    </w:p>
    <w:tbl>
      <w:tblPr>
        <w:tblW w:w="8358" w:type="dxa"/>
        <w:jc w:val="left"/>
        <w:tblInd w:w="0" w:type="dxa"/>
        <w:tblLayout w:type="fixed"/>
        <w:tblCellMar>
          <w:top w:w="28" w:type="dxa"/>
          <w:left w:w="28" w:type="dxa"/>
          <w:bottom w:w="28" w:type="dxa"/>
          <w:right w:w="28" w:type="dxa"/>
        </w:tblCellMar>
      </w:tblPr>
      <w:tblGrid>
        <w:gridCol w:w="2614"/>
        <w:gridCol w:w="2296"/>
        <w:gridCol w:w="2305"/>
        <w:gridCol w:w="211"/>
        <w:gridCol w:w="616"/>
        <w:gridCol w:w="316"/>
      </w:tblGrid>
      <w:tr>
        <w:trPr/>
        <w:tc>
          <w:tcPr>
            <w:tcW w:w="2614"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remaining lease term (in years)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leases</w:t>
            </w:r>
          </w:p>
        </w:tc>
        <w:tc>
          <w:tcPr>
            <w:tcW w:w="114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discount rate</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2.30 </w:t>
            </w:r>
          </w:p>
        </w:tc>
        <w:tc>
          <w:tcPr>
            <w:tcW w:w="3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Cash paid for amounts included in the measurement of lease liabilities (in thousands)</w:t>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Operating cash flows for operating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ans-serif" w:hAnsi="Times New Roman;sans-serif"/>
                <w:b w:val="false"/>
                <w:color w:val="000000"/>
                <w:sz w:val="20"/>
              </w:rPr>
              <w:t>Financing cash flows for finance leases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215"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have any non-cash ROU assets obtained in exchange for lease liabilities during the six months ended June 30, 2024 for either finance or operating leases.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13.     Restructuring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Transformation Initiative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2023, the Company executed a broad-based Transformation Initiative designed to build the Honest brand and drive growth in higher-margin areas of the portfolio, strengthen the Company’s cost structure, drive focus on the most productive areas of the Company’s business, deliver greater impact from brand-building investments, and improve executional excellence across the enterprise. The restructuring element of the Transformation Initiative was substantially completed by December 31,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the Company did not incur any restructuring costs.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accrued restructuring expenses as of June 30, 2024 relating to the Transformation Initiative were: </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34"/>
        <w:gridCol w:w="557"/>
        <w:gridCol w:w="559"/>
        <w:gridCol w:w="514"/>
        <w:gridCol w:w="1136"/>
        <w:gridCol w:w="266"/>
        <w:gridCol w:w="109"/>
        <w:gridCol w:w="109"/>
        <w:gridCol w:w="109"/>
        <w:gridCol w:w="416"/>
        <w:gridCol w:w="801"/>
        <w:gridCol w:w="216"/>
        <w:gridCol w:w="109"/>
        <w:gridCol w:w="109"/>
        <w:gridCol w:w="109"/>
        <w:gridCol w:w="453"/>
        <w:gridCol w:w="874"/>
        <w:gridCol w:w="235"/>
        <w:gridCol w:w="109"/>
        <w:gridCol w:w="109"/>
        <w:gridCol w:w="109"/>
        <w:gridCol w:w="281"/>
        <w:gridCol w:w="821"/>
        <w:gridCol w:w="146"/>
        <w:gridCol w:w="109"/>
        <w:gridCol w:w="109"/>
        <w:gridCol w:w="109"/>
        <w:gridCol w:w="211"/>
        <w:gridCol w:w="616"/>
        <w:gridCol w:w="161"/>
      </w:tblGrid>
      <w:tr>
        <w:trPr/>
        <w:tc>
          <w:tcPr>
            <w:tcW w:w="63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ans-serif" w:hAnsi="Times New Roman;sans-serif"/>
                <w:b/>
                <w:color w:val="000000"/>
                <w:sz w:val="20"/>
              </w:rPr>
              <w:t>Employee-Related Costs</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Asset-Related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Contract Terminations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Inventory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5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 (adjustments)</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asset write-offs</w:t>
            </w:r>
          </w:p>
        </w:tc>
        <w:tc>
          <w:tcPr>
            <w:tcW w:w="1916"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5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9"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 Included in accrued expenses as of June 30, 2024. Refer to Note 6, “Accrued Expenses” included elsewhere in these condensed consolidated financial statements.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costs associated with the restructuring initiatives once the relevant accounting criteria have been met. Accrued restructuring costs of $0.2 million related to severance costs as of June 30, 2024 are expected to result in cash expenditures funded from cash provided by operations in future periods and are included in accrued expenses on the condensed consolidated balance sheets. </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2023 (the “Annual Report”), filed with the Securities and Exchange Commission (“SEC”) on March 8, 2024.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as well as in the Annual Report for a discussion of important factors that could cause our actual results to differ materially from those anticipated in these forward-looking statements. Unless the context otherwise requires, all references in this Quarterly Report on Form 10-Q to “we,” “us,” “our,” “our company,” “the Company” and “Honest” refer to The Honest Company, Inc. and its consolidated subsidiaries. </w:t>
      </w:r>
    </w:p>
    <w:p>
      <w:pPr>
        <w:pStyle w:val="TextBody"/>
        <w:bidi w:val="0"/>
        <w:spacing w:before="0" w:after="0"/>
        <w:jc w:val="left"/>
        <w:rPr/>
      </w:pPr>
      <w:r>
        <w:rPr/>
      </w:r>
    </w:p>
    <w:p>
      <w:pPr>
        <w:pStyle w:val="TextBody"/>
        <w:bidi w:val="0"/>
        <w:spacing w:lineRule="auto" w:line="268" w:before="1" w:after="1"/>
        <w:jc w:val="left"/>
        <w:rPr/>
      </w:pPr>
      <w:r>
        <w:rPr>
          <w:color w:val="000000"/>
        </w:rPr>
        <w:t> </w:t>
      </w:r>
      <w:r>
        <w:rPr>
          <w:rFonts w:ascii="Times New Roman;sans-serif" w:hAnsi="Times New Roman;sans-serif"/>
          <w:b/>
          <w:color w:val="000000"/>
          <w:sz w:val="20"/>
        </w:rPr>
        <w:t xml:space="preserve">Overview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Honest Company, Inc. (“Honest” and, together with its consolidated subsidiaries, the “Company,” “we,” “us” and “our”) is a personal care company dedicated to creating clean- and sustainably-designed products. Our commitment to our core values, continual innovation and engaging our community has differentiated and elevated our brand and our products. Since our launch in 2012, we have been dedicated to developing clean, sustainable, effective and thoughtfully-designed products. By doing so with transparency, we have cultivated deep trust around what matters most to our consumers: their health, their families and their homes. We are an omnichannel brand, ensuring our products are available wherever our consumers shop. Our differentiated platform positions us for continued growth through our trusted brand, award-winning multi-category product offerings and omnichannel accessibility.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integrated multi-category product architecture is intentionally designed to serve our consumers every day, at every age and through every life stage, no matter where they are on their journey. We believe this drives loyalty, increases our consumer wallet share and generates attractive consumer lifetime value.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consumers are modern, aspirational, conscious and style-forward and that they seek out high quality, effective and thoughtfully-designed products. We believe that they are passionate about living a conscious life and are enthusiastic ambassadors for brands they trust. As purpose-driven consumers, they transcend any one demographic, spanning gender, age, geography, ethnicity and household income. Honest consumers are often young, mobile-centric and digitally-inclined. We build relationships with these consumers through a disruptive digital marketing strategy that engages them with “snackable” digital content (short-form, easily digestible content), immerses them in our brand values, and inspires them to join the Honest community. Our direct connection with our community enables us to understand what consumers’ needs are and inspires our product innovation pipeline, generating a significant competitive advantage over more traditional consumer packaged goods (“CPG”) peers.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omnichannel approach seeks to meet consumers wherever they want to shop, balancing deep consumer connection with broad convenience and accessibility. Since our launch, we have built a well-integrated omnichannel presence by expanding our product accessibility, including the launch of strategic partnerships with Target, Amazon and Walmart in 2014, 2017 and 2022, respectively. We maintain direct relationships with our consumers via our flagship digital platform, Honest.com, which allows us to influence brand experience and better understand consumer preferences and behavior. We increase accessibility of our products to more consumers through both the third-party pureplay ecommerce sites, Honest.com and leading retailers and their websites. As of June 30, 2024, our products can be found in approximately 50,000 retail locations across the United States and Canada. The decline in retail locations compared to December 31, 2023 relates to the exit of our low-margin business in Europe and Asia and a few smaller retail customer bankruptcies. Our integrated omnichannel presence provides meaningful benefits to our consumers which we believe are not easily replicated by our competitors. This distinctive business model has allowed us to efficiently scale our business while remaining agnostic as to the channel where consumers purchase our products. </w:t>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20"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Transformation Initiative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2023, we executed a broad-based Transformation Initiative designed to build the Honest brand and drive growth in higher-margin areas of the portfolio, strengthen our cost structure, drive focus on the most productive areas of our business, deliver greater impact from brand-building investments, and improve executional excellence across the enterprise. The restructuring element of the Transformation Initiative was substantially completed by December 31, 2023. The Company expects to continue driving benefits from its three Transformation Pillars of Brand Maximization, Margin Enhancement, and Operating Discipline:</w:t>
      </w:r>
    </w:p>
    <w:p>
      <w:pPr>
        <w:pStyle w:val="TextBody"/>
        <w:bidi w:val="0"/>
        <w:spacing w:before="0" w:after="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Brand Maximization</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Leveraging the strength of the Honest brand to drive growth through innovation, margin-accretive products, and marketing effectiveness.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impact of additional pricing increases across the majority of our product portfolio throughout 2023, following pricing increases in 2022 that resulted in revenue growth driven by both volume and pricing.</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Margin Enhancement</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Focusing our resources on North America, which includes the exit of our low-margin business in Europe and Asia.</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Exiting low-margin elements of the cleaning and sanitization business in 2023.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Executing an inventory, or stock-keeping unit (“SKU”), rationalization program in 2023.</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Re-directing resources to accelerate cost savings, including optimization of our contract manufacturing strategies, reduced shipping and logistic costs, and product costs.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Realigning resources to reflect the prioritization of higher-margin opportunities.</w:t>
      </w:r>
    </w:p>
    <w:p>
      <w:pPr>
        <w:pStyle w:val="TextBody"/>
        <w:bidi w:val="0"/>
        <w:spacing w:before="0" w:after="0"/>
        <w:ind w:left="0" w:right="0" w:hanging="270"/>
        <w:jc w:val="left"/>
        <w:rPr/>
      </w:pPr>
      <w:r>
        <w:rPr/>
      </w:r>
    </w:p>
    <w:p>
      <w:pPr>
        <w:pStyle w:val="TextBody"/>
        <w:bidi w:val="0"/>
        <w:spacing w:lineRule="auto" w:line="268"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3) Operating Discipline</w:t>
      </w:r>
    </w:p>
    <w:p>
      <w:pPr>
        <w:pStyle w:val="TextBody"/>
        <w:bidi w:val="0"/>
        <w:spacing w:before="0" w:after="0"/>
        <w:ind w:left="0" w:right="0" w:hanging="27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Building a culture that emphasizes returns across growth drivers, including marketing, trade promotion, and innovation.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Managing working capital including the reduction of inventory.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further details on the restructuring element of the Transformation Initiative, refer to Note 13, “Restructuring” included in our unaudited condensed consolidated financial statements.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Key Factors Affecting Our Performance</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 growth of our business and our future success are dependent on many factors. While each of these factors presents significant opportunities for us, they also pose important challenges that we must successfully address to enable us to sustain the growth of our business and improve our operations while staying true to our mission, including those discussed below and in the section titled “Risk Factors” in this Quarterly Report on Form 10-Q and in our Annual Report.</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Ability to Grow Our Brand Awareness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brand is integral to the growth of our business and is essential to our ability to engage and stay connected with the growing clean products consumer. In order to increase the share of wallet of existing conscious consumers and to attract new consumers, our brand has to maintain its trustworthiness and authenticity. Our ability to attract new consumers will depend, among other things, on our ability to successfully produce products that are free of defects and communicate the value of those products as clean, sustainable and effective, the efficacy of our marketing efforts and the offerings of our competitors. Beyond preserving the integrity of our brand, our performance will depend on our ability to augment our reach and increase the number of consumers aware of Honest and our product portfolio. As part of the Transformation Pillars, we have been focused on Brand Maximization, including improving the return on marketing by reducing marketing spend on low-return campaigns and emphasizing best-selling items, focusing on the most profitable areas of our business. We believe our brand strength will enable us to continue to launch new products, allowing us to deepen relationships with consumers. Our performance depends significantly on factors that may affect the level and pattern of consumer spending in the product categories in which we operate.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Innovation</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development and innovation are core elements underpinning our growth strategy. Through our in-house research and development laboratories, we are able to access the latest advancements in clean ingredients and continue to innovate in the clean conscious space. Based in Los Angeles, California, our research and development team, including chemists, an in-house toxicologist and an eco-toxicologist, develops innovative clean products based on the latest green technology. At Honest, product innovation is top of mind. The improvement of existing products and the introduction of new products have been, and continue to be, integral to our growth. We have made significant investments in our product development capabilities and plan to continue to do so in the future. We believe our rigorous approach to product innovation has helped redefine and grow the clean and natural product categories in which we operate. Our continued focus on research and development will be central to attracting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1"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retaining consumers in the future. Our ability to successfully develop, market and sell new products will depend on a variety of factors, including our continued investment in innovation, integrated business planning processes and capabilities.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Product Growth</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mix is a driver of our financial performance given our focus on accretive product launches and innovation to increase product margins. Even though our growth strategy aims to boost sales across all products by increasing total distribution, we intend to prioritize growth in products with attractive margin characteristics, including skin care, and leverage our brand equity and consumer insights to extend into new products. We are also committed to bringing our Honest Standard to new products where we believe there is a need for a higher standard for clean personal care.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Continued Execution of Omnichannel Strategy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continued execution of our omnichannel strategy impacts our financial performance. We intend to continue leveraging our marketing strategy to drive increased consumer awareness and leverage our flagship digital platform, Honest.com, to create direct connections with our consumers, influence brand experience and understand consumer preference and behavior. Our partnerships with leading third-party retail platforms and national retailers have broadened our consumer reach, raised our brand awareness and enhanced our margins through operating leverage. We will continue to pursue partnerships with a wide variety of retailers, including mass retailers, online retailers, club retailers, grocery stores, drugstores and specialty retailers. Our ability to execute this strategy will depend on a number of factors, such as competitive dynamics and retailers’ satisfaction with the sales and profitability of our products, channel shifts of their customers, and their own supply chain, order timing, and inventory needs, which may fluctuate from period to period. </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ans-serif" w:hAnsi="Times New Roman;sans-serif"/>
          <w:b/>
          <w:i/>
          <w:color w:val="000000"/>
          <w:sz w:val="20"/>
        </w:rPr>
        <w:t>Operational and Marketing Efficienc</w:t>
      </w:r>
      <w:r>
        <w:rPr>
          <w:rFonts w:ascii="Times New Roman;sans-serif" w:hAnsi="Times New Roman;sans-serif"/>
          <w:b/>
          <w:color w:val="000000"/>
          <w:sz w:val="20"/>
        </w:rPr>
        <w:t>y</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grow our business, we intend to continue to improve our operational and marketing efficiency, which includes attracting new consumers, increasing community engagement and improving fulfillment and distribution operations. We invest significant resources in marketing and content generation, use a variety of brand and performance marketing channels and work continuously to improve brand exposure at our retail customers to acquire new consumers. It is important to maintain reasonable costs for these marketing efforts relative to the revenue we expect to derive from our consumers. We leverage our proprietary data and systems to generate valuable consumer insights that guide our omnichannel strategy and inform our marketing spend optimization. Our future success depends in part on our ability to effectively attract consumers on a cost-efficient basis and achieve efficiencies in our operations. In addition, we believe we have been able to achieve some operational and marketing efficiency as part of cost savings in connection with our Brand Maximization Transformation Pillar.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marketing model is inclusive of a best-in-class modern approach across paid, owned, and earned marketing channels. Additionally, we have optimized our spend in an omnichannel distribution model, which has led to spending less on media driving directly to Honest.com and investing more in driving to our retailer and other digital partners.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Overall Macro Trends</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strategically positioned ourselves to benefit from several macro trends related to changes in consumer behavior. We believe consumers’ increasing interest in purpose-designed products has contributed to higher demand for certain of our products. At the same time, changes in macro-level trends, including as a result of global pandemics or other macroeconomic conditions, such as inflation, have resulted and could in the future result in fluctuations in our operating results.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val="false"/>
          <w:i/>
          <w:color w:val="000000"/>
          <w:sz w:val="20"/>
        </w:rPr>
      </w:pPr>
      <w:r>
        <w:rPr>
          <w:rFonts w:ascii="Times New Roman;sans-serif" w:hAnsi="Times New Roman;sans-serif"/>
          <w:b w:val="false"/>
          <w:i/>
          <w:color w:val="000000"/>
          <w:sz w:val="20"/>
        </w:rPr>
        <w:t>Business Operations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Global economic and political uncertainty have increased due to the impact of continued inflationary pressures, adverse impact on confidence in financial markets and geopolitical events, including the conflict in Ukraine and the Israel-Hamas war. Additionally, the extent of the impact of macroeconomic trends on the Company’s operational and financial performance in the future will depend on future developments. Prolonged unfavorable economic conditions, including as a result of global pandemics, rising inflation and interest rates and any resulting recession or slowed economic growth, have had and may continue to have an adverse effect on our sales and profitability. All of these factors are difficult to predict considering the rapidly evolving landscape as the Company continues to expect a variable operating environment going forward.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Supply Chain Disruptions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and continues to be an adverse impact on global economic conditions, specifically inflationary pressures, which has adversely affected our supply chain in regards to cost of goods sold. We have experienced and anticipate continued increases in product costs and labor costs due to inflationary pressures and higher transportation costs from ocean container delivery, which has in the past and could continue to hamper our ability to drive margin expansion. We have taken measures to bolster key aspects of our supply chain, such as ensuring sufficient inventory to support our continued growth, minimizing lead times for raw materials, and implementing a robust cost-savings program, as part of our Operating Discipline Transformation Pillar. We expect to continue to receive fulfillment costs savings due to warehouse and labor operational efficiencies gained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2"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newer Las Vegas, Nevada fulfillment center partner. If we are not successful in negotiating future renewals with our other fulfillment partner such that these renewals are at increased costs to us, our business, financial condition, results of operations and prospects could be adversely affected. In January 2024, we negotiated better purchase price terms with one of our third-party manufacturers, Ontex. However, we have experienced purchase price increases from our third-party manufacturers in the past and could face escalation of purchase costs and cost of revenue in the future.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implemented price increases that took effect in 2022 and 2023 and we may implement additional price increases in the future as needed to offset current and future input cost inflation and to pursue productivity initiatives to offset inflation. However, we may not be able to increase our prices or productivity sufficiently enough to offset these costs. Customer demand for our products may change based on price increases.</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Consumer Preferences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in the power of our omnichannel distribution model. We believe consumers value the flexibility in terms of where and when they choose to purchase Honest products. We also believe that consumers research their personal care ingredients and recognize the quality of Honest products, knowing that there are over 3,500 chemicals and materials that we choose not to formulate with.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Inventory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reflected at net realizable value which includes a reserve for excess inventory. We estimate reserve requirements based on current and forecasted demand, including the ability to liquidate excess inventory and estimated liquidation value. As a part of the Transformation Initiative, we exited certain low-margin household products and implemented an inventory, or SKU rationalization, program in 2023, which resulted in our recording an inventory write-down and earmarking donations primarily related to the liquidation of low-margin household products. We continue to incur inventory write-downs each quarter, as necessary. Depending on future consumer behavior in relation to the macroeconomic environment or otherwise and related aging of inventory, among other factors, we have and expect to incur in the future additional inventory write-downs, customer returns or incur donation expense or disposal costs as we reduce excess inventory. </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before="0" w:after="0"/>
        <w:ind w:left="0" w:right="0" w:firstLine="720"/>
        <w:jc w:val="left"/>
        <w:rPr/>
      </w:pPr>
      <w:r>
        <w:rPr/>
      </w:r>
    </w:p>
    <w:p>
      <w:pPr>
        <w:pStyle w:val="TextBody"/>
        <w:bidi w:val="0"/>
        <w:spacing w:lineRule="auto" w:line="28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through sales of our products directly to consumers through our website, sales to traditional brick and mortar retailers and their respective websites, and sales to third-party ecommerce customers, and such retailers or third-party ecommerce customers may also resell our products through their own respective online platforms. Our revenue is recognized net of allowances for returns, discounts, credits and any taxes collected from consumers.</w:t>
      </w:r>
    </w:p>
    <w:p>
      <w:pPr>
        <w:pStyle w:val="TextBody"/>
        <w:bidi w:val="0"/>
        <w:spacing w:before="1" w:after="1"/>
        <w:jc w:val="left"/>
        <w:rPr/>
      </w:pPr>
      <w:r>
        <w:rPr/>
      </w:r>
    </w:p>
    <w:p>
      <w:pPr>
        <w:pStyle w:val="TextBody"/>
        <w:bidi w:val="0"/>
        <w:spacing w:lineRule="auto" w:line="26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 xml:space="preserve">We had previously presented our revenue by sales channel of Digital and Retail and by product category of Diapers and Wipes, Skin and Personal Care and Household and Wellness. In determining the appropriate categories to use to disaggregate revenue in accordance with the requirements of Accounting Standards Codification Topic 606, </w:t>
      </w:r>
      <w:r>
        <w:rPr>
          <w:rFonts w:ascii="Times New Roman;sans-serif" w:hAnsi="Times New Roman;sans-serif"/>
          <w:b w:val="false"/>
          <w:i/>
          <w:color w:val="000000"/>
          <w:sz w:val="20"/>
        </w:rPr>
        <w:t xml:space="preserve">Revenue from Contracts with Customers, </w:t>
      </w:r>
      <w:r>
        <w:rPr>
          <w:rFonts w:ascii="Times New Roman;sans-serif" w:hAnsi="Times New Roman;sans-serif"/>
          <w:b w:val="false"/>
          <w:color w:val="000000"/>
          <w:sz w:val="20"/>
        </w:rPr>
        <w:t xml:space="preserve">we had considered the information regularly reviewed by our chief operating decision maker (“CODM”) for evaluating our financial performance and making resource allocation decisions and the guidance to disaggregate revenue from contracts with customers into categories that depict how the nature, amount, timing, and uncertainty of revenue and cash flows are affected by economic factors. In 2023, we executed a broad-based Transformation Initiative with Brand Maximization as one of the Pillars designed to leverage the strength of the Honest brand. As part of our strategy to build the Honest brand, our CODM evaluates our financial performance and makes resource allocation decisions across our products as one brand of a portfolio of multiple products. As a result, in the first quarter of 2024, we removed the disaggregation of revenue by product category to align with changes made to our long-term strategy and we began disaggregating revenue by direct-to-consumer and retail and third-party ecommerce customers. The change had no effect on our results of operations or timing of revenue recognition.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includes the purchase price of merchandise sold to customers, inbound and outbound shipping and handling costs, freight and duties, shipping and packaging supplies, credit card processing fees and warehouse fulfillment costs incurred in operating and staffing warehouses, including rent. Cost of revenue also includes depreciation and amortization for warehouse fulfillment facilities and equipment, allocated overhead and direct and indirect labor for warehouse personnel, inventory reserves and destruction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3"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and Gross Margin </w:t>
      </w:r>
    </w:p>
    <w:p>
      <w:pPr>
        <w:pStyle w:val="TextBody"/>
        <w:bidi w:val="0"/>
        <w:spacing w:before="1" w:after="1"/>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represents revenue less cost of revenue. Gross margin is gross profit expressed as a percentage of revenue. Our gross margin may in the future fluctuate from period to period based on a number of factors, including commodity costs, manufacturing costs, warehousing and transportation rates, the promotional environment in the marketplace, the mix of products we sell, the channel through which we sell our products, and innovation initiatives we undertake in each product category, among other factors. </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selling, general and administrative, marketing and research and development expenses. </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 costs, principally for our selling and administrative functions. These include personnel-related expenses, including salaries, bonuses, benefits and stock-based compensation expenses. Selling, general and administrative expenses also include technology expenses; professional fees, including audit and legal expenses; donation expenses including tariffs; facility costs, including insurance, utilities and rent relating to our headquarters; third-party service fees related to our supplier services agreement for Honest Baby Clothing, our baby apparel business; and, depreciation and amortization expenses. We expect our general and administrative expenses to decrease as a percentage of revenue as we continue to grow our business and organizational capabilities and efficiencies. We expect in the future to incur additional third-party professional fees related to compliance obligations as a public company. </w:t>
      </w:r>
    </w:p>
    <w:p>
      <w:pPr>
        <w:pStyle w:val="TextBody"/>
        <w:bidi w:val="0"/>
        <w:spacing w:before="0" w:after="0"/>
        <w:ind w:left="0" w:right="0" w:firstLine="72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Marketing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expenses include costs related to our branding initiatives, retail customer marketing activities, point of purchase displays, targeted online advertising through sponsored search, display advertising, email and influencer marketing campaigns, market research, content production and other public relations and promotional initiatives. Given higher costs in digital marketing and increased retail distribution, we have shifted the focus of our marketing spend towards supporting retail marketing programs and top of funnel marketing activities. We will continue to invest in marketing initiatives in our best-selling products with key retailers, as well as expand brand awareness, introduce new product innovation across multiple product categories and implement new marketing strategies. As we launch new products, we expect to make marketing investments to build brand awareness, drive trial and set the foundation for future revenue growth.</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Research and development expenses consist primarily of personnel-related expenses for our research and development team. Research and development expenses also include costs incurred for the development of new products, improvement in the quality of existing</w:t>
      </w:r>
      <w:r>
        <w:rPr>
          <w:color w:val="000000"/>
        </w:rPr>
        <w:t xml:space="preserve"> </w:t>
      </w:r>
      <w:r>
        <w:rPr>
          <w:rFonts w:ascii="Times New Roman;sans-serif" w:hAnsi="Times New Roman;sans-serif"/>
          <w:b w:val="false"/>
          <w:color w:val="000000"/>
          <w:sz w:val="20"/>
        </w:rPr>
        <w:t xml:space="preserve">products and the development and implementation of new technologies to enhance the quality and value of products. This includes the expense related to claims and clinical trials as well as formulation and packaging testing. Research and development expenses also include allocated depreciation and amortization and overhead costs. We expect research and development expenses to increase in absolute dollars as we invest in the enhancement of our product offerings through innovation and the introduction of new adjacent product categories. </w:t>
      </w:r>
    </w:p>
    <w:p>
      <w:pPr>
        <w:pStyle w:val="TextBody"/>
        <w:bidi w:val="0"/>
        <w:spacing w:before="0" w:after="0"/>
        <w:ind w:left="0" w:right="0" w:firstLine="27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and Other Income (Expense), Net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consists primarily of interest income earned on our short-term investments and our cash and cash equivalents balances. Interest expense includes fees incurred under our 2023 Credit Facility, including commitment fees and debt issuance costs. </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consists of our foreign currency exchange gains, losses relating to transactions denominated in currencies other than the U.S. dollar and contingent gains. We expect our foreign currency gains and losses to be immaterial in future periods but continue to fluctuate due to changes in both the volume of foreign currency transactions and foreign currency exchange rates. </w:t>
      </w:r>
    </w:p>
    <w:p>
      <w:pPr>
        <w:pStyle w:val="TextBody"/>
        <w:bidi w:val="0"/>
        <w:spacing w:before="1" w:after="1"/>
        <w:jc w:val="left"/>
        <w:rPr/>
      </w:pPr>
      <w:r>
        <w:rPr/>
      </w:r>
    </w:p>
    <w:p>
      <w:pPr>
        <w:pStyle w:val="TextBody"/>
        <w:bidi w:val="0"/>
        <w:spacing w:lineRule="auto" w:line="268" w:before="0" w:after="0"/>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 Provision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federal and state income taxes in the United States. Our annual estimated tax rate differed from the U.S. federal statutory rate of 21% primarily as a result of a valuation allowance against deferred tax assets, stock-based compensation, state taxes, nondeductible executive compensation and other permanent differences. We maintain a full valuation allowance for our federal and state deferred tax assets, including net operating loss carryforwards, as we have concluded that it is not more likely than not that the deferred tax assets will be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4"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70" w:after="283"/>
        <w:jc w:val="left"/>
        <w:rPr>
          <w:color w:val="000000"/>
        </w:rPr>
      </w:pPr>
      <w:r>
        <w:rPr>
          <w:color w:val="000000"/>
        </w:rPr>
        <w:t> </w:t>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condensed consolidated statements of operations data for each of the periods indicated: </w:t>
      </w:r>
    </w:p>
    <w:tbl>
      <w:tblPr>
        <w:tblW w:w="9813" w:type="dxa"/>
        <w:jc w:val="left"/>
        <w:tblInd w:w="0" w:type="dxa"/>
        <w:tblLayout w:type="fixed"/>
        <w:tblCellMar>
          <w:top w:w="28" w:type="dxa"/>
          <w:left w:w="28" w:type="dxa"/>
          <w:bottom w:w="28" w:type="dxa"/>
          <w:right w:w="28" w:type="dxa"/>
        </w:tblCellMar>
      </w:tblPr>
      <w:tblGrid>
        <w:gridCol w:w="1211"/>
        <w:gridCol w:w="1064"/>
        <w:gridCol w:w="1069"/>
        <w:gridCol w:w="267"/>
        <w:gridCol w:w="914"/>
        <w:gridCol w:w="138"/>
        <w:gridCol w:w="138"/>
        <w:gridCol w:w="138"/>
        <w:gridCol w:w="138"/>
        <w:gridCol w:w="267"/>
        <w:gridCol w:w="1009"/>
        <w:gridCol w:w="138"/>
        <w:gridCol w:w="109"/>
        <w:gridCol w:w="109"/>
        <w:gridCol w:w="109"/>
        <w:gridCol w:w="237"/>
        <w:gridCol w:w="930"/>
        <w:gridCol w:w="122"/>
        <w:gridCol w:w="122"/>
        <w:gridCol w:w="122"/>
        <w:gridCol w:w="122"/>
        <w:gridCol w:w="237"/>
        <w:gridCol w:w="930"/>
        <w:gridCol w:w="173"/>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93,049 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179,266 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61,646 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111,772 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124,832 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35,612 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67,494 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Selling, general and administrative</w:t>
            </w:r>
            <w:r>
              <w:rPr>
                <w:rFonts w:ascii="Times New Roman;sans-serif" w:hAnsi="Times New Roman;sans-serif"/>
                <w:b w:val="false"/>
                <w:color w:val="000000"/>
                <w:sz w:val="13"/>
              </w:rPr>
              <w:t>(1)</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48,850 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(1)</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39,657 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36,285 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72,853 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75,145 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(4,045)</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(13,387)</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(32,044)</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1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(13,396)</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(5,441)</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(32,242)</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1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__________________________</w:t>
      </w:r>
    </w:p>
    <w:p>
      <w:pPr>
        <w:pStyle w:val="TextBody"/>
        <w:bidi w:val="0"/>
        <w:spacing w:lineRule="auto" w:line="268" w:before="1" w:after="1"/>
        <w:jc w:val="both"/>
        <w:rPr/>
      </w:pPr>
      <w:r>
        <w:rPr>
          <w:rFonts w:ascii="Times New Roman;sans-serif" w:hAnsi="Times New Roman;sans-serif"/>
          <w:b w:val="false"/>
          <w:color w:val="000000"/>
          <w:sz w:val="12"/>
        </w:rPr>
        <w:t>(1)    </w:t>
      </w:r>
      <w:r>
        <w:rPr>
          <w:rFonts w:ascii="Times New Roman;sans-serif" w:hAnsi="Times New Roman;sans-serif"/>
          <w:b w:val="false"/>
          <w:color w:val="000000"/>
          <w:sz w:val="18"/>
        </w:rPr>
        <w:t xml:space="preserve">Includes stock-based compensation expense as follows: </w:t>
      </w:r>
    </w:p>
    <w:tbl>
      <w:tblPr>
        <w:tblW w:w="9473" w:type="dxa"/>
        <w:jc w:val="left"/>
        <w:tblInd w:w="0" w:type="dxa"/>
        <w:tblLayout w:type="fixed"/>
        <w:tblCellMar>
          <w:top w:w="28" w:type="dxa"/>
          <w:left w:w="28" w:type="dxa"/>
          <w:bottom w:w="28" w:type="dxa"/>
          <w:right w:w="28" w:type="dxa"/>
        </w:tblCellMar>
      </w:tblPr>
      <w:tblGrid>
        <w:gridCol w:w="1085"/>
        <w:gridCol w:w="955"/>
        <w:gridCol w:w="960"/>
        <w:gridCol w:w="302"/>
        <w:gridCol w:w="882"/>
        <w:gridCol w:w="156"/>
        <w:gridCol w:w="156"/>
        <w:gridCol w:w="156"/>
        <w:gridCol w:w="156"/>
        <w:gridCol w:w="302"/>
        <w:gridCol w:w="882"/>
        <w:gridCol w:w="156"/>
        <w:gridCol w:w="109"/>
        <w:gridCol w:w="109"/>
        <w:gridCol w:w="109"/>
        <w:gridCol w:w="258"/>
        <w:gridCol w:w="881"/>
        <w:gridCol w:w="133"/>
        <w:gridCol w:w="133"/>
        <w:gridCol w:w="133"/>
        <w:gridCol w:w="133"/>
        <w:gridCol w:w="258"/>
        <w:gridCol w:w="881"/>
        <w:gridCol w:w="188"/>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w:t>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10,040 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5"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condensed consolidated statements of operations data expressed as a percentage of revenue*:</w:t>
      </w:r>
    </w:p>
    <w:tbl>
      <w:tblPr>
        <w:tblW w:w="10145" w:type="dxa"/>
        <w:jc w:val="left"/>
        <w:tblInd w:w="0" w:type="dxa"/>
        <w:tblLayout w:type="fixed"/>
        <w:tblCellMar>
          <w:top w:w="28" w:type="dxa"/>
          <w:left w:w="28" w:type="dxa"/>
          <w:bottom w:w="28" w:type="dxa"/>
          <w:right w:w="28" w:type="dxa"/>
        </w:tblCellMar>
      </w:tblPr>
      <w:tblGrid>
        <w:gridCol w:w="1209"/>
        <w:gridCol w:w="1064"/>
        <w:gridCol w:w="1071"/>
        <w:gridCol w:w="350"/>
        <w:gridCol w:w="350"/>
        <w:gridCol w:w="350"/>
        <w:gridCol w:w="350"/>
        <w:gridCol w:w="350"/>
        <w:gridCol w:w="350"/>
        <w:gridCol w:w="350"/>
        <w:gridCol w:w="350"/>
        <w:gridCol w:w="350"/>
        <w:gridCol w:w="109"/>
        <w:gridCol w:w="109"/>
        <w:gridCol w:w="109"/>
        <w:gridCol w:w="328"/>
        <w:gridCol w:w="328"/>
        <w:gridCol w:w="328"/>
        <w:gridCol w:w="328"/>
        <w:gridCol w:w="328"/>
        <w:gridCol w:w="328"/>
        <w:gridCol w:w="328"/>
        <w:gridCol w:w="328"/>
        <w:gridCol w:w="328"/>
        <w:gridCol w:w="109"/>
        <w:gridCol w:w="109"/>
        <w:gridCol w:w="154"/>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a percentage of revenue)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w:t>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5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4"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bidi w:val="0"/>
        <w:spacing w:before="1" w:after="1"/>
        <w:jc w:val="left"/>
        <w:rPr/>
      </w:pPr>
      <w:r>
        <w:rPr/>
      </w:r>
    </w:p>
    <w:p>
      <w:pPr>
        <w:pStyle w:val="TextBody"/>
        <w:bidi w:val="0"/>
        <w:spacing w:lineRule="auto" w:line="268" w:before="0" w:after="0"/>
        <w:jc w:val="left"/>
        <w:rPr/>
      </w:pPr>
      <w:r>
        <w:rPr>
          <w:rFonts w:ascii="Times New Roman;sans-serif" w:hAnsi="Times New Roman;sans-serif"/>
          <w:b w:val="false"/>
          <w:color w:val="231F20"/>
          <w:sz w:val="13"/>
        </w:rPr>
        <w:t>*</w:t>
      </w:r>
      <w:r>
        <w:rPr>
          <w:color w:val="231F20"/>
        </w:rPr>
        <w:t xml:space="preserve"> </w:t>
      </w:r>
      <w:r>
        <w:rPr>
          <w:rFonts w:ascii="Times New Roman;sans-serif" w:hAnsi="Times New Roman;sans-serif"/>
          <w:b w:val="false"/>
          <w:color w:val="231F20"/>
          <w:sz w:val="13"/>
        </w:rPr>
        <w:t>Amounts</w:t>
      </w:r>
      <w:r>
        <w:rPr>
          <w:color w:val="231F20"/>
        </w:rPr>
        <w:t xml:space="preserve"> </w:t>
      </w:r>
      <w:r>
        <w:rPr>
          <w:rFonts w:ascii="Times New Roman;sans-serif" w:hAnsi="Times New Roman;sans-serif"/>
          <w:b w:val="false"/>
          <w:color w:val="231F20"/>
          <w:sz w:val="13"/>
        </w:rPr>
        <w:t>may</w:t>
      </w:r>
      <w:r>
        <w:rPr>
          <w:color w:val="231F20"/>
        </w:rPr>
        <w:t xml:space="preserve"> </w:t>
      </w:r>
      <w:r>
        <w:rPr>
          <w:rFonts w:ascii="Times New Roman;sans-serif" w:hAnsi="Times New Roman;sans-serif"/>
          <w:b w:val="false"/>
          <w:color w:val="231F20"/>
          <w:sz w:val="13"/>
        </w:rPr>
        <w:t>not sum</w:t>
      </w:r>
      <w:r>
        <w:rPr>
          <w:color w:val="231F20"/>
        </w:rPr>
        <w:t xml:space="preserve"> </w:t>
      </w:r>
      <w:r>
        <w:rPr>
          <w:rFonts w:ascii="Times New Roman;sans-serif" w:hAnsi="Times New Roman;sans-serif"/>
          <w:b w:val="false"/>
          <w:color w:val="231F20"/>
          <w:sz w:val="13"/>
        </w:rPr>
        <w:t>due to rounding.</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Three and Six Months Ended June 30, 2024 and 2023 </w:t>
      </w:r>
    </w:p>
    <w:p>
      <w:pPr>
        <w:pStyle w:val="TextBody"/>
        <w:bidi w:val="0"/>
        <w:spacing w:before="1" w:after="1"/>
        <w:jc w:val="left"/>
        <w:rPr/>
      </w:pPr>
      <w:r>
        <w:rPr/>
      </w:r>
    </w:p>
    <w:p>
      <w:pPr>
        <w:pStyle w:val="TextBody"/>
        <w:bidi w:val="0"/>
        <w:spacing w:lineRule="auto" w:line="26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11665" w:type="dxa"/>
        <w:jc w:val="left"/>
        <w:tblInd w:w="0" w:type="dxa"/>
        <w:tblLayout w:type="fixed"/>
        <w:tblCellMar>
          <w:top w:w="28" w:type="dxa"/>
          <w:left w:w="28" w:type="dxa"/>
          <w:bottom w:w="28" w:type="dxa"/>
          <w:right w:w="28" w:type="dxa"/>
        </w:tblCellMar>
      </w:tblPr>
      <w:tblGrid>
        <w:gridCol w:w="304"/>
        <w:gridCol w:w="268"/>
        <w:gridCol w:w="269"/>
        <w:gridCol w:w="211"/>
        <w:gridCol w:w="721"/>
        <w:gridCol w:w="109"/>
        <w:gridCol w:w="109"/>
        <w:gridCol w:w="109"/>
        <w:gridCol w:w="109"/>
        <w:gridCol w:w="211"/>
        <w:gridCol w:w="721"/>
        <w:gridCol w:w="109"/>
        <w:gridCol w:w="109"/>
        <w:gridCol w:w="109"/>
        <w:gridCol w:w="109"/>
        <w:gridCol w:w="285"/>
        <w:gridCol w:w="285"/>
        <w:gridCol w:w="286"/>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315"/>
        <w:gridCol w:w="315"/>
        <w:gridCol w:w="316"/>
        <w:gridCol w:w="109"/>
        <w:gridCol w:w="109"/>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5"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was $93.0 million for the three months ended June 30, 2024, as compared to $84.5 million for the three months ended June 30, 2023. The increase of $8.5 million, or 10.1%, was primarily due to an increase in baby apparel revenue of $4.3 million, an increase in wipes revenue of $3.2 million, an increase in baby personal care revenue of $3.0 million and an increase in diaper revenue of $2.7 million, as well as lower trade spend compared to the three months ended June 30, 2023, partially offset by a decline in Honest.com revenue of $3.5 million and a decline in skincare and color cosmetics revenue of $1.4 million. We estimate that pricing increases taken in 2023 contributed $2.6 million to revenue for the three months ended June 30,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 was $179.3 million for the six months ended June 30, 2024, as compared to $167.9 million for the six months ended June 30, 2023. The increase of $11.3 million, or 6.7%, was primarily due to an increase in baby apparel revenue of $9.7 million, an increase in wipes revenue of $5.0 million and an increase in baby personal care revenue of $4.0 million, as well as lower trade spend compared to the six months ended June 30, 2023, partially offset by a decline in Honest.com revenue of $5.6 million and a decline in skincare and color cosmetics of $2.8 million. We estimate that pricing increases taken in 2023 contributed $5.8 million to revenue for the six months ended June 30, 2024.</w:t>
      </w:r>
    </w:p>
    <w:p>
      <w:pPr>
        <w:pStyle w:val="TextBody"/>
        <w:bidi w:val="0"/>
        <w:spacing w:before="0" w:after="0"/>
        <w:ind w:left="0" w:right="0" w:firstLine="720"/>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6"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Profit</w:t>
      </w:r>
    </w:p>
    <w:p>
      <w:pPr>
        <w:pStyle w:val="TextBody"/>
        <w:bidi w:val="0"/>
        <w:spacing w:before="1" w:after="1"/>
        <w:jc w:val="left"/>
        <w:rPr/>
      </w:pPr>
      <w:r>
        <w:rPr/>
      </w:r>
    </w:p>
    <w:tbl>
      <w:tblPr>
        <w:tblW w:w="11790" w:type="dxa"/>
        <w:jc w:val="left"/>
        <w:tblInd w:w="0" w:type="dxa"/>
        <w:tblLayout w:type="fixed"/>
        <w:tblCellMar>
          <w:top w:w="28" w:type="dxa"/>
          <w:left w:w="28" w:type="dxa"/>
          <w:bottom w:w="28" w:type="dxa"/>
          <w:right w:w="28" w:type="dxa"/>
        </w:tblCellMar>
      </w:tblPr>
      <w:tblGrid>
        <w:gridCol w:w="277"/>
        <w:gridCol w:w="244"/>
        <w:gridCol w:w="24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315"/>
        <w:gridCol w:w="315"/>
        <w:gridCol w:w="316"/>
        <w:gridCol w:w="109"/>
        <w:gridCol w:w="109"/>
        <w:gridCol w:w="109"/>
        <w:gridCol w:w="211"/>
        <w:gridCol w:w="826"/>
        <w:gridCol w:w="109"/>
        <w:gridCol w:w="109"/>
        <w:gridCol w:w="109"/>
        <w:gridCol w:w="109"/>
        <w:gridCol w:w="211"/>
        <w:gridCol w:w="826"/>
        <w:gridCol w:w="109"/>
        <w:gridCol w:w="109"/>
        <w:gridCol w:w="109"/>
        <w:gridCol w:w="109"/>
        <w:gridCol w:w="211"/>
        <w:gridCol w:w="736"/>
        <w:gridCol w:w="109"/>
        <w:gridCol w:w="109"/>
        <w:gridCol w:w="109"/>
        <w:gridCol w:w="109"/>
        <w:gridCol w:w="315"/>
        <w:gridCol w:w="315"/>
        <w:gridCol w:w="316"/>
        <w:gridCol w:w="109"/>
        <w:gridCol w:w="109"/>
        <w:gridCol w:w="15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was $57.4 million for the three months ended June 30, 2024, as compared to $61.6 million for the three months ended June 30, 2023. The decrease of $4.2 million, or 6.8%, was primarily driven by lower transportation, product, and fulfillment costs as we focus on operating discipline. Cost of revenue as a percentage of revenue decreased by 1,119 basis points primarily due to these cost savings, price increases and lower trade promotion levels as compared to the three months ended June 30,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was $111.8 million for the six months ended June 30, 2024, as compared to $124.8 million for the six months ended June 30, 2023. The decrease of $13.1 million, or 10.5%, was primarily driven by lower transportation, product, and fulfillment costs as we focus on operating discipline, as well as a one-time reduction of $3.0 million in costs as a result of the Transformation Initiative recognized during the six months ended June 30, 2023. Cost of revenue as a percentage of revenue decreased by 1,198 basis points primarily due to these cost savings, price increases and lower trade promotion levels as compared to the six months ended June 30,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was $35.6 million for the three months ended June 30, 2024, as compared to $22.9 million for the three months ended June 30, 2023. The increase of $12.7 million, or 55.5%, was primarily related to cost savings, including reduced transportation, product and fulfillment costs, price increases, volume growth and efficient trade spend.</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was $67.5 million for the six months ended June 30, 2024, as compared to $43.1 million for the six months ended June 30, 2023. The increase of $24.4 million, or 56.6%, was primarily related to cost savings, including reduced transportation, product and fulfillment costs, price increases, volume growth and efficient trade spend.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p>
      <w:pPr>
        <w:pStyle w:val="TextBody"/>
        <w:bidi w:val="0"/>
        <w:spacing w:before="1" w:after="1"/>
        <w:jc w:val="left"/>
        <w:rPr/>
      </w:pPr>
      <w:r>
        <w:rPr/>
      </w:r>
    </w:p>
    <w:tbl>
      <w:tblPr>
        <w:tblW w:w="11895" w:type="dxa"/>
        <w:jc w:val="left"/>
        <w:tblInd w:w="0" w:type="dxa"/>
        <w:tblLayout w:type="fixed"/>
        <w:tblCellMar>
          <w:top w:w="28" w:type="dxa"/>
          <w:left w:w="28" w:type="dxa"/>
          <w:bottom w:w="28" w:type="dxa"/>
          <w:right w:w="28" w:type="dxa"/>
        </w:tblCellMar>
      </w:tblPr>
      <w:tblGrid>
        <w:gridCol w:w="468"/>
        <w:gridCol w:w="411"/>
        <w:gridCol w:w="412"/>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31"/>
        <w:gridCol w:w="109"/>
        <w:gridCol w:w="109"/>
        <w:gridCol w:w="109"/>
        <w:gridCol w:w="109"/>
        <w:gridCol w:w="315"/>
        <w:gridCol w:w="315"/>
        <w:gridCol w:w="316"/>
        <w:gridCol w:w="109"/>
        <w:gridCol w:w="109"/>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were $26.4 million for the three months ended June 30, 2024, as compared to $25.0 million for the three months ended June 30, 2023. The increase of $1.4 million, or 5.6%, was primarily due to a $2.4 million increase in stock-based compensation expense primarily related to the acceleration of restricted stock units ("RSUs") held by our founder and former Chief Creative Officer, and a $0.9 million increase in service fees related to baby apparel, partially offset by a $0.9 million decrease in professional fees and a $0.8 million decrease in legal expenses. Selling, general and administrative expenses as a percentage of revenue decreased 1.2% as compared to the three months ended June 30,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were $48.9 million for the six months ended June 30, 2024, as compared to $50.8 million for the six months ended June 30, 2023. The decrease of $2.0 million, or 3.9%, was primarily due to a $2.7 million decrease in donations expense primarily related to our SKU rationalization program under the Transformation Initiative, $1.1 million decrease in advanced shipping vendor violation charges related to the implementation of our new order management system, a $0.7 million decrease in professional fees and a $0.6 million decrease in legal expenses, partially offset by a $2.0 million increase in service fees related to baby apparel and a $1.1 million increase in stock-based compensation expense primarily related to the acceleration of RSUs held by our founder and former Chief Creative Officer. Selling, general and administrative expenses as a percentage of revenue decreased 3.0% as compared to the six months ended June 30, 2024.</w:t>
      </w:r>
    </w:p>
    <w:p>
      <w:pPr>
        <w:pStyle w:val="TextBody"/>
        <w:bidi w:val="0"/>
        <w:spacing w:before="0" w:after="0"/>
        <w:ind w:left="0" w:right="0" w:firstLine="720"/>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7"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Marketing Expenses </w:t>
      </w:r>
    </w:p>
    <w:p>
      <w:pPr>
        <w:pStyle w:val="TextBody"/>
        <w:bidi w:val="0"/>
        <w:spacing w:before="1" w:after="1"/>
        <w:jc w:val="left"/>
        <w:rPr/>
      </w:pPr>
      <w:r>
        <w:rPr/>
      </w:r>
    </w:p>
    <w:tbl>
      <w:tblPr>
        <w:tblW w:w="11460" w:type="dxa"/>
        <w:jc w:val="left"/>
        <w:tblInd w:w="0" w:type="dxa"/>
        <w:tblLayout w:type="fixed"/>
        <w:tblCellMar>
          <w:top w:w="28" w:type="dxa"/>
          <w:left w:w="28" w:type="dxa"/>
          <w:bottom w:w="28" w:type="dxa"/>
          <w:right w:w="28" w:type="dxa"/>
        </w:tblCellMar>
      </w:tblPr>
      <w:tblGrid>
        <w:gridCol w:w="353"/>
        <w:gridCol w:w="311"/>
        <w:gridCol w:w="312"/>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315"/>
        <w:gridCol w:w="315"/>
        <w:gridCol w:w="316"/>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315"/>
        <w:gridCol w:w="315"/>
        <w:gridCol w:w="316"/>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bookmarkStart w:id="0" w:name="i50d360067c374548abcd378abc84d53f_43489"/>
      <w:bookmarkEnd w:id="0"/>
      <w:r>
        <w:rPr>
          <w:rFonts w:ascii="Times New Roman;sans-serif" w:hAnsi="Times New Roman;sans-serif"/>
          <w:b w:val="false"/>
          <w:color w:val="000000"/>
          <w:sz w:val="20"/>
        </w:rPr>
        <w:t>Marketing expenses were $11.5 million for the three months ended June 30, 2024, as compared to $9.3 million for the three months ended June 30, 2023. The increase of $2.3 million, or 24.3%, was primarily due to a $2.7 million increase in retail marketing, partially offset by a $0.9 million reduction in digital brand advertising. Marketing expenses as a percentage of revenue increased 1.4% as compared to the three months ended June 30, 2023.</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Marketing expenses were $20.6 million for the six months ended June 30, 2024, as compared to $19.5 million for the six months ended June 30, 2023. The increase of $1.1 million, or 5.7%, was primarily due to a $4.0 million increase in retail marketing, partially offset by a $3.2 million reduction in digital brand advertising. Marketing expenses as a percentage of revenue decreased 0.1% as compared to the six months ended June 30, 2023. </w:t>
      </w:r>
    </w:p>
    <w:p>
      <w:pPr>
        <w:pStyle w:val="TextBody"/>
        <w:bidi w:val="0"/>
        <w:spacing w:before="0" w:after="0"/>
        <w:ind w:left="0" w:right="0" w:firstLine="720"/>
        <w:jc w:val="left"/>
        <w:rPr/>
      </w:pPr>
      <w:r>
        <w:rPr/>
      </w:r>
    </w:p>
    <w:p>
      <w:pPr>
        <w:pStyle w:val="TextBody"/>
        <w:bidi w:val="0"/>
        <w:spacing w:lineRule="auto" w:line="288" w:before="1" w:after="1"/>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before="1" w:after="1"/>
        <w:jc w:val="left"/>
        <w:rPr/>
      </w:pPr>
      <w:r>
        <w:rPr/>
      </w:r>
    </w:p>
    <w:tbl>
      <w:tblPr>
        <w:tblW w:w="11195" w:type="dxa"/>
        <w:jc w:val="left"/>
        <w:tblInd w:w="0" w:type="dxa"/>
        <w:tblLayout w:type="fixed"/>
        <w:tblCellMar>
          <w:top w:w="28" w:type="dxa"/>
          <w:left w:w="28" w:type="dxa"/>
          <w:bottom w:w="28" w:type="dxa"/>
          <w:right w:w="28" w:type="dxa"/>
        </w:tblCellMar>
      </w:tblPr>
      <w:tblGrid>
        <w:gridCol w:w="430"/>
        <w:gridCol w:w="377"/>
        <w:gridCol w:w="379"/>
        <w:gridCol w:w="211"/>
        <w:gridCol w:w="616"/>
        <w:gridCol w:w="109"/>
        <w:gridCol w:w="109"/>
        <w:gridCol w:w="109"/>
        <w:gridCol w:w="109"/>
        <w:gridCol w:w="211"/>
        <w:gridCol w:w="616"/>
        <w:gridCol w:w="109"/>
        <w:gridCol w:w="109"/>
        <w:gridCol w:w="109"/>
        <w:gridCol w:w="109"/>
        <w:gridCol w:w="229"/>
        <w:gridCol w:w="507"/>
        <w:gridCol w:w="120"/>
        <w:gridCol w:w="109"/>
        <w:gridCol w:w="109"/>
        <w:gridCol w:w="109"/>
        <w:gridCol w:w="315"/>
        <w:gridCol w:w="315"/>
        <w:gridCol w:w="316"/>
        <w:gridCol w:w="109"/>
        <w:gridCol w:w="109"/>
        <w:gridCol w:w="109"/>
        <w:gridCol w:w="211"/>
        <w:gridCol w:w="616"/>
        <w:gridCol w:w="109"/>
        <w:gridCol w:w="109"/>
        <w:gridCol w:w="109"/>
        <w:gridCol w:w="109"/>
        <w:gridCol w:w="211"/>
        <w:gridCol w:w="616"/>
        <w:gridCol w:w="109"/>
        <w:gridCol w:w="109"/>
        <w:gridCol w:w="109"/>
        <w:gridCol w:w="109"/>
        <w:gridCol w:w="229"/>
        <w:gridCol w:w="507"/>
        <w:gridCol w:w="120"/>
        <w:gridCol w:w="109"/>
        <w:gridCol w:w="109"/>
        <w:gridCol w:w="109"/>
        <w:gridCol w:w="315"/>
        <w:gridCol w:w="315"/>
        <w:gridCol w:w="316"/>
        <w:gridCol w:w="109"/>
        <w:gridCol w:w="109"/>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$1.7 million for the three months ended June 30, 2024, as compared to $1.6 million for the three months ended June 30, 2023. The increase of $0.1 million, or 7.5%, was primarily related to an increase in research and development spend in safety testing, pilot trials, and related-employee expenses, consistent with our focus on continued innovation. Research and development expenses as a percentage of revenue decreased 0.04% as compared to the three months ended June 30,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$3.4 million for the six months ended June 30, 2024, as compared to $3.1 million for the six months ended June 30, 2023. The increase of $0.3 million, or 11.2%, was primarily related to an increase in research and development spend in safety testing, pilot trials, and related-employee expenses, consistent with our focus on continued innovation. Research and development expenses as a percentage of revenue increased 0.1% as compared to the six months ended June 30, 2023.</w:t>
      </w:r>
    </w:p>
    <w:p>
      <w:pPr>
        <w:pStyle w:val="TextBody"/>
        <w:bidi w:val="0"/>
        <w:spacing w:before="0" w:after="0"/>
        <w:ind w:left="0" w:right="0" w:firstLine="720"/>
        <w:jc w:val="left"/>
        <w:rPr/>
      </w:pPr>
      <w:r>
        <w:rPr/>
      </w:r>
    </w:p>
    <w:p>
      <w:pPr>
        <w:pStyle w:val="TextBody"/>
        <w:bidi w:val="0"/>
        <w:spacing w:lineRule="auto" w:line="268" w:before="1" w:after="1"/>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Interest and Other Income (Expense), Net</w:t>
      </w:r>
    </w:p>
    <w:p>
      <w:pPr>
        <w:pStyle w:val="TextBody"/>
        <w:bidi w:val="0"/>
        <w:spacing w:before="1" w:after="1"/>
        <w:jc w:val="left"/>
        <w:rPr/>
      </w:pPr>
      <w:r>
        <w:rPr/>
      </w:r>
    </w:p>
    <w:tbl>
      <w:tblPr>
        <w:tblW w:w="10205" w:type="dxa"/>
        <w:jc w:val="left"/>
        <w:tblInd w:w="0" w:type="dxa"/>
        <w:tblLayout w:type="fixed"/>
        <w:tblCellMar>
          <w:top w:w="28" w:type="dxa"/>
          <w:left w:w="28" w:type="dxa"/>
          <w:bottom w:w="28" w:type="dxa"/>
          <w:right w:w="28" w:type="dxa"/>
        </w:tblCellMar>
      </w:tblPr>
      <w:tblGrid>
        <w:gridCol w:w="928"/>
        <w:gridCol w:w="817"/>
        <w:gridCol w:w="820"/>
        <w:gridCol w:w="260"/>
        <w:gridCol w:w="519"/>
        <w:gridCol w:w="134"/>
        <w:gridCol w:w="134"/>
        <w:gridCol w:w="134"/>
        <w:gridCol w:w="134"/>
        <w:gridCol w:w="260"/>
        <w:gridCol w:w="519"/>
        <w:gridCol w:w="134"/>
        <w:gridCol w:w="109"/>
        <w:gridCol w:w="109"/>
        <w:gridCol w:w="109"/>
        <w:gridCol w:w="259"/>
        <w:gridCol w:w="462"/>
        <w:gridCol w:w="135"/>
        <w:gridCol w:w="109"/>
        <w:gridCol w:w="109"/>
        <w:gridCol w:w="109"/>
        <w:gridCol w:w="109"/>
        <w:gridCol w:w="109"/>
        <w:gridCol w:w="211"/>
        <w:gridCol w:w="416"/>
        <w:gridCol w:w="109"/>
        <w:gridCol w:w="109"/>
        <w:gridCol w:w="109"/>
        <w:gridCol w:w="109"/>
        <w:gridCol w:w="211"/>
        <w:gridCol w:w="521"/>
        <w:gridCol w:w="109"/>
        <w:gridCol w:w="109"/>
        <w:gridCol w:w="109"/>
        <w:gridCol w:w="109"/>
        <w:gridCol w:w="229"/>
        <w:gridCol w:w="507"/>
        <w:gridCol w:w="120"/>
        <w:gridCol w:w="109"/>
        <w:gridCol w:w="109"/>
        <w:gridCol w:w="109"/>
        <w:gridCol w:w="109"/>
        <w:gridCol w:w="161"/>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8"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196" w:type="dxa"/>
            <w:gridSpan w:val="1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793"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was net expense of $19 thousand for the three months ended June 30, 2024, as compared to net expense of $9 thousand for the three months ended June 30, 2023. </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was net expense of $82 thousand for the six months ended June 30, 2024, as compared to net expense of $198 thousand for the six months ended June 30, 2023. </w:t>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TextBody"/>
        <w:bidi w:val="0"/>
        <w:spacing w:before="1" w:after="1"/>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8"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had $36.6 million of cash and cash equivalents. Although we are dependent on our ability to generate sufficient cash flow from operations or raise capital to achieve our business objectives, we believe our existing cash and cash equivalents together with cash generated from operations will be sufficient to meet our short-term projected operations for the next 12 months from the date of issuance of our unaudited condensed consolidated financial statements. We will need to generate sufficient cash from operations or raise additional capital to meet our long-term working capital and capital expenditure needs. We also have availability under our 2023 Credit Facility, which was not drawn as of June 30, 2024.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entered into a first lien credit agreement (the “2023 Credit Facility”), with JPMorgan Chase Bank, N.A., as administrative agent and lender, and the other lenders party thereto, which provides for a $35.0 million revolving credit facility that matures on April 30, 2026. The 2023 Credit Facility includes a sub-facility that provides for the issuance of letters of credit in an amount of up to $15.0 million at any time outstanding. Availability of the 2023 Credit Facility is based upon a borrowing base formula and periodic borrowing base certifications valuing certain of our accounts receivable and inventory as reduced by an availability block and certain reserves. The 2023 Credit Facility includes an uncommitted accordion feature that allows for increases in the revolving commitment to as much as an additional $35.0 million, for up to $70.0 million in potential revolving commitment. The 2023 Credit Facility is subject to customary fees for loan facilities of this type, including a commitment fee based on the average daily undrawn portion of the 2023 Credit Facility. We recognize the commitment fee as incurred in interest and other income (expense), net in the condensed consolidated statements of comprehensive loss. For the three and six months ended June 30, 2024, the commitment fee incurred was immaterial. As of June 30, 2024, there were $2.7 million of outstanding letters of credit and $20.5 million available to be drawn upon. As of June 30, 2024, there was no outstanding balance under the 2023 Credit Facility.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interest rate applicable to the 2023 Credit Facility is, at our option, either (a) the Adjusted Term SOFR rate (subject to a 0.00% floor), plus a margin ranging from 1.50% to 2.25% or (b) the CB floating rate, (i) plus a margin of 0.25% or (ii) minus a margin ranging from 0.25% to 0.50%. The margin is based upon our fixed charge coverage ratio. The CB floating rate is the higher of (a) the Wall Street Journal prime rate and (b) 2.50%.</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will terminate and borrowings thereunder, if any, would be due in full on April 30, 2026. Debt under the 2023 Credit Facility is guaranteed by substantially all of our material domestic subsidiaries and is secured by substantially all of our and such subsidiaries’ assets.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2023 Credit Facility contains covenants that restrict, among other things, our ability to sell assets, make investments and acquisitions, grant liens, change our lines of business, pay dividends and make certain other restricted payments. We are subject to certain affirmative and negative covenants including the requirement that we maintain a minimum total fixed charge coverage ratio during the periods set forth in the 2023 Credit Facility. Failure to do so, unless waived by the lenders under the 2023 Credit Facility pursuant to its terms, as amended, would result in an event of default under the 2023 Credit Facility. As of June 30, 2024, we are in compliance with all covenants under the 2023 Credit Facility.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5 “Credit Facilities” included in the condensed consolidated financial statements included elsewhere in this Quarterly Report on Form 10-Q for more information on the 2023 Credit Facility.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before="1" w:after="1"/>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7194" w:type="dxa"/>
        <w:jc w:val="left"/>
        <w:tblInd w:w="0" w:type="dxa"/>
        <w:tblLayout w:type="fixed"/>
        <w:tblCellMar>
          <w:top w:w="28" w:type="dxa"/>
          <w:left w:w="28" w:type="dxa"/>
          <w:bottom w:w="28" w:type="dxa"/>
          <w:right w:w="28" w:type="dxa"/>
        </w:tblCellMar>
      </w:tblPr>
      <w:tblGrid>
        <w:gridCol w:w="1520"/>
        <w:gridCol w:w="1338"/>
        <w:gridCol w:w="1341"/>
        <w:gridCol w:w="282"/>
        <w:gridCol w:w="823"/>
        <w:gridCol w:w="145"/>
        <w:gridCol w:w="145"/>
        <w:gridCol w:w="145"/>
        <w:gridCol w:w="145"/>
        <w:gridCol w:w="282"/>
        <w:gridCol w:w="823"/>
        <w:gridCol w:w="205"/>
      </w:tblGrid>
      <w:tr>
        <w:trPr/>
        <w:tc>
          <w:tcPr>
            <w:tcW w:w="152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3,281 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3,758 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largest source of operating cash is from the sales of our products to our consumers and customers. Our primary uses of cash from operating activities are for cost of revenue, selling, general and administrative expenses, marketing expenses and research and development expenses. We have in the past generated negative cash flows from operating activities and have supplemented working capital requirements through net proceeds from the sale and maturity of short-term investments.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9"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$3.3 million for the six months ended June 30, 2024 was primarily due to non-cash adjustments of $17.5 million, partially offset by a net loss of $5.5 million and a net decrease in cash related to changes in operating assets and liabilities of $8.8 million. Non-cash adjustments primarily consisted of stock-based compensation of $11.4 million, amortization of operating Right-of-Use ("ROU") assets of $3.2 million, utilization of marketing credits of $1.5 million and depreciation and amortization of $1.4 million. Changes in cash flows related to operating assets and liabilities primarily consisted of a $4.0 million use of cash due to operating lease obligations and a $3.6 million decrease in accounts payable and accrued expenses.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of $3.8 million for the six months ended June 30, 2023 was primarily due to net loss of $32.3 million, non-cash adjustments of $14.6 million and a net increase in cash related to changes in operating assets and liabilities of $21.4 million. Non-cash adjustments primarily consisted of stock-based compensation of $10.2 million, amortization of operating ROU assets of $3.1 million and depreciation and amortization of $1.3 million. Changes in cash flows related to operating assets and liabilities primarily consisted of cash provided by a $33.6 million decrease in inventory, a $7.4 million decrease in prepaid expenses and other assets and a $6.5 million decrease in accounts receivable due to improved collection efforts, partially offset by a decrease of $23.1 million in accounts payable and accrued expenses driven by lower inventory purchases in the six months ended June 30, 2023 due to our disciplined inventory management.</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investing cash historically has been the sale and maturity of short-term investments. Our primary use of investing cash historically has been the purchase of short-term investments and currently is property and equipment.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of $0.1 million for the six months ended June 30, 2024 was due to purchases of property and equipment.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of $4.5 million for the six months ended June 30, 2023 was primarily due to proceeds from maturities of short-term investments of $5.7 million, partially offset by purchases of property and equipment of $1.2 million.</w:t>
      </w:r>
    </w:p>
    <w:p>
      <w:pPr>
        <w:pStyle w:val="TextBody"/>
        <w:bidi w:val="0"/>
        <w:spacing w:before="1" w:after="1"/>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consisted of proceeds from sales of securities, proceeds from stock option award exercises and principal payments of financing lease obligations. </w:t>
      </w:r>
    </w:p>
    <w:p>
      <w:pPr>
        <w:pStyle w:val="TextBody"/>
        <w:bidi w:val="0"/>
        <w:spacing w:before="0" w:after="0"/>
        <w:ind w:left="0" w:right="0" w:firstLine="49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financing activities of $0.6 million for the six months ended June 30, 2024 consisted primarily of $0.5 million of proceeds from stock option award exercises.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$73 thousand for the six months ended June 30, 2023 consisted of proceeds from the 2021 Employee Stock Purchase Plan (“2021 ESPP”), partially offset by principal payments of financing lease obligations.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Dividends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(including any restrictions in our then-existing debt arrangements), capital requirements, business prospects and other factors our board of directors may deem relevant. The 2023 Credit Facility contains restrictions on our ability to pay dividends. </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Non-GAAP Financial Measure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and present our condensed consolidated financial statements in accordance with GAAP. However, management believes that adjusted EBITDA, a non-GAAP financial measure, provides investors with additional useful information in evaluating our performance.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(loss), adjusted to exclude: (1) interest and other (income) expense, net; (2) income tax provision; (3) depreciation and amortization; (4) stock-based compensation expense, including payroll tax; (5) litigation and settlement fees associated with certain non-ordinary course securities litigation claims; (6) Chief Executive Officer (“CEO”) and founder and former Chief Creative Officer (“CCO”) transition expenses and (7) restructuring expenses in connection with the Transformation Initiative.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financial measure that is not required by, or presented in accordance with GAAP. We believe that adjusted EBITDA, when taken together with our financial results presented in accordance with GAAP, provides meaningful supplemental information regarding our operating performance and facilitates internal comparisons of our historical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30"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and evaluating our operating performance, as well as for internal planning and forecasting purposes.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presented for supplemental informational purposes only, has limitations as an analytical tool and should not be considered in isolation or as a substitute for financial information presented in accordance with GAAP. Some of the limitations of adjusted EBITDA include that (1) it does not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interest expense; (5) it does not reflect tax payments that may represent a reduction in cash available to us; and (6) does not include certain non-ordinary cash expenses that we do not believe are representative of our business on a steady-state basis, such as CEO and founder/CCO transition expenses and restructuring expenses in connection with the Transformation Initiative. In addition, our use of adjusted EBITDA may not be comparable to similarly titled measures of other companies because they may not calculate adjusted EBITDA in the same manner, limiting its usefulness as a comparative measure. Because of these limitations, when evaluating our performance, you should consider adjusted EBITDA alongside other financial measures, including our revenue, net income (loss) and other results stated in accordance with GAAP.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a reconciliation of net income (loss), the most directly comparable financial measure stated in accordance with GAAP, to adjusted EBITDA, for each of the periods presented: </w: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452"/>
        <w:gridCol w:w="1277"/>
        <w:gridCol w:w="1283"/>
        <w:gridCol w:w="257"/>
        <w:gridCol w:w="834"/>
        <w:gridCol w:w="132"/>
        <w:gridCol w:w="132"/>
        <w:gridCol w:w="132"/>
        <w:gridCol w:w="132"/>
        <w:gridCol w:w="257"/>
        <w:gridCol w:w="962"/>
        <w:gridCol w:w="132"/>
        <w:gridCol w:w="109"/>
        <w:gridCol w:w="109"/>
        <w:gridCol w:w="109"/>
        <w:gridCol w:w="241"/>
        <w:gridCol w:w="827"/>
        <w:gridCol w:w="124"/>
        <w:gridCol w:w="124"/>
        <w:gridCol w:w="124"/>
        <w:gridCol w:w="124"/>
        <w:gridCol w:w="241"/>
        <w:gridCol w:w="900"/>
        <w:gridCol w:w="191"/>
      </w:tblGrid>
      <w:tr>
        <w:trPr/>
        <w:tc>
          <w:tcPr>
            <w:tcW w:w="1452"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six months ended June 30,</w:t>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Net Loss to Adjusted EBITDA</w:t>
            </w:r>
          </w:p>
        </w:tc>
        <w:tc>
          <w:tcPr>
            <w:tcW w:w="12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5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(13,416)</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(5,479)</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(32,282)</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litigation expense</w:t>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2,951 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CEO and founder/CCO transition expense</w:t>
            </w:r>
            <w:r>
              <w:rPr>
                <w:rFonts w:ascii="Times New Roman;sans-serif" w:hAnsi="Times New Roman;sans-serif"/>
                <w:b w:val="false"/>
                <w:color w:val="000000"/>
                <w:sz w:val="13"/>
              </w:rPr>
              <w:t>(1)</w:t>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Restructuring costs</w:t>
            </w:r>
            <w:r>
              <w:rPr>
                <w:rFonts w:ascii="Times New Roman;sans-serif" w:hAnsi="Times New Roman;sans-serif"/>
                <w:b w:val="false"/>
                <w:color w:val="000000"/>
                <w:sz w:val="13"/>
              </w:rPr>
              <w:t>(2)</w:t>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 expense related to stock-based compensation</w:t>
            </w:r>
          </w:p>
        </w:tc>
        <w:tc>
          <w:tcPr>
            <w:tcW w:w="10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7,595 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(14,432)</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__________________</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sign-on bonus and relocation costs related to the appointment of our CEO and separation costs related to the termination of our former founder and CCO. </w:t>
      </w:r>
    </w:p>
    <w:p>
      <w:pPr>
        <w:pStyle w:val="TextBody"/>
        <w:bidi w:val="0"/>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(2) See Note 13 “Restructuring” in our unaudited condensed consolidated financial statements for items included in restructuring expense.</w:t>
      </w:r>
    </w:p>
    <w:p>
      <w:pPr>
        <w:pStyle w:val="TextBody"/>
        <w:bidi w:val="0"/>
        <w:spacing w:before="1" w:after="1"/>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were no changes to our material cash requirements from those described under “Management's Discussion and Analysis of Financial Condition and Results of Operations” in our Annual Report.</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1"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critical accounting estimates are described under the heading “Management’s Discussion and Analysis of Financial Condition and Results of Operations—Critical Accounting Policies and Estimates” in our Annual Report and the notes to the audited consolidated financial statements appearing in our Annual Report. During the three and six months ended June 30, 2024, there were no material changes to our critical accounting estimates from those discussed in our Annual Report.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2, “Summary of Significant Accounting Policies” to our condensed consolidated financial statements included elsewhere in this Quarterly Report on Form 10-Q for a discussion of recently issued accounting pronouncements not yet adopted and recently adopted accounting pronouncements.</w:t>
      </w:r>
    </w:p>
    <w:p>
      <w:pPr>
        <w:pStyle w:val="TextBody"/>
        <w:bidi w:val="0"/>
        <w:spacing w:before="0" w:after="0"/>
        <w:jc w:val="left"/>
        <w:rPr/>
      </w:pPr>
      <w:r>
        <w:rPr/>
      </w:r>
    </w:p>
    <w:p>
      <w:pPr>
        <w:pStyle w:val="TextBody"/>
        <w:bidi w:val="0"/>
        <w:spacing w:lineRule="auto" w:line="268" w:before="1" w:after="1"/>
        <w:jc w:val="left"/>
        <w:rPr>
          <w:rFonts w:ascii="Times New Roman;sans-serif" w:hAnsi="Times New Roman;sans-serif"/>
          <w:b/>
          <w:color w:val="000000"/>
          <w:sz w:val="20"/>
        </w:rPr>
      </w:pPr>
      <w:r>
        <w:rPr>
          <w:rFonts w:ascii="Times New Roman;sans-serif" w:hAnsi="Times New Roman;sans-serif"/>
          <w:b/>
          <w:color w:val="000000"/>
          <w:sz w:val="20"/>
        </w:rPr>
        <w:t xml:space="preserve">Emerging Growth Company Status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 </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 rules and regulations, as a smaller reporting company, we are not required to provide the information required by this item.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000000"/>
          <w:sz w:val="20"/>
        </w:rPr>
        <w:t>We maintain “disclosure controls a</w:t>
      </w:r>
      <w:r>
        <w:rPr>
          <w:rFonts w:ascii="Times New Roman;sans-serif" w:hAnsi="Times New Roman;sans-serif"/>
          <w:b w:val="false"/>
          <w:color w:val="000000"/>
          <w:sz w:val="20"/>
          <w:shd w:fill="FFFFFF" w:val="clear"/>
        </w:rPr>
        <w:t xml:space="preserve">nd procedures,” as defined in Rules 13a-15(e) and 15d-15(e) under the Securities Exchange Act of 1934, as amended, (the </w:t>
      </w:r>
      <w:r>
        <w:rPr>
          <w:color w:val="000000"/>
        </w:rPr>
        <w:t>“</w:t>
      </w:r>
      <w:r>
        <w:rPr>
          <w:rFonts w:ascii="Times New Roman;sans-serif" w:hAnsi="Times New Roman;sans-serif"/>
          <w:b w:val="false"/>
          <w:color w:val="000000"/>
          <w:sz w:val="20"/>
          <w:shd w:fill="FFFFFF" w:val="clear"/>
        </w:rPr>
        <w:t xml:space="preserve">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w:t>
      </w:r>
      <w:r>
        <w:rPr>
          <w:rFonts w:ascii="Times New Roman;sans-serif" w:hAnsi="Times New Roman;sans-serif"/>
          <w:b w:val="false"/>
          <w:color w:val="000000"/>
          <w:sz w:val="20"/>
        </w:rPr>
        <w:t xml:space="preserve">Our management, with the participation of our </w:t>
      </w:r>
      <w:r>
        <w:rPr>
          <w:rFonts w:ascii="Times New Roman;sans-serif" w:hAnsi="Times New Roman;sans-serif"/>
          <w:b w:val="false"/>
          <w:color w:val="000000"/>
          <w:sz w:val="20"/>
          <w:shd w:fill="FFFFFF" w:val="clear"/>
        </w:rPr>
        <w:t>principal executive officer and principal financial officer</w:t>
      </w:r>
      <w:r>
        <w:rPr>
          <w:rFonts w:ascii="Times New Roman;sans-serif" w:hAnsi="Times New Roman;sans-serif"/>
          <w:b w:val="false"/>
          <w:color w:val="000000"/>
          <w:sz w:val="20"/>
        </w:rPr>
        <w:t>, evaluated, as of the period ended June 30, 2024, the effectiveness of our disclosure controls and procedures (as defined in Rules 13a-15(e) and 15d-15(e) under the Exchange Act). Based on that evaluation, our principal executive officer and principal financial officer concluded that, as of such date, our disclosure controls and procedures were effective at a reasonable assurance level.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Changes in Internal Control over Financial Reporting</w:t>
      </w:r>
      <w:r>
        <w:rPr>
          <w:color w:val="000000"/>
        </w:rPr>
        <w:t xml:space="preserve"> </w:t>
      </w:r>
    </w:p>
    <w:p>
      <w:pPr>
        <w:pStyle w:val="TextBody"/>
        <w:bidi w:val="0"/>
        <w:spacing w:before="0" w:after="0"/>
        <w:jc w:val="left"/>
        <w:rPr/>
      </w:pPr>
      <w:r>
        <w:rPr/>
      </w:r>
    </w:p>
    <w:p>
      <w:pPr>
        <w:pStyle w:val="TextBody"/>
        <w:bidi w:val="0"/>
        <w:spacing w:lineRule="auto" w:line="268" w:before="1" w:after="1"/>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the Company's internal control over financial reporting that occurred during the quarter ended June 30, 2024 that has materially affected, or is reasonably likely to materially affect, the Company's internal control over financial reporting.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bidi w:val="0"/>
        <w:spacing w:before="0" w:after="0"/>
        <w:jc w:val="left"/>
        <w:rPr/>
      </w:pPr>
      <w:r>
        <w:rPr/>
      </w:r>
    </w:p>
    <w:p>
      <w:pPr>
        <w:pStyle w:val="TextBody"/>
        <w:bidi w:val="0"/>
        <w:spacing w:lineRule="auto" w:line="268" w:before="1" w:after="1"/>
        <w:ind w:left="0" w:right="0" w:firstLine="720"/>
        <w:jc w:val="left"/>
        <w:rPr/>
      </w:pPr>
      <w:r>
        <w:rPr>
          <w:rFonts w:ascii="Times New Roman;sans-serif" w:hAnsi="Times New Roman;sans-serif"/>
          <w:b w:val="false"/>
          <w:color w:val="000000"/>
          <w:sz w:val="20"/>
        </w:rPr>
        <w:t xml:space="preserve">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w:t>
      </w:r>
      <w:r>
        <w:rPr>
          <w:rFonts w:ascii="Times New Roman;sans-serif" w:hAnsi="Times New Roman;sans-serif"/>
          <w:b w:val="false"/>
          <w:color w:val="000000"/>
          <w:sz w:val="20"/>
          <w:shd w:fill="FFFFFF" w:val="clear"/>
        </w:rPr>
        <w:t>principal executive officer and principal financial officer</w:t>
      </w:r>
      <w:r>
        <w:rPr>
          <w:rFonts w:ascii="Times New Roman;sans-serif" w:hAnsi="Times New Roman;sans-serif"/>
          <w:b w:val="false"/>
          <w:color w:val="000000"/>
          <w:sz w:val="20"/>
        </w:rPr>
        <w:t>, believe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pStyle w:val="TextBody"/>
        <w:bidi w:val="0"/>
        <w:spacing w:before="0" w:after="0"/>
        <w:ind w:left="0" w:right="0" w:firstLine="720"/>
        <w:jc w:val="left"/>
        <w:rPr/>
      </w:pPr>
      <w:r>
        <w:rPr/>
      </w:r>
    </w:p>
    <w:p>
      <w:pPr>
        <w:pStyle w:val="TextBody"/>
        <w:bidi w:val="0"/>
        <w:spacing w:before="0" w:after="0"/>
        <w:ind w:left="0" w:right="0" w:hanging="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2"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ind w:left="0" w:right="0" w:hanging="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under the heading “Litigation” in Note 7 to our condensed consolidated financial statements included in this Quarterly Report on Form 10-Q is incorporated by reference into this Item.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before="0" w:after="0"/>
        <w:ind w:left="0" w:right="0" w:firstLine="720"/>
        <w:jc w:val="center"/>
        <w:rPr/>
      </w:pPr>
      <w:r>
        <w:rPr/>
      </w:r>
    </w:p>
    <w:p>
      <w:pPr>
        <w:pStyle w:val="TextBody"/>
        <w:bidi w:val="0"/>
        <w:spacing w:lineRule="auto" w:line="26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Our business is subject to numerous risks. The following summary highlights some of the risks you should consider with respect to our business and prospects. You should carefully consider the risks and uncertainties described in our Annual Report, together with all of the other information in this Quarterly Report on Form 10-Q, as well as our audited consolidated financial statements and related notes as disclosed in our Annual Report. The risks and uncertainties described in our Annual Report and in this Quarterly Report on Form 10-Q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common stock involves substantial risks. Some of the more significant risks include the following:</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past growth may not be indicative of our future growth and we may not be able to effectively manage our future growth or evaluate our future prospects. If we fail to effectively manage our future growth or evaluate our future prospects, our business could be adversely affected.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quarterly operating results may fluctuate, which could cause our stock price to decline.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future success depends, in part, on our ability to achieve our long-term strategy.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Consolidation of retail customers, the loss of a significant retail or third-party ecommerce customer or a significant change in such customers' historical purchasing patterns has in the past and could in the future negatively impact our sales and ability to achieve or maintain profitability.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not be able to compete successfully in our highly competitive market.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If we fail to cost-effectively acquire new consumers or retain our existing consumers, our business could be adversely affected. Our sales and profit are dependent upon our ability to expand our existing consumer relationships and acquire new consumers.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are increasingly dependent on information technology and our ability to process data in order to operate and sell our products, and if we (or our third parties) are unable to protect against software and hardware vulnerabilities, service interruptions, data corruption, cyber-based attacks, ransomware or security breaches, or if we fail to comply with our commitments and assurances regarding the privacy and security of such data, we could experience adverse consequences, including but not limited to regulatory investigations or actions; litigation; fines and penalties; disruptions to our business operations; interruptions in our ability to provide our goods and services exposure to liability; reputational harm; loss of revenue or profits; loss of customers or sales; and other adverse consequences.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Pandemics or disease outbreaks and overall macroeconomic trends have had and may continue to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strategic initiatives, including as part of the Transformation Pillars, could have long-term adverse effects on our business, financial condition, results of operations and prospects, could result in total costs and expenses that are greater than expected, and we may not realize the operational or financial benefits from such actions.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must expend resources to maintain consumer awareness of our brand, build brand loyalty and generate interest in our products. Our marketing strategies and channels will evolve and shifts in our marketing strategies and efforts may or may not be successful.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brand and reputation may be diminished due to real or perceived quality, safety, efficacy or environmental impact issues with our products, which could have an adverse effect on our business, financial condition, results of operations and prospects.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maintain our competitive position is largely dependent on the services of our senior management and other key personnel.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We have a history of net losses and we may not be able to achieve or maintain profitability in the future. </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business may be adversely affected if we are unable to provide our consumers with a technology platform that is able to respond and adapt to rapid changes in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3"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 disruption in our operations could have an adverse effect on our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business, including our costs and supply chain, is subject to risks associated with sourcing, manufacturing, warehousing, distribution and logistics, and the loss of any of our key suppliers or logistical service providers could negatively impact our business.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rely on third-party suppliers, manufacturers, retail and ecommerce customers and other vendors, and they may not continue to produce products or provide services that are consistent with our standards or applicable regulatory requirements, which could harm our brand, cause consumer dissatisfaction, and require us to find alternative suppliers of our products or services.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Health and safety incidents or advertising inaccuracies or product mislabeling may have an adverse effect on our business by exposing us to lawsuits, product recalls or regulatory enforcement actions, increasing our operating costs and reducing demand for our product offerings.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Increasing scrutiny and evolving expectations from stakeholders with respect to our ESG practices, performance, commitments and disclosures may impact our reputation, increase our costs and impact our access to capital.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International trade disputes and the U.S. government’s trade policy could adversely affect our business. </w:t>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ans-serif" w:hAnsi="Times New Roman;sans-serif"/>
          <w:b/>
          <w:color w:val="000000"/>
          <w:sz w:val="22"/>
        </w:rPr>
      </w:pPr>
      <w:r>
        <w:rPr>
          <w:rFonts w:ascii="Times New Roman;sans-serif" w:hAnsi="Times New Roman;sans-serif"/>
          <w:b/>
          <w:color w:val="000000"/>
          <w:sz w:val="22"/>
        </w:rPr>
        <w:t>RISK FACTORS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 xml:space="preserve">Other than the risk factors set forth below, there have been no material changes to the risk factors set forth in the section titled </w:t>
      </w:r>
      <w:r>
        <w:rPr>
          <w:color w:val="000000"/>
        </w:rPr>
        <w:t>“</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 xml:space="preserve">included in our Annual Report.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Our ability to maintain our competitive position is largely dependent on the services of our senior management and other key personnel.</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Our ability to maintain our competitive position is largely dependent on the services of our senior management and other key personnel, and the loss of their services could have an adverse effect on our business, financial condition and results of operations.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color w:val="231F20"/>
          <w:sz w:val="20"/>
        </w:rPr>
        <w:t xml:space="preserve">Jessica Warren departed as our Chief Creative Officer on April 9, 2024. Jessica Warren is a globally recognized Latina business leader, entrepreneur, advocate, actress, and New York Times bestselling author. We believe that the success of our brand has historically been based in part on our affiliation with Jessica Warren. We had an agreement with Jessica Warren, or the Likeness Agreement, which, among other things, included a license for her likeness and imposed various obligations on us. The Likeness Agreement was terminated as part of Ms. Warren's departure from her Chief Creative Officer position. Resulting from the termination of the Likeness Agreement, we are required to remove </w:t>
      </w:r>
      <w:r>
        <w:rPr>
          <w:rFonts w:ascii="Times New Roman;sans-serif" w:hAnsi="Times New Roman;sans-serif"/>
          <w:b w:val="false"/>
          <w:color w:val="000000"/>
          <w:sz w:val="20"/>
        </w:rPr>
        <w:t xml:space="preserve">certain licensed property from our website, digital assets, social media and Company-owned or -controlled assets, </w:t>
      </w:r>
      <w:r>
        <w:rPr>
          <w:rFonts w:ascii="Times New Roman;sans-serif" w:hAnsi="Times New Roman;sans-serif"/>
          <w:b w:val="false"/>
          <w:color w:val="231F20"/>
          <w:sz w:val="20"/>
        </w:rPr>
        <w:t>digital assets and sell existing inventory that use the licensed intellectual property on its packaging. Our obligations from the termination of the Likeness Agreement could result in a reduction of our operating margins and cash flow from operations or otherwise adversely affect our business. Additionally, the loss of our ability to use Ms. Warren’s likeness could result in marketplace confusion, loss of goodwill and/or similar negative consequences. We have also historically depended on Ms. Warren’s social media reach and influence to connect with consumers and provide insight on current trends. The loss of the services of Ms. Warren and the loss of our ability to use Ms. Warren’s likeness, could have an adverse effect on our business, financial condition and results of operations.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In addition, our future success depends on our continued ability to attract, develop, motivate and retain highly qualified and skilled employees, including Carla Vernón, who became our CEO effective January 9, 2023. The market for such positions is competitive. Qualified individuals, like Ms. Vernón with her extensive experience in CPG and with founder-built businesses, are in high demand and we may incur significant costs to attract them. In addition, the loss of any of our senior management or other key employees or our inability to recruit and develop mid-level managers could adversely affect our ability to execute our business plan and we may be unable to find adequate replacements. All of our employees are at-will employees, meaning that they may terminate their employment relationship with us at any time, and their knowledge of our business and industry would be extremely difficult to replace. If we fail to retain talented senior management and other key personnel, or if we do not succeed in attracting well-qualified employees or retaining and motivating existing employees, our business, financial condition and results of operations could be adversely affected.</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ans-serif" w:hAnsi="Times New Roman;sans-serif"/>
          <w:b/>
          <w:i/>
          <w:color w:val="231F20"/>
          <w:sz w:val="20"/>
        </w:rPr>
      </w:pPr>
      <w:r>
        <w:rPr>
          <w:rFonts w:ascii="Times New Roman;sans-serif" w:hAnsi="Times New Roman;sans-serif"/>
          <w:b/>
          <w:i/>
          <w:color w:val="231F20"/>
          <w:sz w:val="20"/>
        </w:rPr>
        <w:t>If we fail to comply with our obligations under our existing license agreements or cannot license rights to use technologies on reasonable terms or at all, we may be unable to license rights that are critical to our business.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231F20"/>
          <w:sz w:val="20"/>
        </w:rPr>
      </w:pPr>
      <w:r>
        <w:rPr>
          <w:rFonts w:ascii="Times New Roman;sans-serif" w:hAnsi="Times New Roman;sans-serif"/>
          <w:b w:val="false"/>
          <w:color w:val="231F20"/>
          <w:sz w:val="20"/>
        </w:rPr>
        <w:t xml:space="preserve">We license or have the right to use certain intellectual property which is critical to our business, including in connection with the Mutual Separation Agreement with Jessica Warren. If we fail to comply with any of the obligations under our license agreements or the Mutual Separation Agreement with Jessica Warren, including not selling licensed products after the agreed timeframe, we may be required to pay damages, dispose of licensed products, increase our reserves for licensed products that cannot be sold, and the licensor may have the right to terminate the license, which could adversely impact our business, financial condition and result of operations. Termination by the licensor would cause us to lose valuable rights, and could inhibit our ability to commercialize our products. If any contract interpretation disagreement were to arise, the resolution could narrow what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4"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31F20"/>
          <w:sz w:val="20"/>
        </w:rPr>
      </w:pPr>
      <w:r>
        <w:rPr>
          <w:rFonts w:ascii="Times New Roman;sans-serif" w:hAnsi="Times New Roman;sans-serif"/>
          <w:b w:val="false"/>
          <w:color w:val="231F20"/>
          <w:sz w:val="20"/>
        </w:rPr>
        <w:t>believe to be the scope of our rights to the relevant intellectual property or increase what we believe to be our financial or other obligations under the relevant agreement. Any of the foregoing could adversely impact our business, financial condition and results of operations.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231F20"/>
          <w:sz w:val="20"/>
        </w:rPr>
      </w:pPr>
      <w:r>
        <w:rPr>
          <w:rFonts w:ascii="Times New Roman;sans-serif" w:hAnsi="Times New Roman;sans-serif"/>
          <w:b w:val="false"/>
          <w:color w:val="231F20"/>
          <w:sz w:val="20"/>
        </w:rPr>
        <w:t>In addition, in the future we may identify additional third-party intellectual property we may need to license in order to engage in our business, including to develop or commercialize new products. However, such licenses may not be available on acceptable terms or at all. The licensing or acquisition of third-party intellectual property rights is a competitive area, and companies with greater size and capital resources than us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or other fees. If we are unable to enter into the necessary licenses on acceptable terms or at all, it could have an adverse effect on our business, financial condition, results of operations and prospects.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 xml:space="preserve">Item 2. Unregistered Sales of Equity Securities and Use of Proceeds. </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ind w:left="0" w:right="0" w:hanging="720"/>
        <w:jc w:val="left"/>
        <w:rPr/>
      </w:pPr>
      <w:r>
        <w:rPr/>
      </w:r>
    </w:p>
    <w:p>
      <w:pPr>
        <w:pStyle w:val="TextBody"/>
        <w:bidi w:val="0"/>
        <w:spacing w:lineRule="auto" w:line="26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5"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371"/>
        <w:gridCol w:w="326"/>
        <w:gridCol w:w="327"/>
        <w:gridCol w:w="109"/>
        <w:gridCol w:w="109"/>
        <w:gridCol w:w="109"/>
        <w:gridCol w:w="2731"/>
        <w:gridCol w:w="2527"/>
        <w:gridCol w:w="3596"/>
      </w:tblGrid>
      <w:tr>
        <w:trPr/>
        <w:tc>
          <w:tcPr>
            <w:tcW w:w="37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596" w:type="dxa"/>
            <w:tcBorders/>
            <w:vAlign w:val="center"/>
          </w:tcPr>
          <w:p>
            <w:pPr>
              <w:pStyle w:val="TableContents"/>
              <w:bidi w:val="0"/>
              <w:spacing w:before="0" w:after="283"/>
              <w:jc w:val="left"/>
              <w:rPr>
                <w:sz w:val="4"/>
                <w:szCs w:val="4"/>
              </w:rPr>
            </w:pPr>
            <w:r>
              <w:rPr>
                <w:sz w:val="4"/>
                <w:szCs w:val="4"/>
              </w:rPr>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02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Articles of Incorporation, as currently in effect (incorporated herein by reference to Exhibit 3.1 to the Company’s Current Report on Form 8-K (File No. 001-40378), filed with the SEC on May 11, 2021).</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Bylaws, as currently in effect (incorporated herein by reference to Exhibit 3.2 to the Company’s Annual Report on Form 10-K (File No. 001-40378), filed with the SEC on March 16, 2023).</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Mutual Separation Agreement and Mutual Release of Claims between Jessica M. (Alba) Warren and The Honest Company, Inc., dated April 8, 2024 (incorporated herein by reference to Exhibit 10.1 to the Company’s Current Report on Form 8-K (File No. 001-40378), filed with the SEC on April 9, 2024).</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4exhibit311.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 13a-14(a) and Rule 15d-14(a), as adopted pursuant to Section 302 of the Sarbanes-Oxley Act of 2002</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4exhibit312.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 13a-14(a) and Rule 15d-14(a), as adopted pursuant to Section 302 of the Sarbanes-Oxley Act of 2002</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4exhibit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 of Principal Executive Officer pursuant to 18 U.S.C. Section 1350, as adopted pursuant to Section 906 of the Sarbanes-Oxley Act of 2002 </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honestcoq2-24exhibit322.htm">
              <w:r>
                <w:rPr>
                  <w:rStyle w:val="InternetLink"/>
                  <w:rFonts w:ascii="Times New Roman;sans-serif" w:hAnsi="Times New Roman;sans-serif"/>
                  <w:b w:val="false"/>
                  <w:color w:val="0000FF"/>
                  <w:sz w:val="20"/>
                  <w:u w:val="single"/>
                </w:rPr>
                <w:t>32.2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18 U.S.C. Section 1350, as adopted pursuant to Section 906 of the Sarbanes-Oxley Act of 2002</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101.INS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Instance Document —the instance document does not appear in the Interactive Data File because its XBRL tags are embedded within the Inline XBRL document.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formatted as inline XBRL and contained in Exhibit 101</w:t>
            </w:r>
          </w:p>
        </w:tc>
      </w:tr>
    </w:tbl>
    <w:p>
      <w:pPr>
        <w:pStyle w:val="TextBody"/>
        <w:bidi w:val="0"/>
        <w:spacing w:before="0" w:after="0"/>
        <w:jc w:val="left"/>
        <w:rPr/>
      </w:pPr>
      <w:r>
        <w:rPr/>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196"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 Furnished herewith and not deemed to be “filed” for purposes of Section 18 of the Exchange Act, and shall not be deemed to be incorporated by reference into any filing under the Securities Act, or the Exchange Act (whether made before or after the date of the Form 10-Q), irrespective of any general incorporation language contained in such filing.</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ind w:left="0" w:right="0" w:hanging="492"/>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6"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7210" w:type="dxa"/>
        <w:jc w:val="left"/>
        <w:tblInd w:w="0" w:type="dxa"/>
        <w:tblLayout w:type="fixed"/>
        <w:tblCellMar>
          <w:top w:w="28" w:type="dxa"/>
          <w:left w:w="28" w:type="dxa"/>
          <w:bottom w:w="28" w:type="dxa"/>
          <w:right w:w="28" w:type="dxa"/>
        </w:tblCellMar>
      </w:tblPr>
      <w:tblGrid>
        <w:gridCol w:w="667"/>
        <w:gridCol w:w="587"/>
        <w:gridCol w:w="590"/>
        <w:gridCol w:w="359"/>
        <w:gridCol w:w="359"/>
        <w:gridCol w:w="359"/>
        <w:gridCol w:w="1248"/>
        <w:gridCol w:w="1248"/>
        <w:gridCol w:w="17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6"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Honest Company, Inc.</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Carla Vernón </w:t>
            </w:r>
          </w:p>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107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Loretta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David Loretta</w:t>
            </w:r>
          </w:p>
          <w:p>
            <w:pPr>
              <w:pStyle w:val="TableContents"/>
              <w:bidi w:val="0"/>
              <w:spacing w:lineRule="auto" w:line="242" w:before="0" w:after="0"/>
              <w:jc w:val="center"/>
              <w:rPr>
                <w:rFonts w:ascii="Times New Roman;sans-serif" w:hAnsi="Times New Roman;sans-serif"/>
                <w:b/>
                <w:color w:val="000000"/>
                <w:sz w:val="20"/>
              </w:rPr>
            </w:pPr>
            <w:r>
              <w:rPr>
                <w:rFonts w:ascii="Times New Roman;sans-serif" w:hAnsi="Times New Roman;sans-serif"/>
                <w:b/>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(Principal Financial Officer and </w:t>
              <w:br/>
              <w:t>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7"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33</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Carla Vernón, certify that: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p>
      <w:pPr>
        <w:pStyle w:val="TextBody"/>
        <w:bidi w:val="0"/>
        <w:spacing w:before="0" w:after="0"/>
        <w:jc w:val="left"/>
        <w:rPr/>
      </w:pPr>
      <w:r>
        <w:rPr/>
      </w:r>
    </w:p>
    <w:tbl>
      <w:tblPr>
        <w:tblW w:w="53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4"/>
        <w:gridCol w:w="914"/>
        <w:gridCol w:w="12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Carla Vernón </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David Loretta, certify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The Honest Company, Inc.;</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ind w:left="0" w:right="0" w:firstLine="1080"/>
        <w:jc w:val="left"/>
        <w:rPr/>
      </w:pPr>
      <w:r>
        <w:rPr/>
      </w:r>
    </w:p>
    <w:tbl>
      <w:tblPr>
        <w:tblW w:w="7855" w:type="dxa"/>
        <w:jc w:val="left"/>
        <w:tblInd w:w="0" w:type="dxa"/>
        <w:tblLayout w:type="fixed"/>
        <w:tblCellMar>
          <w:top w:w="28" w:type="dxa"/>
          <w:left w:w="28" w:type="dxa"/>
          <w:bottom w:w="28" w:type="dxa"/>
          <w:right w:w="28" w:type="dxa"/>
        </w:tblCellMar>
      </w:tblPr>
      <w:tblGrid>
        <w:gridCol w:w="667"/>
        <w:gridCol w:w="587"/>
        <w:gridCol w:w="590"/>
        <w:gridCol w:w="267"/>
        <w:gridCol w:w="267"/>
        <w:gridCol w:w="272"/>
        <w:gridCol w:w="1519"/>
        <w:gridCol w:w="1519"/>
        <w:gridCol w:w="21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8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David Loretta</w:t>
            </w:r>
          </w:p>
        </w:tc>
      </w:tr>
      <w:tr>
        <w:trPr/>
        <w:tc>
          <w:tcPr>
            <w:tcW w:w="184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ans-serif" w:hAnsi="Times New Roman;sans-serif"/>
                <w:b w:val="false"/>
                <w:color w:val="000000"/>
                <w:sz w:val="20"/>
              </w:rPr>
            </w:pPr>
            <w:r>
              <w:rPr>
                <w:rFonts w:ascii="Times New Roman;sans-serif" w:hAnsi="Times New Roman;sans-serif"/>
                <w:b w:val="false"/>
                <w:color w:val="000000"/>
                <w:sz w:val="20"/>
              </w:rPr>
              <w:t>David Loretta</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806" w:type="dxa"/>
            <w:gridSpan w:val="3"/>
            <w:tcBorders/>
            <w:tcMar>
              <w:top w:w="0" w:type="dxa"/>
              <w:left w:w="0" w:type="dxa"/>
              <w:bottom w:w="0" w:type="dxa"/>
              <w:right w:w="0" w:type="dxa"/>
            </w:tcMar>
            <w:vAlign w:val="center"/>
          </w:tcPr>
          <w:p>
            <w:pPr>
              <w:pStyle w:val="TableContents"/>
              <w:bidi w:val="0"/>
              <w:spacing w:before="0" w:after="0"/>
              <w:ind w:left="0" w:right="0" w:firstLine="720"/>
              <w:jc w:val="left"/>
              <w:rPr/>
            </w:pPr>
            <w:r>
              <w:rPr/>
            </w:r>
          </w:p>
        </w:tc>
        <w:tc>
          <w:tcPr>
            <w:tcW w:w="5205" w:type="dxa"/>
            <w:gridSpan w:val="3"/>
            <w:tcBorders/>
            <w:tcMar>
              <w:top w:w="0" w:type="dxa"/>
              <w:left w:w="0" w:type="dxa"/>
              <w:bottom w:w="0" w:type="dxa"/>
              <w:right w:w="0" w:type="dxa"/>
            </w:tcMar>
            <w:vAlign w:val="center"/>
          </w:tcPr>
          <w:p>
            <w:pPr>
              <w:pStyle w:val="TableContents"/>
              <w:bidi w:val="0"/>
              <w:spacing w:lineRule="auto" w:line="288" w:before="0" w:after="0"/>
              <w:ind w:left="0" w:right="0" w:firstLine="72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June 30, 2024 as filed with the Securities and Exchange Commission on the date hereof (the “Report”), I, Carla Vernón, Chief Executive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36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13"/>
        <w:gridCol w:w="913"/>
        <w:gridCol w:w="129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Carla Vernón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Carla Vernón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120"/>
        <w:jc w:val="left"/>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The Honest Company, Inc. (the “Company”) for the period ended June 30, 2024 as filed with the Securities and Exchange Commission on the date hereof (the “Report”), I, David Loretta, Chief Financial Officer of the Company, certify, pursuant to the requirement set forth in Rule 13a-14(b) of the Securities Exchange Act of 1934, as amended, (the “Exchange Act”) and 18 U.S.C. § 1350, as adopted pursuant to § 906 of the Sarbanes-Oxley Act of 2002, that, to the best of my knowledge:</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Exchange Act; and</w:t>
      </w:r>
    </w:p>
    <w:p>
      <w:pPr>
        <w:pStyle w:val="TextBody"/>
        <w:bidi w:val="0"/>
        <w:spacing w:before="0" w:after="0"/>
        <w:jc w:val="left"/>
        <w:rPr/>
      </w:pPr>
      <w:r>
        <w:rPr/>
      </w:r>
    </w:p>
    <w:p>
      <w:pPr>
        <w:pStyle w:val="TextBody"/>
        <w:bidi w:val="0"/>
        <w:spacing w:lineRule="auto" w:line="288" w:before="0" w:after="0"/>
        <w:ind w:left="0" w:right="0" w:hanging="567"/>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673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1309"/>
        <w:gridCol w:w="1309"/>
        <w:gridCol w:w="186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Loretta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David Loretta</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530979/000119312521157761/d488865dex31.htm" TargetMode="External"/><Relationship Id="rId4" Type="http://schemas.openxmlformats.org/officeDocument/2006/relationships/hyperlink" Target="https://www.sec.gov/Archives/edgar/data/1530979/000153097923000038/honestcoq4-22exhibit32.htm" TargetMode="External"/><Relationship Id="rId5" Type="http://schemas.openxmlformats.org/officeDocument/2006/relationships/hyperlink" Target="https://www.sec.gov/ix?doc=/Archives/edgar/data/1530979/000153097924000042/hnst-2024040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20722</Words>
  <Characters>115686</Characters>
  <CharactersWithSpaces>135417</CharactersWithSpaces>
  <Paragraphs>2004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