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3820" w:right="1620" w:hanging="3747"/>
        <w:spacing w:after="0" w:line="194" w:lineRule="auto"/>
        <w:tabs>
          <w:tab w:leader="none" w:pos="479" w:val="left"/>
        </w:tabs>
        <w:numPr>
          <w:ilvl w:val="0"/>
          <w:numId w:val="1"/>
        </w:numPr>
        <w:rPr>
          <w:rFonts w:ascii="MS PGothic" w:cs="MS PGothic" w:eastAsia="MS PGothic" w:hAnsi="MS PGothic"/>
          <w:sz w:val="40"/>
          <w:szCs w:val="40"/>
          <w:color w:val="auto"/>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387"/>
        <w:spacing w:after="0"/>
        <w:tabs>
          <w:tab w:leader="none" w:pos="46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p>
      <w:pPr>
        <w:ind w:left="43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Commission File Number: 001-40378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188595</wp:posOffset>
            </wp:positionV>
            <wp:extent cx="2931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283210</wp:posOffset>
            </wp:positionV>
            <wp:extent cx="1800225"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The Honest Company, Inc.</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26670</wp:posOffset>
            </wp:positionV>
            <wp:extent cx="2931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1"/>
              </w:rPr>
              <w:t>Delaware</w:t>
            </w:r>
          </w:p>
        </w:tc>
        <w:tc>
          <w:tcPr>
            <w:tcW w:w="5840" w:type="dxa"/>
            <w:vAlign w:val="bottom"/>
          </w:tcPr>
          <w:p>
            <w:pPr>
              <w:jc w:val="right"/>
              <w:ind w:right="75"/>
              <w:spacing w:after="0"/>
              <w:rPr>
                <w:sz w:val="20"/>
                <w:szCs w:val="20"/>
                <w:color w:val="auto"/>
              </w:rPr>
            </w:pPr>
            <w:r>
              <w:rPr>
                <w:rFonts w:ascii="Arial" w:cs="Arial" w:eastAsia="Arial" w:hAnsi="Arial"/>
                <w:sz w:val="18"/>
                <w:szCs w:val="18"/>
                <w:b w:val="1"/>
                <w:bCs w:val="1"/>
                <w:color w:val="auto"/>
              </w:rPr>
              <w:t>90-0750205</w:t>
            </w:r>
          </w:p>
        </w:tc>
      </w:tr>
      <w:tr>
        <w:trPr>
          <w:trHeight w:val="250"/>
        </w:trPr>
        <w:tc>
          <w:tcPr>
            <w:tcW w:w="2760" w:type="dxa"/>
            <w:vAlign w:val="bottom"/>
          </w:tcPr>
          <w:p>
            <w:pPr>
              <w:jc w:val="center"/>
              <w:ind w:right="55"/>
              <w:spacing w:after="0"/>
              <w:rPr>
                <w:sz w:val="20"/>
                <w:szCs w:val="20"/>
                <w:color w:val="auto"/>
              </w:rPr>
            </w:pPr>
            <w:r>
              <w:rPr>
                <w:rFonts w:ascii="Arial" w:cs="Arial" w:eastAsia="Arial" w:hAnsi="Arial"/>
                <w:sz w:val="16"/>
                <w:szCs w:val="16"/>
                <w:color w:val="auto"/>
                <w:w w:val="93"/>
              </w:rPr>
              <w:t>(State or Other Jurisdiction of</w:t>
            </w:r>
          </w:p>
        </w:tc>
        <w:tc>
          <w:tcPr>
            <w:tcW w:w="5840" w:type="dxa"/>
            <w:vAlign w:val="bottom"/>
          </w:tcPr>
          <w:p>
            <w:pPr>
              <w:jc w:val="center"/>
              <w:ind w:left="4575"/>
              <w:spacing w:after="0"/>
              <w:rPr>
                <w:sz w:val="20"/>
                <w:szCs w:val="20"/>
                <w:color w:val="auto"/>
              </w:rPr>
            </w:pPr>
            <w:r>
              <w:rPr>
                <w:rFonts w:ascii="Arial" w:cs="Arial" w:eastAsia="Arial" w:hAnsi="Arial"/>
                <w:sz w:val="16"/>
                <w:szCs w:val="16"/>
                <w:color w:val="auto"/>
                <w:w w:val="93"/>
              </w:rPr>
              <w:t>(I.R.S. Employer</w:t>
            </w:r>
          </w:p>
        </w:tc>
      </w:tr>
      <w:tr>
        <w:trPr>
          <w:trHeight w:val="243"/>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4"/>
              </w:rPr>
              <w:t>Incorporation or Organization)</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6"/>
              </w:rPr>
              <w:t>Identification No.)</w:t>
            </w:r>
          </w:p>
        </w:tc>
      </w:tr>
      <w:tr>
        <w:trPr>
          <w:trHeight w:val="263"/>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93"/>
              </w:rPr>
              <w:t>12130 Millennium Drive, #500</w:t>
            </w:r>
          </w:p>
        </w:tc>
        <w:tc>
          <w:tcPr>
            <w:tcW w:w="5840" w:type="dxa"/>
            <w:vAlign w:val="bottom"/>
          </w:tcPr>
          <w:p>
            <w:pPr>
              <w:spacing w:after="0"/>
              <w:rPr>
                <w:sz w:val="22"/>
                <w:szCs w:val="22"/>
                <w:color w:val="auto"/>
              </w:rPr>
            </w:pPr>
          </w:p>
        </w:tc>
      </w:tr>
      <w:tr>
        <w:trPr>
          <w:trHeight w:val="270"/>
        </w:trPr>
        <w:tc>
          <w:tcPr>
            <w:tcW w:w="2760" w:type="dxa"/>
            <w:vAlign w:val="bottom"/>
          </w:tcPr>
          <w:p>
            <w:pPr>
              <w:jc w:val="center"/>
              <w:ind w:right="35"/>
              <w:spacing w:after="0"/>
              <w:rPr>
                <w:sz w:val="20"/>
                <w:szCs w:val="20"/>
                <w:color w:val="auto"/>
              </w:rPr>
            </w:pPr>
            <w:r>
              <w:rPr>
                <w:rFonts w:ascii="Arial" w:cs="Arial" w:eastAsia="Arial" w:hAnsi="Arial"/>
                <w:sz w:val="18"/>
                <w:szCs w:val="18"/>
                <w:b w:val="1"/>
                <w:bCs w:val="1"/>
                <w:color w:val="auto"/>
                <w:w w:val="89"/>
              </w:rPr>
              <w:t>Los Angeles, CA</w:t>
            </w:r>
          </w:p>
        </w:tc>
        <w:tc>
          <w:tcPr>
            <w:tcW w:w="5840" w:type="dxa"/>
            <w:vAlign w:val="bottom"/>
          </w:tcPr>
          <w:p>
            <w:pPr>
              <w:jc w:val="right"/>
              <w:ind w:right="275"/>
              <w:spacing w:after="0"/>
              <w:rPr>
                <w:sz w:val="20"/>
                <w:szCs w:val="20"/>
                <w:color w:val="auto"/>
              </w:rPr>
            </w:pPr>
            <w:r>
              <w:rPr>
                <w:rFonts w:ascii="Arial" w:cs="Arial" w:eastAsia="Arial" w:hAnsi="Arial"/>
                <w:sz w:val="18"/>
                <w:szCs w:val="18"/>
                <w:b w:val="1"/>
                <w:bCs w:val="1"/>
                <w:color w:val="auto"/>
              </w:rPr>
              <w:t>90094</w:t>
            </w:r>
          </w:p>
        </w:tc>
      </w:tr>
      <w:tr>
        <w:trPr>
          <w:trHeight w:val="250"/>
        </w:trPr>
        <w:tc>
          <w:tcPr>
            <w:tcW w:w="2760" w:type="dxa"/>
            <w:vAlign w:val="bottom"/>
          </w:tcPr>
          <w:p>
            <w:pPr>
              <w:jc w:val="center"/>
              <w:ind w:right="35"/>
              <w:spacing w:after="0"/>
              <w:rPr>
                <w:sz w:val="20"/>
                <w:szCs w:val="20"/>
                <w:color w:val="auto"/>
              </w:rPr>
            </w:pPr>
            <w:r>
              <w:rPr>
                <w:rFonts w:ascii="Arial" w:cs="Arial" w:eastAsia="Arial" w:hAnsi="Arial"/>
                <w:sz w:val="16"/>
                <w:szCs w:val="16"/>
                <w:color w:val="auto"/>
                <w:w w:val="93"/>
              </w:rPr>
              <w:t>(Address of Principal Executive Offices)</w:t>
            </w:r>
          </w:p>
        </w:tc>
        <w:tc>
          <w:tcPr>
            <w:tcW w:w="5840" w:type="dxa"/>
            <w:vAlign w:val="bottom"/>
          </w:tcPr>
          <w:p>
            <w:pPr>
              <w:jc w:val="center"/>
              <w:ind w:left="4555"/>
              <w:spacing w:after="0"/>
              <w:rPr>
                <w:sz w:val="20"/>
                <w:szCs w:val="20"/>
                <w:color w:val="auto"/>
              </w:rPr>
            </w:pPr>
            <w:r>
              <w:rPr>
                <w:rFonts w:ascii="Arial" w:cs="Arial" w:eastAsia="Arial" w:hAnsi="Arial"/>
                <w:sz w:val="16"/>
                <w:szCs w:val="16"/>
                <w:color w:val="auto"/>
                <w:w w:val="95"/>
              </w:rPr>
              <w:t>(Zip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w w:val="90"/>
              </w:rPr>
              <w:t>(888) 862-8818</w:t>
            </w:r>
          </w:p>
        </w:tc>
      </w:tr>
      <w:tr>
        <w:trPr>
          <w:trHeight w:val="250"/>
        </w:trPr>
        <w:tc>
          <w:tcPr>
            <w:tcW w:w="2760" w:type="dxa"/>
            <w:vAlign w:val="bottom"/>
          </w:tcPr>
          <w:p>
            <w:pPr>
              <w:spacing w:after="0"/>
              <w:rPr>
                <w:sz w:val="21"/>
                <w:szCs w:val="21"/>
                <w:color w:val="auto"/>
              </w:rPr>
            </w:pPr>
          </w:p>
        </w:tc>
        <w:tc>
          <w:tcPr>
            <w:tcW w:w="5840" w:type="dxa"/>
            <w:vAlign w:val="bottom"/>
          </w:tcPr>
          <w:p>
            <w:pPr>
              <w:jc w:val="center"/>
              <w:ind w:right="1955"/>
              <w:spacing w:after="0"/>
              <w:rPr>
                <w:sz w:val="20"/>
                <w:szCs w:val="20"/>
                <w:color w:val="auto"/>
              </w:rPr>
            </w:pPr>
            <w:r>
              <w:rPr>
                <w:rFonts w:ascii="Arial" w:cs="Arial" w:eastAsia="Arial" w:hAnsi="Arial"/>
                <w:sz w:val="16"/>
                <w:szCs w:val="16"/>
                <w:color w:val="auto"/>
                <w:w w:val="92"/>
              </w:rPr>
              <w:t>(Registrant’s Telephone Number, Including Area Code)</w:t>
            </w:r>
          </w:p>
        </w:tc>
      </w:tr>
      <w:tr>
        <w:trPr>
          <w:trHeight w:val="263"/>
        </w:trPr>
        <w:tc>
          <w:tcPr>
            <w:tcW w:w="2760" w:type="dxa"/>
            <w:vAlign w:val="bottom"/>
          </w:tcPr>
          <w:p>
            <w:pPr>
              <w:spacing w:after="0"/>
              <w:rPr>
                <w:sz w:val="22"/>
                <w:szCs w:val="22"/>
                <w:color w:val="auto"/>
              </w:rPr>
            </w:pPr>
          </w:p>
        </w:tc>
        <w:tc>
          <w:tcPr>
            <w:tcW w:w="5840" w:type="dxa"/>
            <w:vAlign w:val="bottom"/>
          </w:tcPr>
          <w:p>
            <w:pPr>
              <w:jc w:val="center"/>
              <w:ind w:right="1955"/>
              <w:spacing w:after="0"/>
              <w:rPr>
                <w:sz w:val="20"/>
                <w:szCs w:val="20"/>
                <w:color w:val="auto"/>
              </w:rPr>
            </w:pPr>
            <w:r>
              <w:rPr>
                <w:rFonts w:ascii="Arial" w:cs="Arial" w:eastAsia="Arial" w:hAnsi="Arial"/>
                <w:sz w:val="18"/>
                <w:szCs w:val="18"/>
                <w:b w:val="1"/>
                <w:bCs w:val="1"/>
                <w:color w:val="auto"/>
              </w:rPr>
              <w:t>N/A</w:t>
            </w:r>
          </w:p>
        </w:tc>
      </w:tr>
    </w:tbl>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51"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4440" w:type="dxa"/>
            <w:vAlign w:val="bottom"/>
          </w:tcPr>
          <w:p>
            <w:pPr>
              <w:spacing w:after="0"/>
              <w:rPr>
                <w:sz w:val="18"/>
                <w:szCs w:val="18"/>
                <w:color w:val="auto"/>
              </w:rPr>
            </w:pPr>
          </w:p>
        </w:tc>
      </w:tr>
      <w:tr>
        <w:trPr>
          <w:trHeight w:val="234"/>
        </w:trPr>
        <w:tc>
          <w:tcPr>
            <w:tcW w:w="4420" w:type="dxa"/>
            <w:vAlign w:val="bottom"/>
          </w:tcPr>
          <w:p>
            <w:pPr>
              <w:ind w:left="154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420" w:type="dxa"/>
            <w:vAlign w:val="bottom"/>
          </w:tcPr>
          <w:p>
            <w:pPr>
              <w:ind w:left="560"/>
              <w:spacing w:after="0"/>
              <w:rPr>
                <w:sz w:val="20"/>
                <w:szCs w:val="20"/>
                <w:color w:val="auto"/>
              </w:rPr>
            </w:pPr>
            <w:r>
              <w:rPr>
                <w:rFonts w:ascii="Arial" w:cs="Arial" w:eastAsia="Arial" w:hAnsi="Arial"/>
                <w:sz w:val="18"/>
                <w:szCs w:val="18"/>
                <w:color w:val="auto"/>
              </w:rPr>
              <w:t>Common Stock, $0.0001 par value per share</w:t>
            </w:r>
          </w:p>
        </w:tc>
        <w:tc>
          <w:tcPr>
            <w:tcW w:w="100" w:type="dxa"/>
            <w:vAlign w:val="bottom"/>
          </w:tcPr>
          <w:p>
            <w:pPr>
              <w:spacing w:after="0"/>
              <w:rPr>
                <w:sz w:val="20"/>
                <w:szCs w:val="20"/>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HNST</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58" w:lineRule="exact"/>
        <w:rPr>
          <w:sz w:val="24"/>
          <w:szCs w:val="24"/>
          <w:color w:val="auto"/>
        </w:rPr>
      </w:pPr>
    </w:p>
    <w:p>
      <w:pPr>
        <w:jc w:val="both"/>
        <w:ind w:firstLine="539"/>
        <w:spacing w:after="0" w:line="22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539"/>
        <w:spacing w:after="0" w:line="18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53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55" w:lineRule="exact"/>
        <w:rPr>
          <w:sz w:val="24"/>
          <w:szCs w:val="24"/>
          <w:color w:val="auto"/>
        </w:rPr>
      </w:pPr>
    </w:p>
    <w:p>
      <w:pPr>
        <w:ind w:right="280" w:firstLine="539"/>
        <w:spacing w:after="0" w:line="20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20" w:right="339" w:bottom="0" w:gutter="0" w:footer="0" w:header="0"/>
        </w:sectPr>
      </w:pPr>
    </w:p>
    <w:bookmarkStart w:id="1" w:name="page2"/>
    <w:bookmarkEnd w:id="1"/>
    <w:p>
      <w:pPr>
        <w:ind w:right="159" w:firstLine="1"/>
        <w:spacing w:after="0" w:line="34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June 9, 2021, the registrant had 90,281,704 shares of common stock, $0.0001 par value per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990600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17780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9599"/>
          </w:cols>
          <w:pgMar w:left="860" w:top="295"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The Honest Company, Inc.</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64"/>
        </w:trPr>
        <w:tc>
          <w:tcPr>
            <w:tcW w:w="8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8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INFORMATION</w:t>
              </w:r>
            </w:hyperlink>
          </w:p>
        </w:tc>
        <w:tc>
          <w:tcPr>
            <w:tcW w:w="1260" w:type="dxa"/>
            <w:vAlign w:val="bottom"/>
            <w:gridSpan w:val="2"/>
          </w:tcPr>
          <w:p>
            <w:pPr>
              <w:jc w:val="center"/>
              <w:ind w:left="988"/>
              <w:spacing w:after="0"/>
              <w:rPr>
                <w:rFonts w:ascii="Arial" w:cs="Arial" w:eastAsia="Arial" w:hAnsi="Arial"/>
                <w:sz w:val="20"/>
                <w:szCs w:val="20"/>
                <w:color w:val="0000FF"/>
                <w:w w:val="89"/>
              </w:rPr>
            </w:pPr>
            <w:hyperlink w:anchor="page4">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Financial Statements (unaudited)</w:t>
              </w:r>
            </w:hyperlink>
          </w:p>
        </w:tc>
        <w:tc>
          <w:tcPr>
            <w:tcW w:w="1260" w:type="dxa"/>
            <w:vAlign w:val="bottom"/>
            <w:gridSpan w:val="2"/>
          </w:tcPr>
          <w:p>
            <w:pPr>
              <w:jc w:val="center"/>
              <w:ind w:left="98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3</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88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Balance Sheets</w:t>
              </w:r>
            </w:hyperlink>
          </w:p>
        </w:tc>
        <w:tc>
          <w:tcPr>
            <w:tcW w:w="1260" w:type="dxa"/>
            <w:vAlign w:val="bottom"/>
            <w:gridSpan w:val="2"/>
          </w:tcPr>
          <w:p>
            <w:pPr>
              <w:jc w:val="center"/>
              <w:ind w:left="988"/>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888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Comprehensive Income (Loss)</w:t>
              </w:r>
            </w:hyperlink>
          </w:p>
        </w:tc>
        <w:tc>
          <w:tcPr>
            <w:tcW w:w="1260" w:type="dxa"/>
            <w:vAlign w:val="bottom"/>
            <w:gridSpan w:val="2"/>
          </w:tcPr>
          <w:p>
            <w:pPr>
              <w:jc w:val="center"/>
              <w:ind w:left="988"/>
              <w:spacing w:after="0"/>
              <w:rPr>
                <w:rFonts w:ascii="Arial" w:cs="Arial" w:eastAsia="Arial" w:hAnsi="Arial"/>
                <w:sz w:val="20"/>
                <w:szCs w:val="20"/>
                <w:color w:val="0000FF"/>
                <w:w w:val="89"/>
              </w:rPr>
            </w:pPr>
            <w:hyperlink w:anchor="page5">
              <w:r>
                <w:rPr>
                  <w:rFonts w:ascii="Arial" w:cs="Arial" w:eastAsia="Arial" w:hAnsi="Arial"/>
                  <w:sz w:val="20"/>
                  <w:szCs w:val="20"/>
                  <w:color w:val="0000FF"/>
                  <w:w w:val="89"/>
                </w:rPr>
                <w:t>4</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spacing w:after="0"/>
              <w:rPr>
                <w:sz w:val="22"/>
                <w:szCs w:val="22"/>
                <w:color w:val="auto"/>
              </w:rPr>
            </w:pPr>
          </w:p>
        </w:tc>
        <w:tc>
          <w:tcPr>
            <w:tcW w:w="8880" w:type="dxa"/>
            <w:vAlign w:val="bottom"/>
          </w:tcPr>
          <w:p>
            <w:pPr>
              <w:ind w:left="1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Redeemable Convertible Preferred Stock and Stockholders’ Deficit</w:t>
              </w:r>
            </w:hyperlink>
          </w:p>
        </w:tc>
        <w:tc>
          <w:tcPr>
            <w:tcW w:w="1260" w:type="dxa"/>
            <w:vAlign w:val="bottom"/>
            <w:gridSpan w:val="2"/>
          </w:tcPr>
          <w:p>
            <w:pPr>
              <w:jc w:val="center"/>
              <w:ind w:left="988"/>
              <w:spacing w:after="0"/>
              <w:rPr>
                <w:rFonts w:ascii="Arial" w:cs="Arial" w:eastAsia="Arial" w:hAnsi="Arial"/>
                <w:sz w:val="20"/>
                <w:szCs w:val="20"/>
                <w:color w:val="0000FF"/>
                <w:w w:val="89"/>
              </w:rPr>
            </w:pPr>
            <w:hyperlink w:anchor="page6">
              <w:r>
                <w:rPr>
                  <w:rFonts w:ascii="Arial" w:cs="Arial" w:eastAsia="Arial" w:hAnsi="Arial"/>
                  <w:sz w:val="20"/>
                  <w:szCs w:val="20"/>
                  <w:color w:val="0000FF"/>
                  <w:w w:val="89"/>
                </w:rPr>
                <w:t>5</w:t>
              </w:r>
            </w:hyperlink>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880" w:type="dxa"/>
            <w:vAlign w:val="bottom"/>
          </w:tcPr>
          <w:p>
            <w:pPr>
              <w:ind w:left="1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w:t>
              </w:r>
            </w:hyperlink>
          </w:p>
        </w:tc>
        <w:tc>
          <w:tcPr>
            <w:tcW w:w="1260" w:type="dxa"/>
            <w:vAlign w:val="bottom"/>
            <w:gridSpan w:val="2"/>
          </w:tcPr>
          <w:p>
            <w:pPr>
              <w:jc w:val="center"/>
              <w:ind w:left="988"/>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6</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88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1260" w:type="dxa"/>
            <w:vAlign w:val="bottom"/>
            <w:gridSpan w:val="2"/>
          </w:tcPr>
          <w:p>
            <w:pPr>
              <w:jc w:val="center"/>
              <w:ind w:left="988"/>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tcPr>
          <w:p>
            <w:pPr>
              <w:ind w:left="140"/>
              <w:spacing w:after="0"/>
              <w:rPr>
                <w:rFonts w:ascii="Arial" w:cs="Arial" w:eastAsia="Arial" w:hAnsi="Arial"/>
                <w:sz w:val="18"/>
                <w:szCs w:val="18"/>
                <w:color w:val="auto"/>
              </w:rPr>
            </w:pPr>
            <w:hyperlink w:anchor="page19">
              <w:r>
                <w:rPr>
                  <w:rFonts w:ascii="Arial" w:cs="Arial" w:eastAsia="Arial" w:hAnsi="Arial"/>
                  <w:sz w:val="18"/>
                  <w:szCs w:val="18"/>
                  <w:color w:val="auto"/>
                </w:rPr>
                <w:t>Management’s Discussion and Analysis of Financial Condition and Results of Operations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Quantitative and Qualitative Disclosures About Market Risk</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28</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Controls and Procedures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II.</w:t>
            </w: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vMerge w:val="continue"/>
          </w:tcPr>
          <w:p>
            <w:pPr>
              <w:spacing w:after="0"/>
              <w:rPr>
                <w:sz w:val="21"/>
                <w:szCs w:val="21"/>
                <w:color w:val="auto"/>
              </w:rPr>
            </w:pPr>
          </w:p>
        </w:tc>
        <w:tc>
          <w:tcPr>
            <w:tcW w:w="8880" w:type="dxa"/>
            <w:vAlign w:val="bottom"/>
          </w:tcPr>
          <w:p>
            <w:pPr>
              <w:ind w:left="140"/>
              <w:spacing w:after="0"/>
              <w:rPr>
                <w:rFonts w:ascii="Arial" w:cs="Arial" w:eastAsia="Arial" w:hAnsi="Arial"/>
                <w:sz w:val="18"/>
                <w:szCs w:val="18"/>
                <w:color w:val="auto"/>
              </w:rPr>
            </w:pPr>
            <w:hyperlink w:anchor="page32">
              <w:r>
                <w:rPr>
                  <w:rFonts w:ascii="Arial" w:cs="Arial" w:eastAsia="Arial" w:hAnsi="Arial"/>
                  <w:sz w:val="18"/>
                  <w:szCs w:val="18"/>
                  <w:color w:val="auto"/>
                </w:rPr>
                <w:t>OTHER INFORMATION</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888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Risk Factors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Unregistered Sales of Equity Securities and Use of Proceeds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Defaults Under Senior Securities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Mine Safety Disclosures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888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Other Information</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32</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8880" w:type="dxa"/>
            <w:vAlign w:val="bottom"/>
          </w:tcPr>
          <w:p>
            <w:pPr>
              <w:ind w:left="140"/>
              <w:spacing w:after="0"/>
              <w:rPr>
                <w:rFonts w:ascii="Arial" w:cs="Arial" w:eastAsia="Arial" w:hAnsi="Arial"/>
                <w:sz w:val="18"/>
                <w:szCs w:val="18"/>
                <w:color w:val="auto"/>
              </w:rPr>
            </w:pPr>
            <w:hyperlink w:anchor="page34">
              <w:r>
                <w:rPr>
                  <w:rFonts w:ascii="Arial" w:cs="Arial" w:eastAsia="Arial" w:hAnsi="Arial"/>
                  <w:sz w:val="18"/>
                  <w:szCs w:val="18"/>
                  <w:color w:val="auto"/>
                </w:rPr>
                <w:t>Exhibits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33</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60" w:type="dxa"/>
            <w:vAlign w:val="bottom"/>
            <w:tcBorders>
              <w:righ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spacing w:after="0"/>
              <w:rPr>
                <w:sz w:val="21"/>
                <w:szCs w:val="21"/>
                <w:color w:val="auto"/>
              </w:rPr>
            </w:pPr>
          </w:p>
        </w:tc>
        <w:tc>
          <w:tcPr>
            <w:tcW w:w="8880" w:type="dxa"/>
            <w:vAlign w:val="bottom"/>
          </w:tcPr>
          <w:p>
            <w:pPr>
              <w:ind w:left="140"/>
              <w:spacing w:after="0"/>
              <w:rPr>
                <w:rFonts w:ascii="Arial" w:cs="Arial" w:eastAsia="Arial" w:hAnsi="Arial"/>
                <w:sz w:val="18"/>
                <w:szCs w:val="18"/>
                <w:color w:val="auto"/>
              </w:rPr>
            </w:pPr>
            <w:hyperlink w:anchor="page36">
              <w:r>
                <w:rPr>
                  <w:rFonts w:ascii="Arial" w:cs="Arial" w:eastAsia="Arial" w:hAnsi="Arial"/>
                  <w:sz w:val="18"/>
                  <w:szCs w:val="18"/>
                  <w:color w:val="auto"/>
                </w:rPr>
                <w:t>Signatures</w:t>
              </w:r>
            </w:hyperlink>
          </w:p>
        </w:tc>
        <w:tc>
          <w:tcPr>
            <w:tcW w:w="1260" w:type="dxa"/>
            <w:vAlign w:val="bottom"/>
            <w:gridSpan w:val="2"/>
          </w:tcPr>
          <w:p>
            <w:pPr>
              <w:jc w:val="center"/>
              <w:ind w:left="988"/>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769"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those set forth in Part II, Item 1A, “Risk Factors” and other factors set forth in other parts of this Quarterly Report on Form 10-Q.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the following:</w:t>
      </w:r>
    </w:p>
    <w:p>
      <w:pPr>
        <w:spacing w:after="0" w:line="236" w:lineRule="exact"/>
        <w:rPr>
          <w:sz w:val="20"/>
          <w:szCs w:val="20"/>
          <w:color w:val="auto"/>
        </w:rPr>
      </w:pPr>
    </w:p>
    <w:p>
      <w:pPr>
        <w:ind w:left="280" w:hanging="110"/>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revenue, cost of revenue, operating expenses, gross margin, adjusted EBITDA and other operating results;</w:t>
      </w:r>
    </w:p>
    <w:p>
      <w:pPr>
        <w:spacing w:after="0" w:line="61" w:lineRule="exact"/>
        <w:rPr>
          <w:rFonts w:ascii="Arial" w:cs="Arial" w:eastAsia="Arial" w:hAnsi="Arial"/>
          <w:sz w:val="17"/>
          <w:szCs w:val="17"/>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consumers and successfully retain existing consumers;</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marketing efforts, and our ability to grow brand awareness and maintain, protect and enhance our brand;</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inventory;</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gauge consumer trends and changing consumer preferences;</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and any costs associated therewith;</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or other public health crises on our business and the global economy;</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expand internationally;</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complete acquisitions that complement and expand our reach and platform;</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manufacturers, distributors and retailers;</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suppliers and manufacturers to comply with safety, environmental or other laws or regulations;</w:t>
      </w:r>
    </w:p>
    <w:p>
      <w:pPr>
        <w:spacing w:after="0" w:line="49" w:lineRule="exact"/>
        <w:rPr>
          <w:rFonts w:ascii="Arial" w:cs="Arial" w:eastAsia="Arial" w:hAnsi="Arial"/>
          <w:sz w:val="18"/>
          <w:szCs w:val="18"/>
          <w:color w:val="auto"/>
        </w:rPr>
      </w:pPr>
    </w:p>
    <w:p>
      <w:pPr>
        <w:ind w:left="660" w:right="80" w:hanging="490"/>
        <w:spacing w:after="0" w:line="273" w:lineRule="auto"/>
        <w:tabs>
          <w:tab w:leader="none" w:pos="291"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or remain in compliance with laws and regulations that currently apply or become applicable to our business in the United States, including FDA governmental regulation and state regulation; and other jurisdictions where we elect to do business;</w:t>
      </w:r>
    </w:p>
    <w:p>
      <w:pPr>
        <w:spacing w:after="0" w:line="1"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outcome of legal or administrative proceedings; and</w:t>
      </w:r>
    </w:p>
    <w:p>
      <w:pPr>
        <w:spacing w:after="0" w:line="49" w:lineRule="exact"/>
        <w:rPr>
          <w:rFonts w:ascii="Arial" w:cs="Arial" w:eastAsia="Arial" w:hAnsi="Arial"/>
          <w:sz w:val="18"/>
          <w:szCs w:val="18"/>
          <w:color w:val="auto"/>
        </w:rPr>
      </w:pPr>
    </w:p>
    <w:p>
      <w:pPr>
        <w:ind w:left="280" w:hanging="110"/>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540" w:type="dxa"/>
            <w:vAlign w:val="bottom"/>
          </w:tcPr>
          <w:p>
            <w:pPr>
              <w:jc w:val="center"/>
              <w:ind w:left="3610"/>
              <w:spacing w:after="0"/>
              <w:rPr>
                <w:sz w:val="20"/>
                <w:szCs w:val="20"/>
                <w:color w:val="auto"/>
              </w:rPr>
            </w:pPr>
            <w:r>
              <w:rPr>
                <w:rFonts w:ascii="Arial" w:cs="Arial" w:eastAsia="Arial" w:hAnsi="Arial"/>
                <w:sz w:val="18"/>
                <w:szCs w:val="18"/>
                <w:b w:val="1"/>
                <w:bCs w:val="1"/>
                <w:color w:val="auto"/>
              </w:rPr>
              <w:t>PART I—FINANCIAL INFORMATION</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754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540" w:type="dxa"/>
            <w:vAlign w:val="bottom"/>
          </w:tcPr>
          <w:p>
            <w:pPr>
              <w:jc w:val="center"/>
              <w:ind w:left="3630"/>
              <w:spacing w:after="0"/>
              <w:rPr>
                <w:sz w:val="20"/>
                <w:szCs w:val="20"/>
                <w:color w:val="auto"/>
              </w:rPr>
            </w:pPr>
            <w:r>
              <w:rPr>
                <w:rFonts w:ascii="Arial" w:cs="Arial" w:eastAsia="Arial" w:hAnsi="Arial"/>
                <w:sz w:val="18"/>
                <w:szCs w:val="18"/>
                <w:b w:val="1"/>
                <w:bCs w:val="1"/>
                <w:color w:val="auto"/>
                <w:w w:val="91"/>
              </w:rPr>
              <w:t>The Honest Company, Inc.</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40" w:type="dxa"/>
            <w:vAlign w:val="bottom"/>
          </w:tcPr>
          <w:p>
            <w:pPr>
              <w:jc w:val="center"/>
              <w:ind w:left="3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500"/>
              <w:spacing w:after="0"/>
              <w:rPr>
                <w:sz w:val="20"/>
                <w:szCs w:val="20"/>
                <w:color w:val="auto"/>
              </w:rPr>
            </w:pPr>
            <w:r>
              <w:rPr>
                <w:rFonts w:ascii="Arial" w:cs="Arial" w:eastAsia="Arial" w:hAnsi="Arial"/>
                <w:sz w:val="18"/>
                <w:szCs w:val="18"/>
                <w:i w:val="1"/>
                <w:iCs w:val="1"/>
                <w:color w:val="auto"/>
              </w:rPr>
              <w:t>(Unaudited)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jc w:val="center"/>
              <w:ind w:left="361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2021</w:t>
            </w:r>
          </w:p>
        </w:tc>
        <w:tc>
          <w:tcPr>
            <w:tcW w:w="18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39,013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29,259</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22,795</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75,738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76,669</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173,557</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Restricted cash, net of current portion</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6,189</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56,703</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29,015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31,132</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54,070</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Long term liabilities</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Lease financing obligation, net of current portion</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38,206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38,426</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97,693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101,153</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20"/>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540" w:type="dxa"/>
            <w:vAlign w:val="bottom"/>
          </w:tcPr>
          <w:p>
            <w:pPr>
              <w:ind w:left="20"/>
              <w:spacing w:after="0"/>
              <w:rPr>
                <w:sz w:val="20"/>
                <w:szCs w:val="20"/>
                <w:color w:val="auto"/>
              </w:rPr>
            </w:pPr>
            <w:r>
              <w:rPr>
                <w:rFonts w:ascii="Arial" w:cs="Arial" w:eastAsia="Arial" w:hAnsi="Arial"/>
                <w:sz w:val="18"/>
                <w:szCs w:val="18"/>
                <w:color w:val="auto"/>
                <w:w w:val="90"/>
              </w:rPr>
              <w:t>Redeemable convertible preferred stock, $0.0001 par value, 49,192,248 shares authorized at March 31,</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Arial" w:cs="Arial" w:eastAsia="Arial" w:hAnsi="Arial"/>
                <w:sz w:val="18"/>
                <w:szCs w:val="18"/>
                <w:color w:val="auto"/>
                <w:w w:val="94"/>
              </w:rPr>
              <w:t>2021 and December 31, 2020; 49,100,928 shares issued and outstanding as of March 31, 2021 and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w w:val="90"/>
              </w:rPr>
              <w:t>December 31, 2020; (liquidation preference of $396,726 as of March 31, 2021 and December 31, 2020)</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376,404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376,404</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540" w:type="dxa"/>
            <w:vAlign w:val="bottom"/>
          </w:tcPr>
          <w:p>
            <w:pPr>
              <w:ind w:left="140"/>
              <w:spacing w:after="0"/>
              <w:rPr>
                <w:sz w:val="20"/>
                <w:szCs w:val="20"/>
                <w:color w:val="auto"/>
              </w:rPr>
            </w:pPr>
            <w:r>
              <w:rPr>
                <w:rFonts w:ascii="Arial" w:cs="Arial" w:eastAsia="Arial" w:hAnsi="Arial"/>
                <w:sz w:val="18"/>
                <w:szCs w:val="18"/>
                <w:color w:val="auto"/>
                <w:w w:val="91"/>
              </w:rPr>
              <w:t>Common stock, $0.0001 par value, 110,000,000 shares authorized at March 31, 2021 and December</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Arial" w:cs="Arial" w:eastAsia="Arial" w:hAnsi="Arial"/>
                <w:sz w:val="18"/>
                <w:szCs w:val="18"/>
                <w:color w:val="auto"/>
                <w:w w:val="97"/>
              </w:rPr>
              <w:t>31, 2020; 34,127,374 and 34,089,186 shares issued and outstanding as of March 31, 2021 and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December 31, 2020, respectively</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117,926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116,055</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(357,461)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(352,977)</w:t>
            </w:r>
          </w:p>
        </w:tc>
        <w:tc>
          <w:tcPr>
            <w:tcW w:w="0" w:type="dxa"/>
            <w:vAlign w:val="bottom"/>
          </w:tcPr>
          <w:p>
            <w:pPr>
              <w:spacing w:after="0"/>
              <w:rPr>
                <w:sz w:val="1"/>
                <w:szCs w:val="1"/>
                <w:color w:val="auto"/>
              </w:rPr>
            </w:pPr>
          </w:p>
        </w:tc>
      </w:tr>
      <w:tr>
        <w:trPr>
          <w:trHeight w:val="270"/>
        </w:trPr>
        <w:tc>
          <w:tcPr>
            <w:tcW w:w="75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540" w:type="dxa"/>
            <w:vAlign w:val="bottom"/>
          </w:tcPr>
          <w:p>
            <w:pPr>
              <w:ind w:left="240"/>
              <w:spacing w:after="0"/>
              <w:rPr>
                <w:sz w:val="20"/>
                <w:szCs w:val="20"/>
                <w:color w:val="auto"/>
              </w:rPr>
            </w:pPr>
            <w:r>
              <w:rPr>
                <w:rFonts w:ascii="Arial" w:cs="Arial" w:eastAsia="Arial" w:hAnsi="Arial"/>
                <w:sz w:val="18"/>
                <w:szCs w:val="18"/>
                <w:color w:val="auto"/>
              </w:rPr>
              <w:t>Total stockholders’ deficit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(239,520)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(236,825)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240,732</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20"/>
          </w:cols>
          <w:pgMar w:left="320" w:top="769" w:right="359" w:bottom="6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658"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For the three months ended March 31,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240" w:type="dxa"/>
            <w:vAlign w:val="bottom"/>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81,032</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72,372</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52,651</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28,381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16,697</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14,173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32,516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(4,462)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4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
        </w:trPr>
        <w:tc>
          <w:tcPr>
            <w:tcW w:w="724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8"/>
                <w:szCs w:val="18"/>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302"/>
        </w:trPr>
        <w:tc>
          <w:tcPr>
            <w:tcW w:w="72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color w:val="auto"/>
                <w:w w:val="93"/>
              </w:rPr>
              <w:t>Weighted-average shares used in computing net income (loss) per share attributable to common</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7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34,102,123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34,061,001</w:t>
            </w: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34,102,123</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34,706,987</w:t>
            </w:r>
          </w:p>
        </w:tc>
        <w:tc>
          <w:tcPr>
            <w:tcW w:w="0" w:type="dxa"/>
            <w:vAlign w:val="bottom"/>
          </w:tcPr>
          <w:p>
            <w:pPr>
              <w:spacing w:after="0"/>
              <w:rPr>
                <w:sz w:val="1"/>
                <w:szCs w:val="1"/>
                <w:color w:val="auto"/>
              </w:rPr>
            </w:pPr>
          </w:p>
        </w:tc>
      </w:tr>
      <w:tr>
        <w:trPr>
          <w:trHeight w:val="540"/>
        </w:trPr>
        <w:tc>
          <w:tcPr>
            <w:tcW w:w="72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40" w:type="dxa"/>
            <w:vAlign w:val="bottom"/>
          </w:tcPr>
          <w:p>
            <w:pPr>
              <w:ind w:left="120"/>
              <w:spacing w:after="0"/>
              <w:rPr>
                <w:sz w:val="20"/>
                <w:szCs w:val="20"/>
                <w:color w:val="auto"/>
              </w:rPr>
            </w:pPr>
            <w:r>
              <w:rPr>
                <w:rFonts w:ascii="Arial" w:cs="Arial" w:eastAsia="Arial" w:hAnsi="Arial"/>
                <w:sz w:val="18"/>
                <w:szCs w:val="18"/>
                <w:color w:val="auto"/>
              </w:rPr>
              <w:t>Unrealized gain (loss) on short-term investments, net of taxes</w:t>
            </w: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40" w:type="dxa"/>
            <w:vAlign w:val="bottom"/>
          </w:tcPr>
          <w:p>
            <w:pPr>
              <w:ind w:left="22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ind w:left="5480" w:right="1400" w:hanging="3978"/>
        <w:spacing w:after="0" w:line="250" w:lineRule="auto"/>
        <w:rPr>
          <w:sz w:val="20"/>
          <w:szCs w:val="20"/>
          <w:color w:val="auto"/>
        </w:rPr>
      </w:pPr>
      <w:r>
        <w:rPr>
          <w:rFonts w:ascii="Arial" w:cs="Arial" w:eastAsia="Arial" w:hAnsi="Arial"/>
          <w:sz w:val="18"/>
          <w:szCs w:val="18"/>
          <w:b w:val="1"/>
          <w:bCs w:val="1"/>
          <w:color w:val="auto"/>
        </w:rPr>
        <w:t xml:space="preserve">Condensed Consolidated Statements of Redeemable Convertible Preferred Stock and Stockholders’ Deficit </w:t>
      </w:r>
      <w:r>
        <w:rPr>
          <w:rFonts w:ascii="Arial" w:cs="Arial" w:eastAsia="Arial" w:hAnsi="Arial"/>
          <w:sz w:val="18"/>
          <w:szCs w:val="18"/>
          <w:i w:val="1"/>
          <w:i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8"/>
                <w:szCs w:val="18"/>
                <w:b w:val="1"/>
                <w:bCs w:val="1"/>
                <w:color w:val="auto"/>
                <w:w w:val="90"/>
              </w:rPr>
              <w:t>Redeemable Convertible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tcBorders>
              <w:right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2"/>
                <w:szCs w:val="12"/>
                <w:color w:val="auto"/>
              </w:rPr>
            </w:pPr>
          </w:p>
        </w:tc>
        <w:tc>
          <w:tcPr>
            <w:tcW w:w="8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8"/>
                <w:szCs w:val="18"/>
                <w:b w:val="1"/>
                <w:bCs w:val="1"/>
                <w:color w:val="auto"/>
                <w:w w:val="90"/>
              </w:rPr>
              <w:t>Preferred Stock</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7"/>
            <w:vMerge w:val="restart"/>
          </w:tcPr>
          <w:p>
            <w:pPr>
              <w:jc w:val="right"/>
              <w:ind w:right="240"/>
              <w:spacing w:after="0"/>
              <w:rPr>
                <w:sz w:val="20"/>
                <w:szCs w:val="20"/>
                <w:color w:val="auto"/>
              </w:rPr>
            </w:pPr>
            <w:r>
              <w:rPr>
                <w:rFonts w:ascii="Arial" w:cs="Arial" w:eastAsia="Arial" w:hAnsi="Arial"/>
                <w:sz w:val="18"/>
                <w:szCs w:val="18"/>
                <w:b w:val="1"/>
                <w:bCs w:val="1"/>
                <w:color w:val="auto"/>
                <w:w w:val="93"/>
              </w:rPr>
              <w:t>Common Stock Issued</w:t>
            </w:r>
          </w:p>
        </w:tc>
        <w:tc>
          <w:tcPr>
            <w:tcW w:w="10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right w:val="single" w:sz="8" w:color="auto"/>
            </w:tcBorders>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Paid-in</w:t>
            </w:r>
          </w:p>
        </w:tc>
        <w:tc>
          <w:tcPr>
            <w:tcW w:w="20" w:type="dxa"/>
            <w:vAlign w:val="bottom"/>
          </w:tcPr>
          <w:p>
            <w:pPr>
              <w:spacing w:after="0"/>
              <w:rPr>
                <w:sz w:val="14"/>
                <w:szCs w:val="14"/>
                <w:color w:val="auto"/>
              </w:rPr>
            </w:pPr>
          </w:p>
        </w:tc>
        <w:tc>
          <w:tcPr>
            <w:tcW w:w="1120" w:type="dxa"/>
            <w:vAlign w:val="bottom"/>
            <w:gridSpan w:val="4"/>
            <w:vMerge w:val="restart"/>
          </w:tcPr>
          <w:p>
            <w:pPr>
              <w:spacing w:after="0" w:line="194" w:lineRule="exact"/>
              <w:rPr>
                <w:sz w:val="20"/>
                <w:szCs w:val="20"/>
                <w:color w:val="auto"/>
              </w:rPr>
            </w:pPr>
            <w:r>
              <w:rPr>
                <w:rFonts w:ascii="Arial" w:cs="Arial" w:eastAsia="Arial" w:hAnsi="Arial"/>
                <w:sz w:val="18"/>
                <w:szCs w:val="18"/>
                <w:b w:val="1"/>
                <w:bCs w:val="1"/>
                <w:color w:val="auto"/>
                <w:w w:val="97"/>
              </w:rPr>
              <w:t>Accumulated</w:t>
            </w:r>
          </w:p>
        </w:tc>
        <w:tc>
          <w:tcPr>
            <w:tcW w:w="20" w:type="dxa"/>
            <w:vAlign w:val="bottom"/>
          </w:tcPr>
          <w:p>
            <w:pPr>
              <w:spacing w:after="0"/>
              <w:rPr>
                <w:sz w:val="14"/>
                <w:szCs w:val="14"/>
                <w:color w:val="auto"/>
              </w:rPr>
            </w:pPr>
          </w:p>
        </w:tc>
        <w:tc>
          <w:tcPr>
            <w:tcW w:w="1320" w:type="dxa"/>
            <w:vAlign w:val="bottom"/>
            <w:gridSpan w:val="3"/>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Comprehensive</w:t>
            </w:r>
          </w:p>
        </w:tc>
        <w:tc>
          <w:tcPr>
            <w:tcW w:w="1080" w:type="dxa"/>
            <w:vAlign w:val="bottom"/>
            <w:gridSpan w:val="2"/>
            <w:vMerge w:val="restart"/>
          </w:tcPr>
          <w:p>
            <w:pPr>
              <w:ind w:left="20"/>
              <w:spacing w:after="0" w:line="194" w:lineRule="exact"/>
              <w:rPr>
                <w:sz w:val="20"/>
                <w:szCs w:val="20"/>
                <w:color w:val="auto"/>
              </w:rPr>
            </w:pPr>
            <w:r>
              <w:rPr>
                <w:rFonts w:ascii="Arial" w:cs="Arial" w:eastAsia="Arial" w:hAnsi="Arial"/>
                <w:sz w:val="18"/>
                <w:szCs w:val="18"/>
                <w:b w:val="1"/>
                <w:bCs w:val="1"/>
                <w:color w:val="auto"/>
                <w:w w:val="87"/>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ind w:left="22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(Loss)</w:t>
            </w:r>
          </w:p>
        </w:tc>
        <w:tc>
          <w:tcPr>
            <w:tcW w:w="20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Deficit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Balances at December 31,</w:t>
            </w: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2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49,100,928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376,404</w:t>
            </w:r>
          </w:p>
        </w:tc>
        <w:tc>
          <w:tcPr>
            <w:tcW w:w="2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34,033,074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108,109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(338,511)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w w:val="99"/>
              </w:rPr>
              <w:t>(7)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29,420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220" w:type="dxa"/>
            <w:vAlign w:val="bottom"/>
          </w:tcPr>
          <w:p>
            <w:pPr>
              <w:spacing w:after="0"/>
              <w:rPr>
                <w:sz w:val="20"/>
                <w:szCs w:val="20"/>
                <w:color w:val="auto"/>
              </w:rPr>
            </w:pPr>
            <w:r>
              <w:rPr>
                <w:rFonts w:ascii="Arial" w:cs="Arial" w:eastAsia="Arial" w:hAnsi="Arial"/>
                <w:sz w:val="18"/>
                <w:szCs w:val="18"/>
                <w:b w:val="1"/>
                <w:bCs w:val="1"/>
                <w:color w:val="auto"/>
                <w:w w:val="94"/>
              </w:rPr>
              <w:t>Balances at March 31, 2020</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49,100,928</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376,404</w:t>
            </w:r>
          </w:p>
        </w:tc>
        <w:tc>
          <w:tcPr>
            <w:tcW w:w="2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34,062,494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(337,952)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90"/>
              </w:rPr>
              <w:t>Redeemable Convertible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gridSpan w:val="6"/>
            <w:vMerge w:val="continue"/>
          </w:tcPr>
          <w:p>
            <w:pPr>
              <w:spacing w:after="0"/>
              <w:rPr>
                <w:sz w:val="20"/>
                <w:szCs w:val="20"/>
                <w:color w:val="auto"/>
              </w:rPr>
            </w:pPr>
          </w:p>
        </w:tc>
        <w:tc>
          <w:tcPr>
            <w:tcW w:w="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6"/>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93"/>
              </w:rPr>
              <w:t>Additional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2"/>
                <w:szCs w:val="12"/>
                <w:color w:val="auto"/>
              </w:rPr>
            </w:pPr>
          </w:p>
        </w:tc>
        <w:tc>
          <w:tcPr>
            <w:tcW w:w="8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gridSpan w:val="6"/>
            <w:vMerge w:val="restart"/>
          </w:tcPr>
          <w:p>
            <w:pPr>
              <w:jc w:val="center"/>
              <w:ind w:right="80"/>
              <w:spacing w:after="0"/>
              <w:rPr>
                <w:sz w:val="20"/>
                <w:szCs w:val="20"/>
                <w:color w:val="auto"/>
              </w:rPr>
            </w:pPr>
            <w:r>
              <w:rPr>
                <w:rFonts w:ascii="Arial" w:cs="Arial" w:eastAsia="Arial" w:hAnsi="Arial"/>
                <w:sz w:val="18"/>
                <w:szCs w:val="18"/>
                <w:b w:val="1"/>
                <w:bCs w:val="1"/>
                <w:color w:val="auto"/>
                <w:w w:val="90"/>
              </w:rPr>
              <w:t>Preferred Stock</w:t>
            </w:r>
          </w:p>
        </w:tc>
        <w:tc>
          <w:tcPr>
            <w:tcW w:w="60" w:type="dxa"/>
            <w:vAlign w:val="bottom"/>
            <w:tcBorders>
              <w:lef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7"/>
            <w:vMerge w:val="restart"/>
          </w:tcPr>
          <w:p>
            <w:pPr>
              <w:jc w:val="right"/>
              <w:ind w:right="220"/>
              <w:spacing w:after="0"/>
              <w:rPr>
                <w:sz w:val="20"/>
                <w:szCs w:val="20"/>
                <w:color w:val="auto"/>
              </w:rPr>
            </w:pPr>
            <w:r>
              <w:rPr>
                <w:rFonts w:ascii="Arial" w:cs="Arial" w:eastAsia="Arial" w:hAnsi="Arial"/>
                <w:sz w:val="18"/>
                <w:szCs w:val="18"/>
                <w:b w:val="1"/>
                <w:bCs w:val="1"/>
                <w:color w:val="auto"/>
                <w:w w:val="94"/>
              </w:rPr>
              <w:t>Common Stock Issued</w:t>
            </w:r>
          </w:p>
        </w:tc>
        <w:tc>
          <w:tcPr>
            <w:tcW w:w="10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60" w:type="dxa"/>
            <w:vAlign w:val="bottom"/>
            <w:tcBorders>
              <w:lef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jc w:val="center"/>
              <w:ind w:right="200"/>
              <w:spacing w:after="0" w:line="194" w:lineRule="exact"/>
              <w:rPr>
                <w:sz w:val="20"/>
                <w:szCs w:val="20"/>
                <w:color w:val="auto"/>
              </w:rPr>
            </w:pPr>
            <w:r>
              <w:rPr>
                <w:rFonts w:ascii="Arial" w:cs="Arial" w:eastAsia="Arial" w:hAnsi="Arial"/>
                <w:sz w:val="18"/>
                <w:szCs w:val="18"/>
                <w:b w:val="1"/>
                <w:bCs w:val="1"/>
                <w:color w:val="auto"/>
                <w:w w:val="93"/>
              </w:rPr>
              <w:t>Paid-in</w:t>
            </w:r>
          </w:p>
        </w:tc>
        <w:tc>
          <w:tcPr>
            <w:tcW w:w="20" w:type="dxa"/>
            <w:vAlign w:val="bottom"/>
          </w:tcPr>
          <w:p>
            <w:pPr>
              <w:spacing w:after="0"/>
              <w:rPr>
                <w:sz w:val="14"/>
                <w:szCs w:val="14"/>
                <w:color w:val="auto"/>
              </w:rPr>
            </w:pPr>
          </w:p>
        </w:tc>
        <w:tc>
          <w:tcPr>
            <w:tcW w:w="1120" w:type="dxa"/>
            <w:vAlign w:val="bottom"/>
            <w:gridSpan w:val="4"/>
            <w:vMerge w:val="restart"/>
          </w:tcPr>
          <w:p>
            <w:pPr>
              <w:ind w:left="20"/>
              <w:spacing w:after="0" w:line="194" w:lineRule="exact"/>
              <w:rPr>
                <w:sz w:val="20"/>
                <w:szCs w:val="20"/>
                <w:color w:val="auto"/>
              </w:rPr>
            </w:pPr>
            <w:r>
              <w:rPr>
                <w:rFonts w:ascii="Arial" w:cs="Arial" w:eastAsia="Arial" w:hAnsi="Arial"/>
                <w:sz w:val="18"/>
                <w:szCs w:val="18"/>
                <w:b w:val="1"/>
                <w:bCs w:val="1"/>
                <w:color w:val="auto"/>
                <w:w w:val="95"/>
              </w:rPr>
              <w:t>Accumulated</w:t>
            </w:r>
          </w:p>
        </w:tc>
        <w:tc>
          <w:tcPr>
            <w:tcW w:w="20" w:type="dxa"/>
            <w:vAlign w:val="bottom"/>
          </w:tcPr>
          <w:p>
            <w:pPr>
              <w:spacing w:after="0"/>
              <w:rPr>
                <w:sz w:val="14"/>
                <w:szCs w:val="14"/>
                <w:color w:val="auto"/>
              </w:rPr>
            </w:pPr>
          </w:p>
        </w:tc>
        <w:tc>
          <w:tcPr>
            <w:tcW w:w="1320" w:type="dxa"/>
            <w:vAlign w:val="bottom"/>
            <w:gridSpan w:val="3"/>
            <w:vMerge w:val="restart"/>
          </w:tcPr>
          <w:p>
            <w:pPr>
              <w:jc w:val="center"/>
              <w:ind w:right="80"/>
              <w:spacing w:after="0" w:line="194" w:lineRule="exact"/>
              <w:rPr>
                <w:sz w:val="20"/>
                <w:szCs w:val="20"/>
                <w:color w:val="auto"/>
              </w:rPr>
            </w:pPr>
            <w:r>
              <w:rPr>
                <w:rFonts w:ascii="Arial" w:cs="Arial" w:eastAsia="Arial" w:hAnsi="Arial"/>
                <w:sz w:val="18"/>
                <w:szCs w:val="18"/>
                <w:b w:val="1"/>
                <w:bCs w:val="1"/>
                <w:color w:val="auto"/>
                <w:w w:val="88"/>
              </w:rPr>
              <w:t>Comprehensive</w:t>
            </w:r>
          </w:p>
        </w:tc>
        <w:tc>
          <w:tcPr>
            <w:tcW w:w="1080" w:type="dxa"/>
            <w:vAlign w:val="bottom"/>
            <w:gridSpan w:val="2"/>
            <w:vMerge w:val="restart"/>
          </w:tcPr>
          <w:p>
            <w:pPr>
              <w:ind w:left="20"/>
              <w:spacing w:after="0" w:line="194" w:lineRule="exact"/>
              <w:rPr>
                <w:sz w:val="20"/>
                <w:szCs w:val="20"/>
                <w:color w:val="auto"/>
              </w:rPr>
            </w:pPr>
            <w:r>
              <w:rPr>
                <w:rFonts w:ascii="Arial" w:cs="Arial" w:eastAsia="Arial" w:hAnsi="Arial"/>
                <w:sz w:val="18"/>
                <w:szCs w:val="18"/>
                <w:b w:val="1"/>
                <w:bCs w:val="1"/>
                <w:color w:val="auto"/>
                <w:w w:val="87"/>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6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3"/>
          </w:tcPr>
          <w:p>
            <w:pPr>
              <w:ind w:left="24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20"/>
                <w:szCs w:val="20"/>
                <w:color w:val="auto"/>
              </w:rPr>
            </w:pPr>
          </w:p>
        </w:tc>
        <w:tc>
          <w:tcPr>
            <w:tcW w:w="8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vMerge w:val="restart"/>
          </w:tcPr>
          <w:p>
            <w:pPr>
              <w:spacing w:after="0"/>
              <w:rPr>
                <w:sz w:val="20"/>
                <w:szCs w:val="20"/>
                <w:color w:val="auto"/>
              </w:rPr>
            </w:pPr>
            <w:r>
              <w:rPr>
                <w:rFonts w:ascii="Arial" w:cs="Arial" w:eastAsia="Arial" w:hAnsi="Arial"/>
                <w:sz w:val="18"/>
                <w:szCs w:val="18"/>
                <w:b w:val="1"/>
                <w:bCs w:val="1"/>
                <w:color w:val="auto"/>
                <w:w w:val="99"/>
              </w:rPr>
              <w:t>Balances at December 31,</w:t>
            </w: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49,100,928</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376,404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left w:val="single" w:sz="8" w:color="auto"/>
            </w:tcBorders>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34,089,186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116,055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(352,977)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8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(236,825)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38,188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2220" w:type="dxa"/>
            <w:vAlign w:val="bottom"/>
          </w:tcPr>
          <w:p>
            <w:pPr>
              <w:spacing w:after="0"/>
              <w:rPr>
                <w:sz w:val="20"/>
                <w:szCs w:val="20"/>
                <w:color w:val="auto"/>
              </w:rPr>
            </w:pPr>
            <w:r>
              <w:rPr>
                <w:rFonts w:ascii="Arial" w:cs="Arial" w:eastAsia="Arial" w:hAnsi="Arial"/>
                <w:sz w:val="18"/>
                <w:szCs w:val="18"/>
                <w:b w:val="1"/>
                <w:bCs w:val="1"/>
                <w:color w:val="auto"/>
                <w:w w:val="94"/>
              </w:rPr>
              <w:t>Balances at March 31, 2021</w:t>
            </w:r>
          </w:p>
        </w:tc>
        <w:tc>
          <w:tcPr>
            <w:tcW w:w="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49,100,928</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376,404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lef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34,127,374</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117,926</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(357,461)</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769" w:right="4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38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Net income (loss)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Accounts payable, accrued expenses and other long-term liabilities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0"/>
        </w:trPr>
        <w:tc>
          <w:tcPr>
            <w:tcW w:w="73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(11,964)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Purchases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Proceeds from sales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Proceeds from maturities of short-term investments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17,644</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120"/>
              <w:spacing w:after="0"/>
              <w:rPr>
                <w:sz w:val="20"/>
                <w:szCs w:val="20"/>
                <w:color w:val="auto"/>
              </w:rPr>
            </w:pPr>
            <w:r>
              <w:rPr>
                <w:rFonts w:ascii="Arial" w:cs="Arial" w:eastAsia="Arial" w:hAnsi="Arial"/>
                <w:sz w:val="18"/>
                <w:szCs w:val="18"/>
                <w:color w:val="auto"/>
              </w:rPr>
              <w:t>Net cash provided by investing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18,740</w:t>
            </w:r>
          </w:p>
        </w:tc>
        <w:tc>
          <w:tcPr>
            <w:tcW w:w="0" w:type="dxa"/>
            <w:vAlign w:val="bottom"/>
          </w:tcPr>
          <w:p>
            <w:pPr>
              <w:spacing w:after="0"/>
              <w:rPr>
                <w:sz w:val="1"/>
                <w:szCs w:val="1"/>
                <w:color w:val="auto"/>
              </w:rPr>
            </w:pPr>
          </w:p>
        </w:tc>
      </w:tr>
      <w:tr>
        <w:trPr>
          <w:trHeight w:val="27"/>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Payment of deferred IPO costs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Payments on lease obligations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22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1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16,843</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340" w:type="dxa"/>
            <w:vAlign w:val="bottom"/>
          </w:tcPr>
          <w:p>
            <w:pPr>
              <w:spacing w:after="0"/>
              <w:rPr>
                <w:sz w:val="20"/>
                <w:szCs w:val="20"/>
                <w:color w:val="auto"/>
              </w:rPr>
            </w:pPr>
            <w:r>
              <w:rPr>
                <w:rFonts w:ascii="Arial" w:cs="Arial" w:eastAsia="Arial" w:hAnsi="Arial"/>
                <w:sz w:val="18"/>
                <w:szCs w:val="18"/>
                <w:color w:val="auto"/>
              </w:rPr>
              <w:t>End of the period</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1"/>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w w:val="89"/>
              </w:rPr>
              <w:t>Reconciliation of cash, cash equivalents and restricted cash to the consolidated balance sheets</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39,013</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Restricted cash, current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ind w:left="120"/>
              <w:spacing w:after="0"/>
              <w:rPr>
                <w:sz w:val="20"/>
                <w:szCs w:val="20"/>
                <w:color w:val="auto"/>
              </w:rPr>
            </w:pPr>
            <w:r>
              <w:rPr>
                <w:rFonts w:ascii="Arial" w:cs="Arial" w:eastAsia="Arial" w:hAnsi="Arial"/>
                <w:sz w:val="18"/>
                <w:szCs w:val="18"/>
                <w:color w:val="auto"/>
              </w:rPr>
              <w:t>Restricted cash, non-current</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40" w:type="dxa"/>
            <w:vAlign w:val="bottom"/>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3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Equipment acquired under capital lease obligations</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Deferred IPO costs included in accounts payable and accrued expenses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40" w:type="dxa"/>
            <w:vAlign w:val="bottom"/>
          </w:tcPr>
          <w:p>
            <w:pPr>
              <w:spacing w:after="0"/>
              <w:rPr>
                <w:sz w:val="20"/>
                <w:szCs w:val="20"/>
                <w:color w:val="auto"/>
              </w:rPr>
            </w:pPr>
            <w:r>
              <w:rPr>
                <w:rFonts w:ascii="Arial" w:cs="Arial" w:eastAsia="Arial" w:hAnsi="Arial"/>
                <w:sz w:val="18"/>
                <w:szCs w:val="18"/>
                <w:color w:val="auto"/>
              </w:rPr>
              <w:t>Capital expenditures included in accounts payable and accrued expenses</w:t>
            </w:r>
          </w:p>
        </w:tc>
        <w:tc>
          <w:tcPr>
            <w:tcW w:w="1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00"/>
          </w:cols>
          <w:pgMar w:left="34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The Honest Company,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share and per share amounts, percentages and as otherwise indicated)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23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The Honest Company, Inc. (the “Company”) was incorporated in the State of California on July 19, 2011 and on May 23, 2012 was re-incorporated in the State of Delaware under the same name. The Company is a mission-driven lifestyle brand that formulates, designs and sells clean products with a focus on sustainability and thoughtful design. The Company sells its products through digital and retail sales channels in the following product categories: diapers and wipes, skin and personal care, and household and wellness.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The Company’s registration statement on Form S-1 (“IPO Registration Statement”) related to its initial public offering (“IPO”) was declared effective on May 4, 2021, and the Company’s common stock began trading on the Nasdaq Global Select Market on May 5, 2021. On May 7, 2021, the Company completed its IPO of 25,807,000 shares of the Company common stock, $0.0001 par value per share at an offering price of $16.00 per share. The Company sold 6,451,613 shares and certain existing stockholders sold an aggregate of 19,355,387 shares. The Company received aggregate net proceeds of approximately $91.1 million after deducting underwriting discounts and commissions of $6.7 million and other offering expenses of $5.4 million,</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$2.3 million of which was unpaid at March 31, 2021. The Company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The Company did not receive any proceeds from the sale of shares of its common stock by the selling stockholders.</w:t>
      </w:r>
    </w:p>
    <w:p>
      <w:pPr>
        <w:spacing w:after="0" w:line="21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Immediately prior to the completion of the IPO, the Company filed an Amended and Restated Certificate of Incorporation, which authorized a total of 1,000,000,000 shares of common stock and 20,000,000 shares of preferred stock. Upon the filing of the Amended and Restated Certificate of Incorporation, 49,100,928 shares of the Company’s redeemable convertible preferred stock then outstanding with a carrying value of $376.4 million were automatically converted into 49,649,023 shares of the Company’s common stock. Upon completion of the IPO, the Company recognized a gain of $29.0 million from the conversion of redeemable convertible preferred stock to common stock. Following the completion of the IPO, the Company has one class of authorized and outstanding common stock.</w:t>
      </w:r>
    </w:p>
    <w:p>
      <w:pPr>
        <w:spacing w:after="0" w:line="212" w:lineRule="exact"/>
        <w:rPr>
          <w:sz w:val="20"/>
          <w:szCs w:val="20"/>
          <w:color w:val="auto"/>
        </w:rPr>
      </w:pPr>
    </w:p>
    <w:p>
      <w:pPr>
        <w:ind w:right="7520" w:firstLine="8"/>
        <w:spacing w:after="0" w:line="534"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2020.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2020 has been derived from the audited financial statements at that date but does not include all of the disclosures required by GAAP.</w:t>
      </w:r>
    </w:p>
    <w:p>
      <w:pPr>
        <w:spacing w:after="0" w:line="166"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consolidated financial statements include the accounts of the Company, and its wholly owned subsidiaries after elimination of intercompany transactions and balances. The condensed consolidated financial statements reflect all adjustments and reclassifications that, in the opinion of management, are necessary for the fair presentation of the Company’s results of operations and financial condition as of and for the periods presented.</w:t>
      </w:r>
    </w:p>
    <w:p>
      <w:pPr>
        <w:spacing w:after="0" w:line="1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have been no changes in the accounting policies from those disclosed in the audited consolidated financial statements and related notes for the year ended December 31, 2020.</w:t>
      </w:r>
    </w:p>
    <w:p>
      <w:pPr>
        <w:sectPr>
          <w:pgSz w:w="11900" w:h="16838" w:orient="portrait"/>
          <w:cols w:equalWidth="0" w:num="1">
            <w:col w:w="11220"/>
          </w:cols>
          <w:pgMar w:left="320" w:top="76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 Split</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April 2021, the Company effected a 1-for-2 forward stock split of its common and redeemable convertible preferred stock. In connection with the forward stock split, each issued and outstanding share of common stock, automatically and without action on the part of the holders, became two shares of common stock and each issued and outstanding share of redeemable convertible preferred stock, automatically and without action on the part of the holders, became two shares of redeemable convertible preferred stock. The par value per share of common and redeemable convertible preferred stock was not adjusted. All share, per share and related information presented in the condensed consolidated financial statements and accompanying notes have been retroactively adjusted, where applicable, to reflect the impact of the stock split.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25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Company’s Chief Executive Officer, as the chief operating decision maker, organizes the Company, manages resource allocations, and measures performance on the basis of one operating segment. All of the Company’s long-lived assets are located in the United States and substantially all of the Company’s revenue is from customers located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doubtful accounts, valuation of short-term investments, valuation of build-to-suit lease, capitalized software, useful lives associated with long-lived assets, valuation allowances with respect to deferred tax assets, accruals and contingencies, recoverability of goodwill and long-lived assets, and the valuation and assumptions underlying stock-based compensation, common stock and redeemable convertible preferred stock. On an ongoing basis, the Company evaluates its estimates compared to historical experience and trends, which form the basis for making judgments about the carrying value of assets and liabilities.</w:t>
      </w:r>
    </w:p>
    <w:p>
      <w:pPr>
        <w:spacing w:after="0" w:line="18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March 2020, the World Health Organization declared the outbreak of the novel coronavirus disease (“COVID-19”) a pandemic. The full extent to which the outbreak of the COVID-19 pandemic will impact the Company’s business, results of operations and financial condition is still unknown and will depend on future developments, which are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15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light of the currently unknown ultimate duration and severity of COVID-19, the Company faces a greater degree of uncertainty than normal in making certain judgments and estimates needed to apply significant accounting policies. The Company assessed certain accounting matters and estimates that generally require consideration of forecasted information in context with the information reasonably available to the Company as of the respective balance sheet dates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 Cash equivalents comprise amounts invested in money market funds. Restricted cash consists of deposits in a bank account used to collateralize the letters of credit for certain lease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56"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Accounts receivable is presented net of allowances. The Company does not accrue interest on its trade receivables. On a periodic basis, the Company evaluates accounts receivable estimated to be uncollectible, and provides allowances as necessary for doubtful accounts. The allowance for doubtful accounts was $1.4 million as of March 31, 2021 and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Costs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Deferred offering costs consist of costs incurred in connection with the sale of the Company’s common stock in its IPO, including certain legal, accounting, and other IPO-related costs. At the completion of the IPO, the deferred offering costs were</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10" w:name="page11"/>
    <w:bookmarkEnd w:id="10"/>
    <w:p>
      <w:pPr>
        <w:ind w:right="360"/>
        <w:spacing w:after="0" w:line="342" w:lineRule="auto"/>
        <w:rPr>
          <w:sz w:val="20"/>
          <w:szCs w:val="20"/>
          <w:color w:val="auto"/>
        </w:rPr>
      </w:pPr>
      <w:r>
        <w:rPr>
          <w:rFonts w:ascii="Arial" w:cs="Arial" w:eastAsia="Arial" w:hAnsi="Arial"/>
          <w:sz w:val="16"/>
          <w:szCs w:val="16"/>
          <w:color w:val="auto"/>
        </w:rPr>
        <w:t>recorded in stockholders’ deficit as a reduction from the proceeds of the offering. As of March 31, 2021 and December 31, 2020, $3.5 million and $0.5 million, respectively, of deferred offering costs had been recorded in other assets on the Company’s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spacing w:after="0" w:line="18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Quoted prices in active markets for identical assets or liabilities.</w:t>
      </w:r>
    </w:p>
    <w:p>
      <w:pPr>
        <w:spacing w:after="0" w:line="23" w:lineRule="exact"/>
        <w:rPr>
          <w:sz w:val="20"/>
          <w:szCs w:val="20"/>
          <w:color w:val="auto"/>
        </w:rPr>
      </w:pPr>
    </w:p>
    <w:p>
      <w:pPr>
        <w:jc w:val="both"/>
        <w:ind w:left="660" w:right="20" w:hanging="647"/>
        <w:spacing w:after="0" w:line="250" w:lineRule="auto"/>
        <w:rPr>
          <w:sz w:val="20"/>
          <w:szCs w:val="20"/>
          <w:color w:val="auto"/>
        </w:rPr>
      </w:pPr>
      <w:r>
        <w:rPr>
          <w:rFonts w:ascii="Arial" w:cs="Arial" w:eastAsia="Arial" w:hAnsi="Arial"/>
          <w:sz w:val="18"/>
          <w:szCs w:val="18"/>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jc w:val="both"/>
        <w:ind w:left="660" w:right="40" w:hanging="647"/>
        <w:spacing w:after="0" w:line="277" w:lineRule="auto"/>
        <w:rPr>
          <w:sz w:val="20"/>
          <w:szCs w:val="20"/>
          <w:color w:val="auto"/>
        </w:rPr>
      </w:pPr>
      <w:r>
        <w:rPr>
          <w:rFonts w:ascii="Arial" w:cs="Arial" w:eastAsia="Arial" w:hAnsi="Arial"/>
          <w:sz w:val="17"/>
          <w:szCs w:val="17"/>
          <w:color w:val="auto"/>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 Not Yet Adopted</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subsequently amended, collectively codified under Topic 842. Topic 842 requires lessees to recognize on the balance sheet assets and liabilities for leases with lease terms of more than twelve months. Consistent with current GAAP, the recognition, measurement, and presentation of expenses and cash flows arising from a lease by a lessee primarily will depend on its classification as a finance or operating lease. However, unlike current GAAP which requires only capital leases to be recognized on the balance sheet, the new ASU will require both types of leases to be recognized on the balance sheet. ASU 2016-02 was effective for public business entities for fiscal years beginning after December 15, 2018. In June 2020, FASB issued ASU No. 2020-05,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 and Leases (Topic 842) – Effective Dates for Certain Entities</w:t>
      </w:r>
      <w:r>
        <w:rPr>
          <w:rFonts w:ascii="Arial" w:cs="Arial" w:eastAsia="Arial" w:hAnsi="Arial"/>
          <w:sz w:val="16"/>
          <w:szCs w:val="16"/>
          <w:color w:val="auto"/>
        </w:rPr>
        <w:t>, which extended the effective date of this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non-public entities for fiscal years beginning after December 15, 2021, and interim periods within fiscal years beginning after December 15, 2022, with early adoption permitted. The Company is evaluating the adoption of this guidance and the potential effects on its consolidated financial statements. The Company anticipates the adoption of this guidance may result in a material impact to the Company’s consolidated financial statements as it relates to its build-to-suit lease and recording other operating leases on the consolidated balance sheets.</w:t>
      </w:r>
    </w:p>
    <w:p>
      <w:pPr>
        <w:spacing w:after="0" w:line="19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to amend the accounting for credit losses for certain financial instruments. This guidance replaces the incurred loss impairment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methodology that reflects expected credit losses. In November 2019, FASB issued ASU No. 2019-10 which delayed the effective dates of the guidance. This guidance is effective for public business entities that meet the definition of an SEC filer, excluding entities eligible to be smaller reporting companies (“SRC”) for fiscal years beginning after December 15, 2019 and all other entities for fiscal years beginning after December 15, 2022, including interim periods within those fiscal years. Early adoption is permitted for fiscal years beginning after December 15, 2018, including interim periods within those fiscal years. The Company is evaluating the adoption of this guidance and the potential effects on the consolidated financial statements.</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1" w:name="page12"/>
    <w:bookmarkEnd w:id="11"/>
    <w:p>
      <w:pPr>
        <w:ind w:left="660"/>
        <w:spacing w:after="0"/>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Goodwill and Other (Topic 350): Simplifying the Test for Goodwill Impairment.</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amendments in this guidance eliminate Step 2 from the goodwill impairment test, whereby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amendment, an entity should perform its goodwill impairment test by comparing the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In November 2019, the FASB issued ASU No. 2019-10 which delayed the effective dates of this guidance. This guidance is effective for public business entities excluding entities eligible to be SRCs for annual and any interim impairment test performed for periods beginning after December 15, 2019. For all other entities the guidance is effective for fiscal years beginning after December 15, 2022. Early adoption is permitted for interim or annual goodwill impairment tests performed on testing dates after January 1, 2017. The Company is evaluating the adoption of this guidance and the potential effects on the consolidated financial statements.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simplifies the accounting for income taxes by removing certain exceptions to the general principles in ASC 740 as well as by improving consistent application of the topic by clarifying and amending existing guidance. For public business entities, the ASU is effective for fiscal years, and interim periods within those fiscal years, beginning after December 15, 2020. For all other entities, the ASU is effective for fiscal years beginning after December 15, 2021, and interim periods within fiscal years beginning after December 15, 2022. Early adoption of the amendments is permitted, including adoption in any interim period for (1) public business entities for periods for which financial statements have not yet been issued and (2) all other entities for periods for which financial statements have not yet been made available for issuance. An entity that elects to early adopt the amendments in an interim period should reflect any adjustments as of the beginning of the annual period that includes that interim period. Additionally, an entity that elects early adoption must adopt all the amendments in the same period. The Company is currently evaluating the timing of adoption and impact on the Company’s consolidated financial statements.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333333"/>
              </w:rPr>
              <w:t>3.</w:t>
            </w:r>
          </w:p>
        </w:tc>
        <w:tc>
          <w:tcPr>
            <w:tcW w:w="5660" w:type="dxa"/>
            <w:vAlign w:val="bottom"/>
          </w:tcPr>
          <w:p>
            <w:pPr>
              <w:ind w:left="260"/>
              <w:spacing w:after="0"/>
              <w:rPr>
                <w:sz w:val="20"/>
                <w:szCs w:val="20"/>
                <w:color w:val="auto"/>
              </w:rPr>
            </w:pPr>
            <w:r>
              <w:rPr>
                <w:rFonts w:ascii="Arial" w:cs="Arial" w:eastAsia="Arial" w:hAnsi="Arial"/>
                <w:sz w:val="18"/>
                <w:szCs w:val="18"/>
                <w:b w:val="1"/>
                <w:bCs w:val="1"/>
                <w:color w:val="333333"/>
              </w:rPr>
              <w:t>Revenue</w:t>
            </w: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60" w:type="dxa"/>
            <w:vAlign w:val="bottom"/>
            <w:gridSpan w:val="2"/>
          </w:tcPr>
          <w:p>
            <w:pPr>
              <w:spacing w:after="0"/>
              <w:rPr>
                <w:sz w:val="20"/>
                <w:szCs w:val="20"/>
                <w:color w:val="auto"/>
              </w:rPr>
            </w:pPr>
            <w:r>
              <w:rPr>
                <w:rFonts w:ascii="Arial" w:cs="Arial" w:eastAsia="Arial" w:hAnsi="Arial"/>
                <w:sz w:val="18"/>
                <w:szCs w:val="18"/>
                <w:i w:val="1"/>
                <w:iCs w:val="1"/>
                <w:color w:val="auto"/>
              </w:rPr>
              <w:t>Disaggregation of Revenue</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Revenue by sales channel:</w:t>
            </w: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38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w w:val="99"/>
              </w:rPr>
              <w:t>For the three months ended March 31,</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60" w:type="dxa"/>
            <w:vAlign w:val="bottom"/>
            <w:vMerge w:val="restart"/>
          </w:tcPr>
          <w:p>
            <w:pPr>
              <w:ind w:left="28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6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660" w:type="dxa"/>
            <w:vAlign w:val="bottom"/>
          </w:tcPr>
          <w:p>
            <w:pPr>
              <w:ind w:left="280"/>
              <w:spacing w:after="0"/>
              <w:rPr>
                <w:sz w:val="20"/>
                <w:szCs w:val="20"/>
                <w:color w:val="auto"/>
              </w:rPr>
            </w:pPr>
            <w:r>
              <w:rPr>
                <w:rFonts w:ascii="Arial" w:cs="Arial" w:eastAsia="Arial" w:hAnsi="Arial"/>
                <w:sz w:val="18"/>
                <w:szCs w:val="18"/>
                <w:color w:val="auto"/>
              </w:rPr>
              <w:t>Digital</w:t>
            </w: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42,461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41,496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660" w:type="dxa"/>
            <w:vAlign w:val="bottom"/>
          </w:tcPr>
          <w:p>
            <w:pPr>
              <w:ind w:left="280"/>
              <w:spacing w:after="0"/>
              <w:rPr>
                <w:sz w:val="20"/>
                <w:szCs w:val="20"/>
                <w:color w:val="auto"/>
              </w:rPr>
            </w:pPr>
            <w:r>
              <w:rPr>
                <w:rFonts w:ascii="Arial" w:cs="Arial" w:eastAsia="Arial" w:hAnsi="Arial"/>
                <w:sz w:val="18"/>
                <w:szCs w:val="18"/>
                <w:color w:val="auto"/>
              </w:rPr>
              <w:t>Retail</w:t>
            </w:r>
          </w:p>
        </w:tc>
        <w:tc>
          <w:tcPr>
            <w:tcW w:w="1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38,571</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 w:type="dxa"/>
            <w:vAlign w:val="bottom"/>
          </w:tcPr>
          <w:p>
            <w:pPr>
              <w:spacing w:after="0"/>
              <w:rPr>
                <w:sz w:val="22"/>
                <w:szCs w:val="22"/>
                <w:color w:val="auto"/>
              </w:rPr>
            </w:pPr>
          </w:p>
        </w:tc>
        <w:tc>
          <w:tcPr>
            <w:tcW w:w="56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81,032</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72,372</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60" w:type="dxa"/>
            <w:vAlign w:val="bottom"/>
            <w:vMerge w:val="restart"/>
          </w:tcPr>
          <w:p>
            <w:pPr>
              <w:ind w:left="260"/>
              <w:spacing w:after="0"/>
              <w:rPr>
                <w:sz w:val="20"/>
                <w:szCs w:val="20"/>
                <w:color w:val="auto"/>
              </w:rPr>
            </w:pPr>
            <w:r>
              <w:rPr>
                <w:rFonts w:ascii="Arial" w:cs="Arial" w:eastAsia="Arial" w:hAnsi="Arial"/>
                <w:sz w:val="18"/>
                <w:szCs w:val="18"/>
                <w:color w:val="auto"/>
              </w:rPr>
              <w:t>Revenue by product category:</w:t>
            </w:r>
          </w:p>
        </w:tc>
        <w:tc>
          <w:tcPr>
            <w:tcW w:w="1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40" w:type="dxa"/>
            <w:vAlign w:val="bottom"/>
            <w:gridSpan w:val="8"/>
          </w:tcPr>
          <w:p>
            <w:pPr>
              <w:ind w:left="54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Diapers and wipes</w:t>
            </w:r>
          </w:p>
        </w:tc>
        <w:tc>
          <w:tcPr>
            <w:tcW w:w="1120" w:type="dxa"/>
            <w:vAlign w:val="bottom"/>
          </w:tcPr>
          <w:p>
            <w:pPr>
              <w:spacing w:after="0"/>
              <w:rPr>
                <w:sz w:val="23"/>
                <w:szCs w:val="23"/>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49,574</w:t>
            </w:r>
          </w:p>
        </w:tc>
        <w:tc>
          <w:tcPr>
            <w:tcW w:w="100" w:type="dxa"/>
            <w:vAlign w:val="bottom"/>
          </w:tcPr>
          <w:p>
            <w:pPr>
              <w:spacing w:after="0"/>
              <w:rPr>
                <w:sz w:val="23"/>
                <w:szCs w:val="23"/>
                <w:color w:val="auto"/>
              </w:rPr>
            </w:pP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50,483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Skin and personal care</w:t>
            </w:r>
          </w:p>
        </w:tc>
        <w:tc>
          <w:tcPr>
            <w:tcW w:w="1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26,245</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18,482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Household and wellness</w:t>
            </w:r>
          </w:p>
        </w:tc>
        <w:tc>
          <w:tcPr>
            <w:tcW w:w="1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120" w:type="dxa"/>
            <w:vAlign w:val="bottom"/>
          </w:tcPr>
          <w:p>
            <w:pPr>
              <w:spacing w:after="0"/>
              <w:rPr>
                <w:sz w:val="22"/>
                <w:szCs w:val="22"/>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0"/>
              </w:rPr>
              <w:t>81,032</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Non-Monetary Transaction</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auto"/>
        </w:rPr>
        <w:t>In March 2021, the Company entered into $4.0 million in trade agreements with a vendor for the exchange of legacy beauty inventory for future marketing and transportation credits. The fair value of the marketing and transportation credits will be recognized as revenue, with the corresponding asset included in prepaid expenses and other current assets and other assets in the accompanying condensed consolidated balance sheets. The Company may use the marketing and transportation credits over four years, with an option to extend for another two years if agreed upon by both parties. For the three months ended March 31, 2021, the Company recognized $3.4 million of revenue and $1.8 million of associated cost of revenue based on timing of delivery of goods. The Company assesses the recoverability of the marketing and transportation credits periodically. Factors considered in evaluating the recoverability include management's plans with respect to advertising, freight and other services for which these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2" w:name="page13"/>
    <w:bookmarkEnd w:id="12"/>
    <w:p>
      <w:pPr>
        <w:ind w:right="620"/>
        <w:spacing w:after="0" w:line="246" w:lineRule="auto"/>
        <w:rPr>
          <w:sz w:val="20"/>
          <w:szCs w:val="20"/>
          <w:color w:val="auto"/>
        </w:rPr>
      </w:pPr>
      <w:r>
        <w:rPr>
          <w:rFonts w:ascii="Arial" w:cs="Arial" w:eastAsia="Arial" w:hAnsi="Arial"/>
          <w:sz w:val="18"/>
          <w:szCs w:val="18"/>
          <w:color w:val="auto"/>
        </w:rPr>
        <w:t>credits can be used. Any impairment losses are charged to operations as they are determinable. During the three months ended March 31, 2021, the Company recorded no impairment losses related to these credits and no credits had yet been used.</w:t>
      </w:r>
    </w:p>
    <w:p>
      <w:pPr>
        <w:spacing w:after="0" w:line="200" w:lineRule="exact"/>
        <w:rPr>
          <w:sz w:val="20"/>
          <w:szCs w:val="20"/>
          <w:color w:val="auto"/>
        </w:rPr>
      </w:pPr>
    </w:p>
    <w:p>
      <w:pPr>
        <w:spacing w:after="0" w:line="249"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March 31, 2021 and December 31, 2020, all investments in debt securities are classified as available-for-sale investments. All investments are reported within current assets because the securities represent investments of cash available for current operations. As of March 31, 2021 and December 31, 2020, the Company held $11.1 million and $27.5 million, respectively, of investments with contractual maturities of less than one year. As of March 31, 2021 and December 31, 2020, the Company held $1.3 million and $6.9 million, respectively, of investments with contractual maturities between one and two years. Available-for-sale investments are recorded at fair value, and unrealized holding gains and losses are recorded as a component of other comprehensive income (loss). The following table summarizes the Company’s available-for-sale investments: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720"/>
              <w:spacing w:after="0"/>
              <w:rPr>
                <w:sz w:val="20"/>
                <w:szCs w:val="20"/>
                <w:color w:val="auto"/>
              </w:rPr>
            </w:pPr>
            <w:r>
              <w:rPr>
                <w:rFonts w:ascii="Arial" w:cs="Arial" w:eastAsia="Arial" w:hAnsi="Arial"/>
                <w:sz w:val="18"/>
                <w:szCs w:val="18"/>
                <w:b w:val="1"/>
                <w:bCs w:val="1"/>
                <w:color w:val="auto"/>
              </w:rPr>
              <w:t>As of March 31, 2021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Corporate bonds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9,390</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Commercial paper</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0"/>
        </w:trPr>
        <w:tc>
          <w:tcPr>
            <w:tcW w:w="44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580"/>
              <w:spacing w:after="0"/>
              <w:rPr>
                <w:sz w:val="20"/>
                <w:szCs w:val="20"/>
                <w:color w:val="auto"/>
              </w:rPr>
            </w:pPr>
            <w:r>
              <w:rPr>
                <w:rFonts w:ascii="Arial" w:cs="Arial" w:eastAsia="Arial" w:hAnsi="Arial"/>
                <w:sz w:val="18"/>
                <w:szCs w:val="18"/>
                <w:b w:val="1"/>
                <w:bCs w:val="1"/>
                <w:color w:val="auto"/>
              </w:rPr>
              <w:t>As of December 31, 2020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Cost or Amortized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Gross Unrealized</w:t>
            </w:r>
          </w:p>
        </w:tc>
        <w:tc>
          <w:tcPr>
            <w:tcW w:w="12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Unrealized</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Total Estimated</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Corporate bonds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22,894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22,949</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0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34,331</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investments in debt securities were not material for the three months ended March 31, 2021 and 2020.</w:t>
      </w:r>
    </w:p>
    <w:p>
      <w:pPr>
        <w:spacing w:after="0" w:line="24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measured and recorded at fair value on a recurring basis consist of the following as of:</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March 31, 2021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21,811</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21,811</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9,390</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9,390</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6"/>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12,428</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12,428</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12,428</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34,239</w:t>
            </w:r>
          </w:p>
        </w:tc>
      </w:tr>
      <w:tr>
        <w:trPr>
          <w:trHeight w:val="21"/>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760" w:right="359" w:bottom="6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698" w:gutter="0" w:footer="0" w:header="0"/>
          <w:type w:val="continuous"/>
        </w:sectPr>
      </w:pPr>
    </w:p>
    <w:bookmarkStart w:id="13" w:name="page14"/>
    <w:bookmarkEnd w:id="13"/>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0"/>
        </w:trPr>
        <w:tc>
          <w:tcPr>
            <w:tcW w:w="4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cash equivalents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12,696</w:t>
            </w: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22,949</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22,949</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4,448</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4,448</w:t>
            </w:r>
          </w:p>
        </w:tc>
      </w:tr>
      <w:tr>
        <w:trPr>
          <w:trHeight w:val="270"/>
        </w:trPr>
        <w:tc>
          <w:tcPr>
            <w:tcW w:w="4500" w:type="dxa"/>
            <w:vAlign w:val="bottom"/>
          </w:tcPr>
          <w:p>
            <w:pPr>
              <w:ind w:left="100"/>
              <w:spacing w:after="0"/>
              <w:rPr>
                <w:sz w:val="20"/>
                <w:szCs w:val="20"/>
                <w:color w:val="auto"/>
              </w:rPr>
            </w:pPr>
            <w:r>
              <w:rPr>
                <w:rFonts w:ascii="Arial" w:cs="Arial" w:eastAsia="Arial" w:hAnsi="Arial"/>
                <w:sz w:val="18"/>
                <w:szCs w:val="18"/>
                <w:color w:val="auto"/>
              </w:rPr>
              <w:t>U.S. government and agency securities</w:t>
            </w:r>
          </w:p>
        </w:tc>
        <w:tc>
          <w:tcPr>
            <w:tcW w:w="32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6,490</w:t>
            </w:r>
          </w:p>
        </w:tc>
        <w:tc>
          <w:tcPr>
            <w:tcW w:w="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6,490</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34,425</w:t>
            </w:r>
          </w:p>
        </w:tc>
      </w:tr>
      <w:tr>
        <w:trPr>
          <w:trHeight w:val="27"/>
        </w:trPr>
        <w:tc>
          <w:tcPr>
            <w:tcW w:w="4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34,425</w:t>
            </w:r>
          </w:p>
        </w:tc>
        <w:tc>
          <w:tcPr>
            <w:tcW w:w="80" w:type="dxa"/>
            <w:vAlign w:val="bottom"/>
          </w:tcPr>
          <w:p>
            <w:pPr>
              <w:spacing w:after="0"/>
              <w:rPr>
                <w:sz w:val="22"/>
                <w:szCs w:val="22"/>
                <w:color w:val="auto"/>
              </w:rPr>
            </w:pP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47,121</w:t>
            </w:r>
          </w:p>
        </w:tc>
      </w:tr>
      <w:tr>
        <w:trPr>
          <w:trHeight w:val="20"/>
        </w:trPr>
        <w:tc>
          <w:tcPr>
            <w:tcW w:w="4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carrying amounts for the Company’s accounts receivable, accounts payable, and accrued expenses approximate fair value due to their short maturities.</w:t>
      </w: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4, 2020, the Company terminated its Asset Backed Loan facility (“ABL Revolver”). The Company had no outstanding borrowings under the ABL Revolver immediately prior to termination. Upon termination of the ABL Revolver, the Company was required to post collateral of $7.9 million in a restricted cash account to collateralize the letters of credit related to certain facility leases.</w:t>
      </w:r>
    </w:p>
    <w:p>
      <w:pPr>
        <w:spacing w:after="0" w:line="184"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As of March 31, 2021, the letters of credit issued related to facility leases of $6.4 million were collateralized by the Company’s restricted cash of $6.6 million. As of December 31, 2020, the letters of credit issued related to facility leases of $7.7 million were collateralized by the Company’s restricted cash of $7.9 million.</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Refer to Note 13 included in these condensed consolidated financial statements for a subsequent event related to the Company entering into a new credit facility.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40" w:type="dxa"/>
            <w:vAlign w:val="bottom"/>
          </w:tcPr>
          <w:p>
            <w:pPr>
              <w:ind w:left="660"/>
              <w:spacing w:after="0"/>
              <w:rPr>
                <w:sz w:val="20"/>
                <w:szCs w:val="20"/>
                <w:color w:val="auto"/>
              </w:rPr>
            </w:pPr>
            <w:r>
              <w:rPr>
                <w:rFonts w:ascii="Arial" w:cs="Arial" w:eastAsia="Arial" w:hAnsi="Arial"/>
                <w:sz w:val="18"/>
                <w:szCs w:val="18"/>
                <w:color w:val="auto"/>
              </w:rPr>
              <w:t>Accrued expenses consisted of the following as of:</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24"/>
                <w:szCs w:val="24"/>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c>
          <w:tcPr>
            <w:tcW w:w="0" w:type="dxa"/>
            <w:vAlign w:val="bottom"/>
          </w:tcPr>
          <w:p>
            <w:pPr>
              <w:spacing w:after="0"/>
              <w:rPr>
                <w:sz w:val="1"/>
                <w:szCs w:val="1"/>
                <w:color w:val="auto"/>
              </w:rPr>
            </w:pPr>
          </w:p>
        </w:tc>
      </w:tr>
      <w:tr>
        <w:trPr>
          <w:trHeight w:val="27"/>
        </w:trPr>
        <w:tc>
          <w:tcPr>
            <w:tcW w:w="7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5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Payroll and payroll related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Accrued inventory purchases</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Accrued returns</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70"/>
        </w:trPr>
        <w:tc>
          <w:tcPr>
            <w:tcW w:w="754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8,934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Pr>
          <w:p>
            <w:pPr>
              <w:ind w:left="24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040" w:firstLine="8"/>
        <w:spacing w:after="0" w:line="518" w:lineRule="auto"/>
        <w:tabs>
          <w:tab w:leader="none" w:pos="64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2" w:lineRule="exact"/>
        <w:rPr>
          <w:sz w:val="20"/>
          <w:szCs w:val="20"/>
          <w:color w:val="auto"/>
        </w:rPr>
      </w:pPr>
    </w:p>
    <w:p>
      <w:pPr>
        <w:ind w:right="80" w:firstLine="648"/>
        <w:spacing w:after="0" w:line="276" w:lineRule="auto"/>
        <w:rPr>
          <w:sz w:val="20"/>
          <w:szCs w:val="20"/>
          <w:color w:val="auto"/>
        </w:rPr>
      </w:pPr>
      <w:r>
        <w:rPr>
          <w:rFonts w:ascii="Arial" w:cs="Arial" w:eastAsia="Arial" w:hAnsi="Arial"/>
          <w:sz w:val="16"/>
          <w:szCs w:val="16"/>
          <w:color w:val="auto"/>
        </w:rPr>
        <w:t>From time to time, the Company is subject to various claims and contingencies which are in the scope of ordinary and routine litigation incidental to its business, including those related to regulation, litigation, business transactions, employee-related matters and taxes, among others. When the Company becomes aware of a claim or potential claim, the likelihood of any loss or exposure is assessed. If it is probable that a loss will result and the</w:t>
      </w:r>
    </w:p>
    <w:p>
      <w:pPr>
        <w:spacing w:after="0" w:line="1" w:lineRule="exact"/>
        <w:rPr>
          <w:sz w:val="20"/>
          <w:szCs w:val="20"/>
          <w:color w:val="auto"/>
        </w:rPr>
      </w:pPr>
    </w:p>
    <w:p>
      <w:pPr>
        <w:ind w:right="320"/>
        <w:spacing w:after="0" w:line="307" w:lineRule="auto"/>
        <w:rPr>
          <w:sz w:val="20"/>
          <w:szCs w:val="20"/>
          <w:color w:val="auto"/>
        </w:rPr>
      </w:pPr>
      <w:r>
        <w:rPr>
          <w:rFonts w:ascii="Arial" w:cs="Arial" w:eastAsia="Arial" w:hAnsi="Arial"/>
          <w:sz w:val="18"/>
          <w:szCs w:val="18"/>
          <w:color w:val="auto"/>
        </w:rPr>
        <w:t xml:space="preserve">amount or range of the loss can be reasonably estimated, the Company records a liability for the loss and </w:t>
      </w:r>
      <w:r>
        <w:rPr>
          <w:rFonts w:ascii="Arial" w:cs="Arial" w:eastAsia="Arial" w:hAnsi="Arial"/>
          <w:sz w:val="18"/>
          <w:szCs w:val="18"/>
          <w:color w:val="231F20"/>
        </w:rPr>
        <w:t>discloses the possible loss in the consolidated</w:t>
      </w:r>
      <w:r>
        <w:rPr>
          <w:rFonts w:ascii="Arial" w:cs="Arial" w:eastAsia="Arial" w:hAnsi="Arial"/>
          <w:sz w:val="18"/>
          <w:szCs w:val="18"/>
          <w:color w:val="auto"/>
        </w:rPr>
        <w:t xml:space="preserve"> </w:t>
      </w:r>
      <w:r>
        <w:rPr>
          <w:rFonts w:ascii="Arial" w:cs="Arial" w:eastAsia="Arial" w:hAnsi="Arial"/>
          <w:sz w:val="18"/>
          <w:szCs w:val="18"/>
          <w:color w:val="231F20"/>
        </w:rPr>
        <w:t>financial statements</w:t>
      </w:r>
      <w:r>
        <w:rPr>
          <w:rFonts w:ascii="Arial" w:cs="Arial" w:eastAsia="Arial" w:hAnsi="Arial"/>
          <w:sz w:val="18"/>
          <w:szCs w:val="18"/>
          <w:color w:val="000000"/>
        </w:rPr>
        <w:t>.</w:t>
      </w:r>
      <w:r>
        <w:rPr>
          <w:rFonts w:ascii="Arial" w:cs="Arial" w:eastAsia="Arial" w:hAnsi="Arial"/>
          <w:sz w:val="18"/>
          <w:szCs w:val="18"/>
          <w:color w:val="231F20"/>
        </w:rPr>
        <w:t xml:space="preserve"> Legal costs are expensed as incurred.</w:t>
      </w:r>
    </w:p>
    <w:p>
      <w:pPr>
        <w:spacing w:after="0" w:line="17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September 17, 2019, the Nevada Department of Taxation (the “Department”) issued a Deficiency Notice against the Company to initiate administrative legal proceedings before the Department for the alleged non-compliance with employee</w:t>
      </w:r>
    </w:p>
    <w:p>
      <w:pPr>
        <w:sectPr>
          <w:pgSz w:w="11900" w:h="16838" w:orient="portrait"/>
          <w:cols w:equalWidth="0" w:num="1">
            <w:col w:w="11240"/>
          </w:cols>
          <w:pgMar w:left="320" w:top="823" w:right="339" w:bottom="4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428" w:gutter="0" w:footer="0" w:header="0"/>
          <w:type w:val="continuous"/>
        </w:sectPr>
      </w:pPr>
    </w:p>
    <w:bookmarkStart w:id="14" w:name="page15"/>
    <w:bookmarkEnd w:id="14"/>
    <w:p>
      <w:pPr>
        <w:ind w:right="40"/>
        <w:spacing w:after="0" w:line="255" w:lineRule="auto"/>
        <w:rPr>
          <w:sz w:val="20"/>
          <w:szCs w:val="20"/>
          <w:color w:val="auto"/>
        </w:rPr>
      </w:pPr>
      <w:r>
        <w:rPr>
          <w:rFonts w:ascii="Arial" w:cs="Arial" w:eastAsia="Arial" w:hAnsi="Arial"/>
          <w:sz w:val="18"/>
          <w:szCs w:val="18"/>
          <w:color w:val="auto"/>
        </w:rPr>
        <w:t>retention requirements provided in exchange for tax benefits in establishing the Company’s Las Vegas distribution center in a December 2016 Abatement Agreement the Company had executed with the State of Nevada via its Governor’s Office of Economic Development. The Company has denied the allegations. An administrative hearing was held in the matter on January 15, 2021. On June 9, 2021 the court upheld the Department's Deficiency Notice against the Company in its entirety. The loss resulting from this matter is $0.6 million plus interest, for which the Company has recorded an accrual of $0.6 million in accrued expenses on the consolidated balance sheets as of March 31, 2021 and December 31, 2020. The Company has not yet determined if it plans to appeal the decision.</w:t>
      </w:r>
    </w:p>
    <w:p>
      <w:pPr>
        <w:spacing w:after="0" w:line="21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September 23, 2020, the Center for Advanced Public Awareness served a 60-Day Notice of Violation on the Company, alleging that the Company violated California’s Health and Safety Code (“Prop 65”) because of the amount of lead in the Company’s Diaper Rash Cream and seeking statutory penalties and product warnings available under Prop 65. The Company intends to vigorously defend itself in this matter. The matter’s outcome and materiality are uncertain at this time. Therefore, the Company cannot estimate the probability of loss or make an estimate of the loss or range of loss in this matter.</w:t>
      </w:r>
    </w:p>
    <w:p>
      <w:pPr>
        <w:spacing w:after="0" w:line="21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January 28, 2021, Rosaura Navar filed a putative class action compliant (Rosaura Navar, et al. v. The Honest Company, Inc.—Los Angeles County Superior Court, Case No. 21STCV03381) alleging that the Company violated California’s Unfair Competition Law by failing to comply with California’s Automatic Renewal Law. The complaint demands restitution, injunctive and declaratory relief. This matter was settled in April 2021 for an immaterial amount. The loss on settlement was recorded in accrued expenses in the accompanying condensed consolidated balance sheets as of March 31, 2021,</w:t>
      </w:r>
    </w:p>
    <w:p>
      <w:pPr>
        <w:spacing w:after="0" w:line="21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As of March 31, 2021 and December 31, 2020, the Company is not subject to any other currently pending legal matters or claims that could have a material adverse effect on its financial position, results of operations, or cash flows should such litigation be resolved unfavorably.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the Company been involved in litigation in connection with these indemnification arrangements. As of March 31, 2021 and December 31, 2020, the Company has not accrued a liability for these guarantees as the likelihood of incurring a payment obligation, if any, in connection with these guarantees is not probable or reasonably estimable due to the unique facts and circumstances involved.</w:t>
      </w:r>
    </w:p>
    <w:p>
      <w:pPr>
        <w:spacing w:after="0" w:line="219" w:lineRule="exact"/>
        <w:rPr>
          <w:sz w:val="20"/>
          <w:szCs w:val="20"/>
          <w:color w:val="auto"/>
        </w:rPr>
      </w:pPr>
    </w:p>
    <w:p>
      <w:pPr>
        <w:ind w:right="8460" w:firstLine="8"/>
        <w:spacing w:after="0" w:line="534" w:lineRule="auto"/>
        <w:tabs>
          <w:tab w:leader="none" w:pos="64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Stock Options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Stock-based compensation expense is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4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23"/>
                <w:szCs w:val="23"/>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1,845</w:t>
            </w:r>
          </w:p>
        </w:tc>
        <w:tc>
          <w:tcPr>
            <w:tcW w:w="0" w:type="dxa"/>
            <w:vAlign w:val="bottom"/>
          </w:tcPr>
          <w:p>
            <w:pPr>
              <w:spacing w:after="0"/>
              <w:rPr>
                <w:sz w:val="1"/>
                <w:szCs w:val="1"/>
                <w:color w:val="auto"/>
              </w:rPr>
            </w:pP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2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1,923</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5" w:name="page16"/>
    <w:bookmarkEnd w:id="15"/>
    <w:p>
      <w:pPr>
        <w:ind w:right="40" w:firstLine="648"/>
        <w:spacing w:after="0" w:line="277" w:lineRule="auto"/>
        <w:rPr>
          <w:sz w:val="20"/>
          <w:szCs w:val="20"/>
          <w:color w:val="auto"/>
        </w:rPr>
      </w:pPr>
      <w:r>
        <w:rPr>
          <w:rFonts w:ascii="Arial" w:cs="Arial" w:eastAsia="Arial" w:hAnsi="Arial"/>
          <w:sz w:val="18"/>
          <w:szCs w:val="18"/>
          <w:color w:val="auto"/>
        </w:rPr>
        <w:t>The following table summarizes the key input assumptions used in the Black-Scholes option-pricing model and the Monte Carlo simulation model to estimate the fair value of stock options granted to employees and non-employees: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320" w:type="dxa"/>
            <w:vAlign w:val="bottom"/>
            <w:gridSpan w:val="4"/>
          </w:tcPr>
          <w:p>
            <w:pPr>
              <w:ind w:left="1340"/>
              <w:spacing w:after="0"/>
              <w:rPr>
                <w:sz w:val="20"/>
                <w:szCs w:val="20"/>
                <w:color w:val="auto"/>
              </w:rPr>
            </w:pPr>
            <w:r>
              <w:rPr>
                <w:rFonts w:ascii="Arial" w:cs="Arial" w:eastAsia="Arial" w:hAnsi="Arial"/>
                <w:sz w:val="18"/>
                <w:szCs w:val="18"/>
                <w:b w:val="1"/>
                <w:bCs w:val="1"/>
                <w:color w:val="auto"/>
              </w:rPr>
              <w:t>For the three months ended March 31, 2020</w:t>
            </w:r>
          </w:p>
        </w:tc>
      </w:tr>
      <w:tr>
        <w:trPr>
          <w:trHeight w:val="27"/>
        </w:trPr>
        <w:tc>
          <w:tcPr>
            <w:tcW w:w="58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493"/>
        </w:trPr>
        <w:tc>
          <w:tcPr>
            <w:tcW w:w="5880" w:type="dxa"/>
            <w:vAlign w:val="bottom"/>
          </w:tcPr>
          <w:p>
            <w:pPr>
              <w:ind w:left="660"/>
              <w:spacing w:after="0"/>
              <w:rPr>
                <w:sz w:val="20"/>
                <w:szCs w:val="20"/>
                <w:color w:val="auto"/>
              </w:rPr>
            </w:pPr>
            <w:r>
              <w:rPr>
                <w:rFonts w:ascii="Arial" w:cs="Arial" w:eastAsia="Arial" w:hAnsi="Arial"/>
                <w:sz w:val="18"/>
                <w:szCs w:val="18"/>
                <w:color w:val="auto"/>
              </w:rPr>
              <w:t>Expected life of options (in years)</w:t>
            </w:r>
          </w:p>
        </w:tc>
        <w:tc>
          <w:tcPr>
            <w:tcW w:w="20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6.02</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480" w:type="dxa"/>
            <w:vAlign w:val="bottom"/>
          </w:tcPr>
          <w:p>
            <w:pPr>
              <w:ind w:left="340"/>
              <w:spacing w:after="0"/>
              <w:rPr>
                <w:sz w:val="20"/>
                <w:szCs w:val="20"/>
                <w:color w:val="auto"/>
              </w:rPr>
            </w:pPr>
            <w:r>
              <w:rPr>
                <w:rFonts w:ascii="Arial" w:cs="Arial" w:eastAsia="Arial" w:hAnsi="Arial"/>
                <w:sz w:val="18"/>
                <w:szCs w:val="18"/>
                <w:color w:val="auto"/>
              </w:rPr>
              <w:t>6.08</w:t>
            </w:r>
          </w:p>
        </w:tc>
      </w:tr>
      <w:tr>
        <w:trPr>
          <w:trHeight w:val="270"/>
        </w:trPr>
        <w:tc>
          <w:tcPr>
            <w:tcW w:w="5880" w:type="dxa"/>
            <w:vAlign w:val="bottom"/>
          </w:tcPr>
          <w:p>
            <w:pPr>
              <w:ind w:left="660"/>
              <w:spacing w:after="0"/>
              <w:rPr>
                <w:sz w:val="20"/>
                <w:szCs w:val="20"/>
                <w:color w:val="auto"/>
              </w:rPr>
            </w:pPr>
            <w:r>
              <w:rPr>
                <w:rFonts w:ascii="Arial" w:cs="Arial" w:eastAsia="Arial" w:hAnsi="Arial"/>
                <w:sz w:val="18"/>
                <w:szCs w:val="18"/>
                <w:color w:val="auto"/>
              </w:rPr>
              <w:t>Expected stock price volatility</w:t>
            </w:r>
          </w:p>
        </w:tc>
        <w:tc>
          <w:tcPr>
            <w:tcW w:w="2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jc w:val="center"/>
              <w:ind w:right="410"/>
              <w:spacing w:after="0"/>
              <w:rPr>
                <w:sz w:val="20"/>
                <w:szCs w:val="20"/>
                <w:color w:val="auto"/>
              </w:rPr>
            </w:pPr>
            <w:r>
              <w:rPr>
                <w:rFonts w:ascii="Arial" w:cs="Arial" w:eastAsia="Arial" w:hAnsi="Arial"/>
                <w:sz w:val="18"/>
                <w:szCs w:val="18"/>
                <w:color w:val="auto"/>
                <w:w w:val="90"/>
              </w:rPr>
              <w:t>0.50%</w:t>
            </w:r>
          </w:p>
        </w:tc>
        <w:tc>
          <w:tcPr>
            <w:tcW w:w="1480" w:type="dxa"/>
            <w:vAlign w:val="bottom"/>
          </w:tcPr>
          <w:p>
            <w:pPr>
              <w:spacing w:after="0"/>
              <w:rPr>
                <w:sz w:val="23"/>
                <w:szCs w:val="23"/>
                <w:color w:val="auto"/>
              </w:rPr>
            </w:pPr>
          </w:p>
        </w:tc>
      </w:tr>
      <w:tr>
        <w:trPr>
          <w:trHeight w:val="270"/>
        </w:trPr>
        <w:tc>
          <w:tcPr>
            <w:tcW w:w="5880" w:type="dxa"/>
            <w:vAlign w:val="bottom"/>
          </w:tcPr>
          <w:p>
            <w:pPr>
              <w:ind w:left="660"/>
              <w:spacing w:after="0"/>
              <w:rPr>
                <w:sz w:val="20"/>
                <w:szCs w:val="20"/>
                <w:color w:val="auto"/>
              </w:rPr>
            </w:pPr>
            <w:r>
              <w:rPr>
                <w:rFonts w:ascii="Arial" w:cs="Arial" w:eastAsia="Arial" w:hAnsi="Arial"/>
                <w:sz w:val="18"/>
                <w:szCs w:val="18"/>
                <w:color w:val="auto"/>
              </w:rPr>
              <w:t>Risk free interest rate</w:t>
            </w:r>
          </w:p>
        </w:tc>
        <w:tc>
          <w:tcPr>
            <w:tcW w:w="2060" w:type="dxa"/>
            <w:vAlign w:val="bottom"/>
          </w:tcPr>
          <w:p>
            <w:pPr>
              <w:jc w:val="right"/>
              <w:ind w:right="170"/>
              <w:spacing w:after="0"/>
              <w:rPr>
                <w:sz w:val="20"/>
                <w:szCs w:val="20"/>
                <w:color w:val="auto"/>
              </w:rPr>
            </w:pPr>
            <w:r>
              <w:rPr>
                <w:rFonts w:ascii="Arial" w:cs="Arial" w:eastAsia="Arial" w:hAnsi="Arial"/>
                <w:sz w:val="18"/>
                <w:szCs w:val="18"/>
                <w:color w:val="auto"/>
              </w:rPr>
              <w:t>0.74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620"/>
              <w:spacing w:after="0"/>
              <w:rPr>
                <w:sz w:val="20"/>
                <w:szCs w:val="20"/>
                <w:color w:val="auto"/>
              </w:rPr>
            </w:pPr>
            <w:r>
              <w:rPr>
                <w:rFonts w:ascii="Arial" w:cs="Arial" w:eastAsia="Arial" w:hAnsi="Arial"/>
                <w:sz w:val="18"/>
                <w:szCs w:val="18"/>
                <w:color w:val="auto"/>
              </w:rPr>
              <w:t>—</w:t>
            </w:r>
          </w:p>
        </w:tc>
        <w:tc>
          <w:tcPr>
            <w:tcW w:w="1480" w:type="dxa"/>
            <w:vAlign w:val="bottom"/>
          </w:tcPr>
          <w:p>
            <w:pPr>
              <w:ind w:left="340"/>
              <w:spacing w:after="0"/>
              <w:rPr>
                <w:sz w:val="20"/>
                <w:szCs w:val="20"/>
                <w:color w:val="auto"/>
              </w:rPr>
            </w:pPr>
            <w:r>
              <w:rPr>
                <w:rFonts w:ascii="Arial" w:cs="Arial" w:eastAsia="Arial" w:hAnsi="Arial"/>
                <w:sz w:val="18"/>
                <w:szCs w:val="18"/>
                <w:color w:val="auto"/>
              </w:rPr>
              <w:t>0.97%</w:t>
            </w:r>
          </w:p>
        </w:tc>
      </w:tr>
      <w:tr>
        <w:trPr>
          <w:trHeight w:val="270"/>
        </w:trPr>
        <w:tc>
          <w:tcPr>
            <w:tcW w:w="5880" w:type="dxa"/>
            <w:vAlign w:val="bottom"/>
          </w:tcPr>
          <w:p>
            <w:pPr>
              <w:ind w:left="660"/>
              <w:spacing w:after="0"/>
              <w:rPr>
                <w:sz w:val="20"/>
                <w:szCs w:val="20"/>
                <w:color w:val="auto"/>
              </w:rPr>
            </w:pPr>
            <w:r>
              <w:rPr>
                <w:rFonts w:ascii="Arial" w:cs="Arial" w:eastAsia="Arial" w:hAnsi="Arial"/>
                <w:sz w:val="18"/>
                <w:szCs w:val="18"/>
                <w:color w:val="auto"/>
              </w:rPr>
              <w:t>Expected dividend yield</w:t>
            </w:r>
          </w:p>
        </w:tc>
        <w:tc>
          <w:tcPr>
            <w:tcW w:w="2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jc w:val="center"/>
              <w:ind w:right="430"/>
              <w:spacing w:after="0"/>
              <w:rPr>
                <w:sz w:val="20"/>
                <w:szCs w:val="20"/>
                <w:color w:val="auto"/>
              </w:rPr>
            </w:pPr>
            <w:r>
              <w:rPr>
                <w:rFonts w:ascii="Arial" w:cs="Arial" w:eastAsia="Arial" w:hAnsi="Arial"/>
                <w:sz w:val="18"/>
                <w:szCs w:val="18"/>
                <w:color w:val="auto"/>
                <w:w w:val="93"/>
              </w:rPr>
              <w:t>—%</w:t>
            </w:r>
          </w:p>
        </w:tc>
        <w:tc>
          <w:tcPr>
            <w:tcW w:w="1480" w:type="dxa"/>
            <w:vAlign w:val="bottom"/>
          </w:tcPr>
          <w:p>
            <w:pPr>
              <w:spacing w:after="0"/>
              <w:rPr>
                <w:sz w:val="23"/>
                <w:szCs w:val="23"/>
                <w:color w:val="auto"/>
              </w:rPr>
            </w:pPr>
          </w:p>
        </w:tc>
      </w:tr>
      <w:tr>
        <w:trPr>
          <w:trHeight w:val="256"/>
        </w:trPr>
        <w:tc>
          <w:tcPr>
            <w:tcW w:w="5880" w:type="dxa"/>
            <w:vAlign w:val="bottom"/>
          </w:tcPr>
          <w:p>
            <w:pPr>
              <w:ind w:left="660"/>
              <w:spacing w:after="0"/>
              <w:rPr>
                <w:sz w:val="20"/>
                <w:szCs w:val="20"/>
                <w:color w:val="auto"/>
              </w:rPr>
            </w:pPr>
            <w:r>
              <w:rPr>
                <w:rFonts w:ascii="Arial" w:cs="Arial" w:eastAsia="Arial" w:hAnsi="Arial"/>
                <w:sz w:val="18"/>
                <w:szCs w:val="18"/>
                <w:color w:val="auto"/>
                <w:w w:val="99"/>
              </w:rPr>
              <w:t>Weighted average grant-date fair value per share of stock options</w:t>
            </w:r>
          </w:p>
        </w:tc>
        <w:tc>
          <w:tcPr>
            <w:tcW w:w="2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granted</w:t>
            </w:r>
          </w:p>
        </w:tc>
        <w:tc>
          <w:tcPr>
            <w:tcW w:w="2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center"/>
              <w:ind w:right="430"/>
              <w:spacing w:after="0"/>
              <w:rPr>
                <w:sz w:val="20"/>
                <w:szCs w:val="20"/>
                <w:color w:val="auto"/>
              </w:rPr>
            </w:pPr>
            <w:r>
              <w:rPr>
                <w:rFonts w:ascii="Arial" w:cs="Arial" w:eastAsia="Arial" w:hAnsi="Arial"/>
                <w:sz w:val="18"/>
                <w:szCs w:val="18"/>
                <w:color w:val="auto"/>
                <w:w w:val="88"/>
              </w:rPr>
              <w:t>$1.85</w:t>
            </w:r>
          </w:p>
        </w:tc>
        <w:tc>
          <w:tcPr>
            <w:tcW w:w="1480" w:type="dxa"/>
            <w:vAlign w:val="bottom"/>
          </w:tcPr>
          <w:p>
            <w:pPr>
              <w:spacing w:after="0"/>
              <w:rPr>
                <w:sz w:val="20"/>
                <w:szCs w:val="20"/>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months ended March 31,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three months ended March 31, 2021:</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w w:val="93"/>
              </w:rPr>
              <w:t>Number of Options</w:t>
            </w:r>
          </w:p>
        </w:tc>
        <w:tc>
          <w:tcPr>
            <w:tcW w:w="80" w:type="dxa"/>
            <w:vAlign w:val="bottom"/>
          </w:tcPr>
          <w:p>
            <w:pPr>
              <w:spacing w:after="0"/>
              <w:rPr>
                <w:sz w:val="20"/>
                <w:szCs w:val="20"/>
                <w:color w:val="auto"/>
              </w:rPr>
            </w:pPr>
          </w:p>
        </w:tc>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 Average Exercise Price</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68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18,038,042</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(38,188)</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(170,590)</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80" w:type="dxa"/>
            <w:vAlign w:val="bottom"/>
          </w:tcPr>
          <w:p>
            <w:pPr>
              <w:spacing w:after="0"/>
              <w:rPr>
                <w:sz w:val="20"/>
                <w:szCs w:val="20"/>
                <w:color w:val="auto"/>
              </w:rPr>
            </w:pPr>
            <w:r>
              <w:rPr>
                <w:rFonts w:ascii="Arial" w:cs="Arial" w:eastAsia="Arial" w:hAnsi="Arial"/>
                <w:sz w:val="18"/>
                <w:szCs w:val="18"/>
                <w:b w:val="1"/>
                <w:bCs w:val="1"/>
                <w:color w:val="auto"/>
              </w:rPr>
              <w:t>Outstanding at March 31, 2021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17,829,264</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Performance and Market Vesting Conditions</w:t>
      </w:r>
    </w:p>
    <w:p>
      <w:pPr>
        <w:spacing w:after="0" w:line="239" w:lineRule="exact"/>
        <w:rPr>
          <w:sz w:val="20"/>
          <w:szCs w:val="20"/>
          <w:color w:val="auto"/>
        </w:rPr>
      </w:pPr>
    </w:p>
    <w:p>
      <w:pPr>
        <w:ind w:left="20" w:right="240" w:firstLine="648"/>
        <w:spacing w:after="0" w:line="255" w:lineRule="auto"/>
        <w:rPr>
          <w:sz w:val="20"/>
          <w:szCs w:val="20"/>
          <w:color w:val="auto"/>
        </w:rPr>
      </w:pPr>
      <w:r>
        <w:rPr>
          <w:rFonts w:ascii="Arial" w:cs="Arial" w:eastAsia="Arial" w:hAnsi="Arial"/>
          <w:sz w:val="18"/>
          <w:szCs w:val="18"/>
          <w:color w:val="auto"/>
        </w:rPr>
        <w:t>Since 2018, the Company has granted stock options that vest based upon achieving a qualifying liquidity event, provided the employee remains employed on the date the vesting condition is satisfied. As of March 31, 2021, such stock options to purchase 2,442,918 shares of common stock were outstanding with a weighted average exercise price of $5.54 per share. As of March 31, 2021 and December 31, 2020, total unrecognized stock-based compensation cost related to these stock options was $3.1 million. In conjunction with the IPO, all 2,442,918 stock option awards vested based on the achievement of the IPO qualifying liquidity event, resulting in the recognition of stock-based compensation expense of $3.1 million upon the IPO in the second quarter of 2021.</w:t>
      </w:r>
    </w:p>
    <w:p>
      <w:pPr>
        <w:spacing w:after="0" w:line="21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2018 and 2019, the Company granted stock options that vest based upon achieving certain performance conditions provided the employee remains employed on the date the performance condition is satisfied. Of these options, 50% vest upon the board of directors confirmation that the Company has achieved net revenue of a least $420.0 million over any rolling twelve-month period prior to December 31, 2021 (“the Revenue Achievement”) and the remaining 50% vest upon the board of directors confirmation that the Company has achieved adjusted EBITDA of at least $58.0 million over any rolling twelve-month period prior to December 31, 2021 (“the EBITDA Achievement”).</w:t>
      </w:r>
    </w:p>
    <w:p>
      <w:pPr>
        <w:spacing w:after="0" w:line="21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February 2020, the Company modified the terms of these stock option awards such that the awards vest solely based upon a qualifying liquidity event where the fair market value of a share of the Company’s common stock in connection with such event is at least 1.5 times the per-share exercise price of the option. The Company determined that neither the Revenue Achievement nor the EBITDA Achievement was probable of occurring at the time of modification, and therefore, no expense was recognized. The fair value of these awards on the date of modification was $0.8 million, which was recognized as stock-based compensation expense upon the IPO. As of March 31, 2021, the total unrecognized stock-based compensation expense for these modified awards was $0.7 million due to forfeitures related to employee terminations, which is included in the $3.1 million unrecognized stock-based compensation cost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February 2021, the Company granted 200,000 restricted stock units (“RSUs”) to an officer of the Company of which 80,000 RSUs will vest over a period of four years based on continued service and 120,000 RSUs will vest one year after the occurrence of a liquidity event, including an IPO. The grant-date fair value of this award was $2.0 million. In conjunction with the IPO, the Company recognized stock-based compensation expense of $0.2 million related to these RSUs.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6" w:name="page17"/>
    <w:bookmarkEnd w:id="16"/>
    <w:p>
      <w:pPr>
        <w:ind w:left="91" w:right="300" w:firstLine="648"/>
        <w:spacing w:after="0" w:line="342" w:lineRule="auto"/>
        <w:rPr>
          <w:sz w:val="20"/>
          <w:szCs w:val="20"/>
          <w:color w:val="auto"/>
        </w:rPr>
      </w:pPr>
      <w:r>
        <w:rPr>
          <w:rFonts w:ascii="Arial" w:cs="Arial" w:eastAsia="Arial" w:hAnsi="Arial"/>
          <w:sz w:val="16"/>
          <w:szCs w:val="16"/>
          <w:color w:val="auto"/>
        </w:rPr>
        <w:t>Refer to Note 13 included in these condensed consolidated financial statements for subsequent events related to the Company’s adoption of the Company’s 2021 Equity Incentive Plan, IPO RSU Grants granted thereunder, and the Company’s 2021 Employee Stock Purchase Plan.</w:t>
      </w:r>
    </w:p>
    <w:p>
      <w:pPr>
        <w:spacing w:after="0" w:line="147" w:lineRule="exact"/>
        <w:rPr>
          <w:sz w:val="20"/>
          <w:szCs w:val="20"/>
          <w:color w:val="auto"/>
        </w:rPr>
      </w:pPr>
    </w:p>
    <w:p>
      <w:pPr>
        <w:ind w:left="731" w:hanging="731"/>
        <w:spacing w:after="0"/>
        <w:tabs>
          <w:tab w:leader="none" w:pos="73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 Attributable to Common Stockholders</w:t>
      </w:r>
    </w:p>
    <w:p>
      <w:pPr>
        <w:spacing w:after="0" w:line="256" w:lineRule="exact"/>
        <w:rPr>
          <w:sz w:val="20"/>
          <w:szCs w:val="20"/>
          <w:color w:val="auto"/>
        </w:rPr>
      </w:pPr>
    </w:p>
    <w:p>
      <w:pPr>
        <w:ind w:left="91" w:right="60" w:firstLine="648"/>
        <w:spacing w:after="0" w:line="257" w:lineRule="auto"/>
        <w:rPr>
          <w:sz w:val="20"/>
          <w:szCs w:val="20"/>
          <w:color w:val="auto"/>
        </w:rPr>
      </w:pPr>
      <w:r>
        <w:rPr>
          <w:rFonts w:ascii="Arial" w:cs="Arial" w:eastAsia="Arial" w:hAnsi="Arial"/>
          <w:sz w:val="18"/>
          <w:szCs w:val="18"/>
          <w:color w:val="auto"/>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its redeemable convertible preferred stock to be participating securities as preferred stockholders have rights to participate in dividends with the common stockholders.</w:t>
      </w:r>
    </w:p>
    <w:p>
      <w:pPr>
        <w:spacing w:after="0" w:line="215" w:lineRule="exact"/>
        <w:rPr>
          <w:sz w:val="20"/>
          <w:szCs w:val="20"/>
          <w:color w:val="auto"/>
        </w:rPr>
      </w:pPr>
    </w:p>
    <w:p>
      <w:pPr>
        <w:ind w:left="91" w:right="20" w:firstLine="648"/>
        <w:spacing w:after="0" w:line="275" w:lineRule="auto"/>
        <w:rPr>
          <w:sz w:val="20"/>
          <w:szCs w:val="20"/>
          <w:color w:val="auto"/>
        </w:rPr>
      </w:pPr>
      <w:r>
        <w:rPr>
          <w:rFonts w:ascii="Arial" w:cs="Arial" w:eastAsia="Arial" w:hAnsi="Arial"/>
          <w:sz w:val="17"/>
          <w:szCs w:val="17"/>
          <w:color w:val="auto"/>
        </w:rPr>
        <w:t>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w:t>
      </w:r>
    </w:p>
    <w:p>
      <w:pPr>
        <w:spacing w:after="0" w:line="176" w:lineRule="exact"/>
        <w:rPr>
          <w:sz w:val="20"/>
          <w:szCs w:val="20"/>
          <w:color w:val="auto"/>
        </w:rPr>
      </w:pPr>
    </w:p>
    <w:p>
      <w:pPr>
        <w:ind w:left="91" w:right="960" w:firstLine="648"/>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per share attributable to common stockholders:</w:t>
      </w:r>
    </w:p>
    <w:p>
      <w:pPr>
        <w:spacing w:after="0" w:line="220" w:lineRule="exact"/>
        <w:rPr>
          <w:sz w:val="20"/>
          <w:szCs w:val="20"/>
          <w:color w:val="auto"/>
        </w:rPr>
      </w:pPr>
    </w:p>
    <w:tbl>
      <w:tblPr>
        <w:tblLayout w:type="fixed"/>
        <w:tblInd w:w="131"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i w:val="1"/>
                <w:iCs w:val="1"/>
                <w:color w:val="auto"/>
              </w:rPr>
              <w:t>(In thousands, except for share and per share values)</w:t>
            </w:r>
          </w:p>
        </w:tc>
        <w:tc>
          <w:tcPr>
            <w:tcW w:w="260" w:type="dxa"/>
            <w:vAlign w:val="bottom"/>
          </w:tcPr>
          <w:p>
            <w:pPr>
              <w:spacing w:after="0"/>
              <w:rPr>
                <w:sz w:val="20"/>
                <w:szCs w:val="20"/>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Less: undistributed earnings allocated to redeemable convertible preferred stock</w:t>
            </w:r>
          </w:p>
        </w:tc>
        <w:tc>
          <w:tcPr>
            <w:tcW w:w="26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Net income (loss) attributable to common stockholders - 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Add: undistributed earnings reallocated to common stockholders</w:t>
            </w:r>
          </w:p>
        </w:tc>
        <w:tc>
          <w:tcPr>
            <w:tcW w:w="26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tcPr>
          <w:p>
            <w:pPr>
              <w:spacing w:after="0"/>
              <w:rPr>
                <w:sz w:val="20"/>
                <w:szCs w:val="20"/>
                <w:color w:val="auto"/>
              </w:rPr>
            </w:pPr>
            <w:r>
              <w:rPr>
                <w:rFonts w:ascii="Arial" w:cs="Arial" w:eastAsia="Arial" w:hAnsi="Arial"/>
                <w:sz w:val="18"/>
                <w:szCs w:val="18"/>
                <w:color w:val="auto"/>
              </w:rPr>
              <w:t>Net income (loss) attributable to common stockholders -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34,102,123</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34,061,001</w:t>
            </w:r>
          </w:p>
        </w:tc>
        <w:tc>
          <w:tcPr>
            <w:tcW w:w="0" w:type="dxa"/>
            <w:vAlign w:val="bottom"/>
          </w:tcPr>
          <w:p>
            <w:pPr>
              <w:spacing w:after="0"/>
              <w:rPr>
                <w:sz w:val="1"/>
                <w:szCs w:val="1"/>
                <w:color w:val="auto"/>
              </w:rPr>
            </w:pPr>
          </w:p>
        </w:tc>
      </w:tr>
      <w:tr>
        <w:trPr>
          <w:trHeight w:val="270"/>
        </w:trPr>
        <w:tc>
          <w:tcPr>
            <w:tcW w:w="7280" w:type="dxa"/>
            <w:vAlign w:val="bottom"/>
          </w:tcPr>
          <w:p>
            <w:pPr>
              <w:ind w:left="100"/>
              <w:spacing w:after="0"/>
              <w:rPr>
                <w:sz w:val="20"/>
                <w:szCs w:val="20"/>
                <w:color w:val="auto"/>
              </w:rPr>
            </w:pPr>
            <w:r>
              <w:rPr>
                <w:rFonts w:ascii="Arial" w:cs="Arial" w:eastAsia="Arial" w:hAnsi="Arial"/>
                <w:sz w:val="18"/>
                <w:szCs w:val="18"/>
                <w:color w:val="auto"/>
              </w:rPr>
              <w:t>Add: effect of dilutive stock options</w:t>
            </w:r>
          </w:p>
        </w:tc>
        <w:tc>
          <w:tcPr>
            <w:tcW w:w="260" w:type="dxa"/>
            <w:vAlign w:val="bottom"/>
          </w:tcPr>
          <w:p>
            <w:pPr>
              <w:spacing w:after="0"/>
              <w:rPr>
                <w:sz w:val="23"/>
                <w:szCs w:val="23"/>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645,986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spacing w:after="0"/>
              <w:rPr>
                <w:sz w:val="20"/>
                <w:szCs w:val="20"/>
                <w:color w:val="auto"/>
              </w:rPr>
            </w:pPr>
            <w:r>
              <w:rPr>
                <w:rFonts w:ascii="Arial" w:cs="Arial" w:eastAsia="Arial" w:hAnsi="Arial"/>
                <w:sz w:val="18"/>
                <w:szCs w:val="18"/>
                <w:color w:val="auto"/>
              </w:rPr>
              <w:t>Weighted average shares of common stock outstanding - diluted</w:t>
            </w:r>
          </w:p>
        </w:tc>
        <w:tc>
          <w:tcPr>
            <w:tcW w:w="2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34,102,123</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34,706,987</w:t>
            </w:r>
          </w:p>
        </w:tc>
        <w:tc>
          <w:tcPr>
            <w:tcW w:w="0" w:type="dxa"/>
            <w:vAlign w:val="bottom"/>
          </w:tcPr>
          <w:p>
            <w:pPr>
              <w:spacing w:after="0"/>
              <w:rPr>
                <w:sz w:val="1"/>
                <w:szCs w:val="1"/>
                <w:color w:val="auto"/>
              </w:rPr>
            </w:pPr>
          </w:p>
        </w:tc>
      </w:tr>
      <w:tr>
        <w:trPr>
          <w:trHeight w:val="27"/>
        </w:trPr>
        <w:tc>
          <w:tcPr>
            <w:tcW w:w="7280" w:type="dxa"/>
            <w:vAlign w:val="bottom"/>
            <w:vMerge w:val="restart"/>
          </w:tcPr>
          <w:p>
            <w:pPr>
              <w:spacing w:after="0"/>
              <w:rPr>
                <w:sz w:val="20"/>
                <w:szCs w:val="20"/>
                <w:color w:val="auto"/>
              </w:rPr>
            </w:pPr>
            <w:r>
              <w:rPr>
                <w:rFonts w:ascii="Arial" w:cs="Arial" w:eastAsia="Arial" w:hAnsi="Arial"/>
                <w:sz w:val="18"/>
                <w:szCs w:val="18"/>
                <w:color w:val="auto"/>
              </w:rPr>
              <w:t>Earnings per share, attributable to common shareholders: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7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8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91" w:firstLine="648"/>
        <w:spacing w:after="0" w:line="277" w:lineRule="auto"/>
        <w:rPr>
          <w:sz w:val="20"/>
          <w:szCs w:val="20"/>
          <w:color w:val="auto"/>
        </w:rPr>
      </w:pPr>
      <w:r>
        <w:rPr>
          <w:rFonts w:ascii="Arial" w:cs="Arial" w:eastAsia="Arial" w:hAnsi="Arial"/>
          <w:sz w:val="18"/>
          <w:szCs w:val="18"/>
          <w:color w:val="auto"/>
        </w:rPr>
        <w:t>The following potentially dilutive shares were excluded from the computation of diluted net income (loss) per share because including them would have been antidilutive for the three months ended:</w:t>
      </w:r>
    </w:p>
    <w:p>
      <w:pPr>
        <w:spacing w:after="0" w:line="4" w:lineRule="exact"/>
        <w:rPr>
          <w:sz w:val="20"/>
          <w:szCs w:val="20"/>
          <w:color w:val="auto"/>
        </w:rPr>
      </w:pPr>
    </w:p>
    <w:tbl>
      <w:tblPr>
        <w:tblLayout w:type="fixed"/>
        <w:tblInd w:w="771"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72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760" w:type="dxa"/>
            <w:vAlign w:val="bottom"/>
          </w:tcPr>
          <w:p>
            <w:pPr>
              <w:jc w:val="right"/>
              <w:spacing w:after="0"/>
              <w:rPr>
                <w:sz w:val="20"/>
                <w:szCs w:val="20"/>
                <w:color w:val="auto"/>
              </w:rPr>
            </w:pPr>
            <w:r>
              <w:rPr>
                <w:rFonts w:ascii="Arial" w:cs="Arial" w:eastAsia="Arial" w:hAnsi="Arial"/>
                <w:sz w:val="18"/>
                <w:szCs w:val="18"/>
                <w:color w:val="auto"/>
              </w:rPr>
              <w:t>49,100</w:t>
            </w:r>
          </w:p>
        </w:tc>
        <w:tc>
          <w:tcPr>
            <w:tcW w:w="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49,100</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760" w:type="dxa"/>
            <w:vAlign w:val="bottom"/>
          </w:tcPr>
          <w:p>
            <w:pPr>
              <w:jc w:val="right"/>
              <w:spacing w:after="0"/>
              <w:rPr>
                <w:sz w:val="20"/>
                <w:szCs w:val="20"/>
                <w:color w:val="auto"/>
              </w:rPr>
            </w:pPr>
            <w:r>
              <w:rPr>
                <w:rFonts w:ascii="Arial" w:cs="Arial" w:eastAsia="Arial" w:hAnsi="Arial"/>
                <w:sz w:val="18"/>
                <w:szCs w:val="18"/>
                <w:color w:val="auto"/>
              </w:rPr>
              <w:t>17,829</w:t>
            </w:r>
          </w:p>
        </w:tc>
        <w:tc>
          <w:tcPr>
            <w:tcW w:w="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7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67,129</w:t>
            </w:r>
          </w:p>
        </w:tc>
        <w:tc>
          <w:tcPr>
            <w:tcW w:w="80" w:type="dxa"/>
            <w:vAlign w:val="bottom"/>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62,150</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31" w:hanging="432"/>
        <w:spacing w:after="0"/>
        <w:tabs>
          <w:tab w:leader="none" w:pos="53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left="91" w:right="200" w:firstLine="648"/>
        <w:spacing w:after="0" w:line="277" w:lineRule="auto"/>
        <w:rPr>
          <w:sz w:val="20"/>
          <w:szCs w:val="20"/>
          <w:color w:val="auto"/>
        </w:rPr>
      </w:pPr>
      <w:r>
        <w:rPr>
          <w:rFonts w:ascii="Arial" w:cs="Arial" w:eastAsia="Arial" w:hAnsi="Arial"/>
          <w:sz w:val="18"/>
          <w:szCs w:val="18"/>
          <w:color w:val="auto"/>
        </w:rPr>
        <w:t>In determining quarterly provisions for income taxes, the Company uses the annual estimated effective tax rate applied to the actual year-to-date loss, adjusted for discrete items arising in that quarter. The Company’s annual estimated effective tax rate</w:t>
      </w:r>
    </w:p>
    <w:p>
      <w:pPr>
        <w:sectPr>
          <w:pgSz w:w="11900" w:h="16838" w:orient="portrait"/>
          <w:cols w:equalWidth="0" w:num="1">
            <w:col w:w="11331"/>
          </w:cols>
          <w:pgMar w:left="229" w:top="773" w:right="339" w:bottom="6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95250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1"/>
          </w:cols>
          <w:pgMar w:left="229" w:top="773" w:right="339" w:bottom="631" w:gutter="0" w:footer="0" w:header="0"/>
          <w:type w:val="continuous"/>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differs from the U.S. federal statutory rate of 21% primarily as a result of a valuation allowance against net deferred tax assets, stock-based compensation, state taxes, and other permanent differences.</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During the three months ended March 31, 2021 and 2020, the Company has not recorded any uncertain tax positions and has not recognized interest or penalties in the consolidated statement of operations and comprehensive income (loss).</w:t>
      </w:r>
    </w:p>
    <w:p>
      <w:pPr>
        <w:spacing w:after="0" w:line="200" w:lineRule="exact"/>
        <w:rPr>
          <w:sz w:val="20"/>
          <w:szCs w:val="20"/>
          <w:color w:val="auto"/>
        </w:rPr>
      </w:pPr>
    </w:p>
    <w:p>
      <w:pPr>
        <w:spacing w:after="0" w:line="2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April 2020, the Company engaged Summit House Studios LLC, a third-party consultant, to provide digital ad production services. Summit House Studios LLC is owned by a major shareholder of the Company. Based on services provided, the Company incurred $0.1 million of advertising costs for the three months ended March 31, 2021, which is reported as marketing expense in the Company’s consolidated statements of comprehensive income (loss).</w:t>
      </w:r>
    </w:p>
    <w:p>
      <w:pPr>
        <w:spacing w:after="0" w:line="210" w:lineRule="exact"/>
        <w:rPr>
          <w:sz w:val="20"/>
          <w:szCs w:val="20"/>
          <w:color w:val="auto"/>
        </w:rPr>
      </w:pPr>
    </w:p>
    <w:p>
      <w:pPr>
        <w:ind w:right="9300" w:firstLine="8"/>
        <w:spacing w:after="0" w:line="534" w:lineRule="auto"/>
        <w:tabs>
          <w:tab w:leader="none" w:pos="45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Dividend</w:t>
      </w:r>
    </w:p>
    <w:p>
      <w:pPr>
        <w:spacing w:after="0" w:line="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In April 2021, the Company’s board of directors declared a cash dividend of $35.0 million to the holders of record of the Company’s common stock and the Company’s redeemable convertible preferred stock as of May 3, 2021, which is payable no later than June 30, 2021.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Credit Facility</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April 2021, the Company entered into a first lien credit agreement (“2021 Credit Facility”), with JPMorgan Chase Bank, N.A., as administrative agent and lender, and the other lenders party thereto, which provides for a $35.0 million revolving credit facility that matures April 2026. The 2021 Credit Facility includes a subfacility that provides for the issuance of letters of credit in an amount of up to $10.0 million at any time outstanding. The 2021 Credit Facility is subject to customary fees for loan facilities of this type, including a commitment fee based on the average daily undrawn portion of the revolving credit facility. The interest rate applicable to the 2021 Credit Facility is, at the Company’s option, either (a) the LIBOR (or a replacement rate established in accordance with the terms of the 2021 Credit Facility) (subject to a 0.00% LIBOR floor), plus a margin of 1.50% or (b) the CB floating rate minus a margin of 0.50%. The CB floating rate is the highest of (a) the Wall Street Journal prime rate and (b)(i) 2.50% plus (ii) the adjusted LIBOR rate for a one-month interest period.</w:t>
      </w:r>
    </w:p>
    <w:p>
      <w:pPr>
        <w:spacing w:after="0" w:line="21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2021 Credit Facility contains various affirmative and negative covenants, indemnification provisions and events of default that are applicable to the Company and which are normal and customary for similar facilities, including the following: (a) restrict the Company's ability to make restricted payments including dividends and distributions on, redemptions of, repurchases or retirement of the Company’s capital stock, (b) restrict certain of the Company’s subsidiaries’ ability to engage in certain intercompany transactions with other subsidiaries that do not guarantee obligations under the 2021 Credit Facility and (c) restrict the Company’s ability to incur additional indebtedness and issue certain types of equity; sell assets, including capital stock of subsidiaries; enter into certain transactions with affiliates; incur liens; enter into fundamental changes including mergers and consolidations; make investments, acquisitions, loans or advances; create negative pledges or restrictions on the payment of dividends or payment of other amounts owed from subsidiaries; make prepayments or modify documents governing material debt that is subordinated with respect to right of payment; engage in certain sale leaseback transactions; change the Company’s fiscal year; and change the Company’s lines of business. The 2021 Credit Facility contains a financial covenant that requires the Company to maintain a total net leverage ratio of not more than 3.50:1.00 during the periods set forth in the 2021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Refer to Note 8 included in these condensed consolidated financial statements regarding the April 2021 settlement of a putative class action, as well as an update to the Department's Deficiency Notice in the Nevada tax abatement matter.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IPO Bonus</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the closing of the IPO, the Company paid $9.5 million in bonuses to certain employees, including members of management, excluding in each case payroll taxes and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256"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April 2021, the Company’s board of directors adopted the Company’s 2021 Equity Incentive Plan (the “2021 Plan”). All equity-based awards going forward will be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RSU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which is the sum of (i) 7,050,000 new shares, plus (ii) an additional number of shares not to exceed 17,975,580 shares, consisting of shares of the Company's common stock subject to outstanding stock options or other stock awards granted under the Company's 2011 Stock Incentive Plan that, on or after the Company's 2021 Plan terminates or expires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w:t>
      </w:r>
    </w:p>
    <w:p>
      <w:pPr>
        <w:spacing w:after="0" w:line="2" w:lineRule="exact"/>
        <w:rPr>
          <w:sz w:val="20"/>
          <w:szCs w:val="20"/>
          <w:color w:val="auto"/>
        </w:rPr>
      </w:pPr>
    </w:p>
    <w:p>
      <w:pPr>
        <w:ind w:right="460" w:firstLine="8"/>
        <w:spacing w:after="0" w:line="260"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lesser number of shares determined by the Company’s board of directors prior to the date of the increase. The maximum number of shares of the Company’s common stock that may be issued on the exercise of ISOs under its 2021 Plan is 75,100,000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RSU Grants</w:t>
      </w:r>
    </w:p>
    <w:p>
      <w:pPr>
        <w:spacing w:after="0" w:line="256"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In May 2021, the Company's board of directors granted 2,187,713 RSUs to certain executive officers under the 2021 Plan (the “IPO Awards”) which vest over a five-year period, with 20% of the restricted stock units vesting on the first anniversary of the vesting commencement date, and the remainder vesting in 16 equal quarterly installments thereafter, in each case, subject to the executive officer’s continuous service with the Company as of each vesting date. Each IPO Award is subject to the terms and conditions of the 2021 Plan and an award agreement with the applicable grantee.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25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April 2021, the Company’s board of directors adopted the Company’s 2021 Employee Stock Purchase Plan (the “2021 ESPP”). The 2021 ESPP is structured as a qualified employee stock purchase plan under Section 423 of the Code, and is not subject to the provisions of the Employee Retirement Income Security Act of 1974.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The 2021 ESPP permits eligible participants to purchase common stock through payroll deductions of up to 15% of their eligible compensation. The Company’s 2021 ESPP is implemented through a series of offerings under which eligible employees are granted purchase rights to purchase shares of the Company’s common stock on specified dates during such offerings. Under the Company’s 2021 ESPP, the Company’s board of directors may specify offerings with durations of not more than 27 months and to specify shorter purchase periods within each offering. Each offering will have one or more purchase dates on which shares of the Company’s common stock will be purchased for employees participating in the offering. The Company’s 2021 ESPP provides that an offering may be terminated under certain circumstances. The purchase price of the shares, in the absence of a contrary designation, will be at least not less than the lesser of (i) 85% of the fair market value of a share of the Company’s common stock on the first day of an offering; or (ii) 85% of the fair market value of a share of the Company’s common stock on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prospectus, dated May 4, 2021, filed with the Securities and Exchange Commission (“SEC”) in accordance with Rule 424(b) of the Securities Act on May 6, 2021 (the “Prospectus”) in connection with our initial public offering (“IPO”).</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Honest Company, Inc. (“Honest” and, together with its consolidated subsidiaries, the “Company,” “we,” “us” and “our”) is a digitally-native, mission-driven brand focused on leading the clean lifestyle movement, creating a community for conscious consumers and seeking to disrupt multiple consumer product categories. Our commitment to our core values, passionate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however our consumers shop. Our differentiated platform positions us for continued growth through our trusted brand, award-winning multi-category product offering, deep digital-first connection with consumers and omnichannel accessibility.</w:t>
      </w:r>
    </w:p>
    <w:p>
      <w:pPr>
        <w:spacing w:after="0" w:line="180" w:lineRule="exact"/>
        <w:rPr>
          <w:sz w:val="20"/>
          <w:szCs w:val="20"/>
          <w:color w:val="auto"/>
        </w:rPr>
      </w:pPr>
    </w:p>
    <w:p>
      <w:pPr>
        <w:ind w:right="80" w:firstLine="648"/>
        <w:spacing w:after="0" w:line="225" w:lineRule="auto"/>
        <w:rPr>
          <w:sz w:val="20"/>
          <w:szCs w:val="20"/>
          <w:color w:val="auto"/>
        </w:rPr>
      </w:pPr>
      <w:r>
        <w:rPr>
          <w:rFonts w:ascii="Arial" w:cs="Arial" w:eastAsia="Arial" w:hAnsi="Arial"/>
          <w:sz w:val="18"/>
          <w:szCs w:val="18"/>
          <w:color w:val="auto"/>
        </w:rPr>
        <w:t>Our integrated multi-category product architecture is intentionally designed to serve our consumers every day, at every age and through every life stage, no matter where they are on their journey. Today, our three categories are Diapers and Wipes, Skin and Personal Care and Household and Wellness, which represented 61%, 32%, and 6%, respectively, of our revenue for the three months ended March 31, 2021, compared to 70%, 26%, and 5%, respectively, of our revenue for the three months ended March 31, 2020. At the center of our product ecosystem are our diapers, which are a strategic consumer acquisition tool that acts as an entry point for our portfolio, as new parents often go on to purchase products from our other categories for their everyday family needs. Our integrated multi-category product architecture is designed to drive loyalty, increase our consumer wallet share and generate attractive consumer lifetime value.</w:t>
      </w:r>
    </w:p>
    <w:p>
      <w:pPr>
        <w:spacing w:after="0" w:line="19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or CPG, peers.</w:t>
      </w:r>
    </w:p>
    <w:p>
      <w:pPr>
        <w:spacing w:after="0" w:line="180" w:lineRule="exact"/>
        <w:rPr>
          <w:sz w:val="20"/>
          <w:szCs w:val="20"/>
          <w:color w:val="auto"/>
        </w:rPr>
      </w:pPr>
    </w:p>
    <w:p>
      <w:pPr>
        <w:ind w:firstLine="648"/>
        <w:spacing w:after="0" w:line="236" w:lineRule="auto"/>
        <w:rPr>
          <w:sz w:val="20"/>
          <w:szCs w:val="20"/>
          <w:color w:val="auto"/>
        </w:rPr>
      </w:pPr>
      <w:r>
        <w:rPr>
          <w:rFonts w:ascii="Arial" w:cs="Arial" w:eastAsia="Arial" w:hAnsi="Arial"/>
          <w:sz w:val="17"/>
          <w:szCs w:val="17"/>
          <w:color w:val="auto"/>
        </w:rPr>
        <w:t>Our omnichannel approach seeks to meet consumers however they want to shop, balancing deep consumer connection with broad convenience and accessibility. Since our launch, we have built a well-integrated omnichannel presence by expanding our retail accessibility across both Digital and Retail channels, including the launch of strategic partnerships with Costco, Target and Amazon in 2013, 2014 and 2017, respectively. For the three months ended March 31, 2021, we generated 52% and 48% of our revenue from our Digital and Retail channels, respectively, compared to 57% and 43% respectively for the three months ended March 31, 2020.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that, with Honest.com, comprise the rest of our Digital channel, and our Retail channel, which includes leading retailers and their websites. Our products can be found in approximately 32,000 retail locations across the United States, Canada and Europe. This distinctive business model has allowed us to efficiently scale our business while remaining agnostic as to the channel where consumers purchase our products. Our integrated omnichannel presence provides meaningful benefits to our consumers which we believe is not easily replicated by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May 7, 2021, we completed our IPO of 25,807,000 shares of our common stock at a stock price of $16.00 per share, resulting in aggregate net proceeds to us of approximately $91.1 million, after deducting the underwriting discount and commissions of $6.7 million and offering expenses of $5.4 million, $2.3 million of which was unpaid at March 31, 2021. We sold 6,451,613 shares and certain existing stockholders sold an aggregate of 19,355,387 shares. We granted the underwriters an option for a period of 30 days to purchase up to an additional 3,871,050 shares of common stock from the selling stockholders at $16.00 per share less the underwriting discounts and commissions. In May 2021, the underwriters' fully exercised the option to purchase these additional shares from the selling stockholders. We did not receive any proceeds from the sale of shares of our common stock by the selling stockholders.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of this Quarterly Report on Form 10-Q titled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Grow Our Brand Awareness</w:t>
      </w:r>
    </w:p>
    <w:p>
      <w:pPr>
        <w:spacing w:after="0" w:line="23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brand is integral to the growth of our business and is essential to our ability to engage and stay connected with the growing clean lifestyle consumer. Honest is still unknown to many consumers, with unaided brand awareness of 25% among diaper buyers according to our consumer research as of January 2021. In order to increase the wallet share of existing conscious consumers and attract new ones, our brand has to maintain its trustworthiness and authenticity. Our ability to attract new consumers will depend, among other things, on our ability to successfully communicate the value of our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expand across categories and channels, allowing us to deepen relationships with consumers and expand our access to global markets. Our performance depends significantly on factors that may affect the level and pattern of consumer spending in the product categories in which we operate.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Innovation</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Research, development and innovation are core elements underpinning our growth strategy. Through our in-house research and development laboratories, we are able to access the latest advancements in clean ingredients and continue to innovate in the clean conscious lifestyle space. Based in Los Angeles, California, our research and development team, including chemists and an in-house toxicologist, develops innovative clean products based on the latest green technology. At Honest, product innovation never stops. The improvement of existing products and the introduction of new products have been, and continue to be, integral to our growth. We have made significant investments in our product development capabilities and plan to do so in the future. We believe our rigorous approach to product innovation has helped redefine and grow the clean and natural segments of the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integrated business planning processes and capabilities.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Product Category Growth</w:t>
      </w:r>
    </w:p>
    <w:p>
      <w:pPr>
        <w:spacing w:after="0" w:line="23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product mix is a driver of our financial performance given our focus on accretive product launches and renovation to increase product margins. Even though our growth strategy aims to boost sales across all categories, we intend to prioritize growth in Skin and Personal Care given its attractive margin characteristics and leverage our brand equity and consumer insights to extend into new adjacent product categories. Since we launched our Innovation Strategy, we have enhanced our product portfolio by strategically discontinuing certain products and making calculated extensions within our three product categories. These product changes have contributed to our revenue and margin growth. We intend to continue to prioritize our innovation in higher-margin products, particularly in Skin and Personal Care.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Execution of Omnichannel Strategy</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6"/>
          <w:szCs w:val="16"/>
          <w:color w:val="auto"/>
        </w:rPr>
        <w:t>The continued execution of our omnichannel strategy impacts our financial performance. We intend to continue leveraging our marketing strategy to drive increased consumer traffic to our flagship digital platform, Honest.com, as it is a valuable tool for creating direct connections with our consumers, influencing brand experience and understanding consumer preference and behavior. Our partnerships with leading third-party retail platforms and national retailers have broadened our consumer reach, raised our brand awareness and enhanced our margins through operating leverage. We will continue to pursue</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1" w:name="page22"/>
    <w:bookmarkEnd w:id="21"/>
    <w:p>
      <w:pPr>
        <w:spacing w:after="0" w:line="227" w:lineRule="auto"/>
        <w:rPr>
          <w:sz w:val="20"/>
          <w:szCs w:val="20"/>
          <w:color w:val="auto"/>
        </w:rPr>
      </w:pPr>
      <w:r>
        <w:rPr>
          <w:rFonts w:ascii="Arial" w:cs="Arial" w:eastAsia="Arial" w:hAnsi="Arial"/>
          <w:sz w:val="18"/>
          <w:szCs w:val="18"/>
          <w:color w:val="auto"/>
        </w:rPr>
        <w:t>partnerships with a wide variety of retailers, including online retailers, big-box retailers, grocery stores, drugstores and specialty retailers. Our ability to execute this strategy will depend on a number of factors, such as retailers’ satisfaction with the sales and profitability of our products, channel shifts of their customers, and their own supply chain, order timing, and inventory needs, which may fluctuate from period to period. For example, in the second quarter of fiscal 2021, we are experiencing volatility in orders from a key customer, which could have a potentially material effect on revenue for the quarter. While we expect shipment volatility to this customer to stabilize, shipment volatility to this customer — as with other customers — may or may not stabilize over time.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Marketing Efficienc</w:t>
      </w:r>
      <w:r>
        <w:rPr>
          <w:rFonts w:ascii="Arial" w:cs="Arial" w:eastAsia="Arial" w:hAnsi="Arial"/>
          <w:sz w:val="18"/>
          <w:szCs w:val="18"/>
          <w:b w:val="1"/>
          <w:bCs w:val="1"/>
          <w:color w:val="auto"/>
        </w:rPr>
        <w:t>y</w:t>
      </w:r>
    </w:p>
    <w:p>
      <w:pPr>
        <w:spacing w:after="0" w:line="24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To grow our business, we intend to continue to improve our operational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partners to acquire new consumers. It is important to maintain reasonable costs for these marketing efforts relative to the revenue we expect to derive from our consumers. We leverage our proprietary Honest Omni-Analytics to generate valuable consumer insights that guide our omnichannel strategy and inform our marketing spend optimization. Our future success depends in part on our ability to effectively attract consumers on a cost-efficient basis and extract efficiencies in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Macro Trends</w:t>
      </w:r>
    </w:p>
    <w:p>
      <w:pPr>
        <w:spacing w:after="0" w:line="23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We have strategically positioned ourselves to benefit from several macro trends related to changes in consumer behavior. We believe consumers’ increasing care for a conscious lifestyle has contributed to significant demand for our products. Further, the rise in digital shopping has complemented our flagship digital platform, Honest.com, our presence with third-party ecommerce players and our Retail partners’ websites. Changes in macro-level consumer spending trends, including as a result of the COVID-19 pandemic, could result in fluctuations in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3"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The COVID-19 pandemic has caused general business disruption worldwide beginning in January 2020. The full extent to which the COVID-19 pandemic will directly or indirectly impact our cash flow, business, financial condition, results of operations and prospects will depend on future developments that are uncertain.</w:t>
      </w:r>
    </w:p>
    <w:p>
      <w:pPr>
        <w:spacing w:after="0" w:line="18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a result of the COVID-19 pandemic, our headquarters is temporarily closed as we support our employees and contractors to work remotely. We have also implemented travel restrictions. These actions represent a significant change in how we operate our business, but we believe that we successfully navigated this transition. In an effort to provide a safe work environment for our employees, we have implemented various social distancing measures, including replacing many in-person meetings with virtual interactions. We will continue to take actions as may be required or recommended by government or health authorities or as we determine are in the best interests of our employees and other business partners in light of the pandemic.</w:t>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experienced relatively minor impacts on our inventory availability and delivery capacity since the outbreak, none of which has materially impacted our ability to service our consumers and retail and third-party ecommerce customers. We have taken measures to bolster key aspects of our supply chain, such as securing secondary suppliers and ensuring sufficient inventory to support our continued growth in the face of the pandemic. We continue to work with our existing manufacturing, logistics and other supply chain partners to ensure our ability to service our consumers and retail and third-party ecommerce customers.</w:t>
      </w:r>
    </w:p>
    <w:p>
      <w:pPr>
        <w:spacing w:after="0" w:line="201" w:lineRule="exact"/>
        <w:rPr>
          <w:sz w:val="20"/>
          <w:szCs w:val="20"/>
          <w:color w:val="auto"/>
        </w:rPr>
      </w:pPr>
    </w:p>
    <w:p>
      <w:pPr>
        <w:ind w:right="140" w:firstLine="648"/>
        <w:spacing w:after="0" w:line="228" w:lineRule="auto"/>
        <w:rPr>
          <w:sz w:val="20"/>
          <w:szCs w:val="20"/>
          <w:color w:val="auto"/>
        </w:rPr>
      </w:pPr>
      <w:r>
        <w:rPr>
          <w:rFonts w:ascii="Arial" w:cs="Arial" w:eastAsia="Arial" w:hAnsi="Arial"/>
          <w:sz w:val="18"/>
          <w:szCs w:val="18"/>
          <w:color w:val="auto"/>
        </w:rPr>
        <w:t>We believe COVID-19 has been one of the drivers of demand in our Digital channel as consumers shifted to online shopping amid the pandemic. Additionally, our Household and Wellness product category has benefited from increasing demand for sanitization products. We accelerated our development timeline for certain product launches, launching our disinfecting spray and alcohol wipes in 2020. We have seen increased consumer willingness to return to in-store shopping as the economy opens and more of the population is vaccinated. This has driven a channel shift and demand acceleration driving revenue growth within our Retail channel in 2021.</w:t>
      </w:r>
    </w:p>
    <w:p>
      <w:pPr>
        <w:spacing w:after="0" w:line="191"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operations of our retail partners, manufacturers and suppliers have also been impacted by the COVID-19 pandemic. While the duration and extent of the COVID-19 pandemic depends on future developments that cannot be accurately predicted at this time, it has already had an adverse effect on the global economy and the ultimate societal and economic impact of the COVID-19 pandemic remains unknown. In particular, the conditions caused by this pandemic may negatively impact collections of accounts receivable and reduce expected spending from new consumers, all of which could adversely affect our business, financial condition, results of operations and prospects during fiscal 2021 and potentially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generate revenue through the sale of our products through Digital and Retail channels in the following product categories: Diapers and Wipes, Skin and Personal Care and Household and Wellness. The Digital channel includes direct sales to the consumer through our website and sales to third-party ecommerce customers, who resell our products through their own online platforms. The Retail channel includes sales to traditional brick and mortar retailers, who may also resell our products through their own online platforms. Our revenue is recognized net of allowances for returns, discounts, credits and any taxes collected from consumers.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2019 we entered into a license agreement with Butterblu, LLC, or Butterblu, pursuant to which we license certain of our trademarks to Butterblu for the manufacture and distribution of certain baby apparel products in exchange for royalties. Butterblu operates and maintains our baby apparel offerings independently through the honestbabyclothing.com website. Our baby apparel offerings and our agreement with Butterblu are not currently material to our business and not expected to be material in the future. For the three months ended March 31, 2021, we collected $0.2 million in royalty revenue. For the three months ended March 31, 2020, we did not collect any royalty revenue under this agreement due in part because we granted Butterblu temporary payment relief.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allocated overhead and direct and indirect labor for warehouse personnel.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in the future fluctuate from period to period based on a number of factors, including the mix of products we sell, the channel through which we sell our products, the innovation initiatives we undertake in each product category, the promotional environment in the marketplace, manufacturing costs, commodity prices and transportation rates, among other factors.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selling, general and administrative, marketing and research and development expenses.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Selling, general and administrative expenses consist primarily of personnel costs, principally for our selling and administrative functions. These include personnel-related expenses, including salaries, bonuses, benefits and stock-based compensation expense. Selling, general and administrative expenses also include technology expenses, professional fees, facility costs, including insurance, utilities and rent relating to our headquarters, depreciation and amortization and overhead costs. We expect our general and administrative expenses to increase in absolute dollars as we continue to grow our business and organizational capabilities. We also anticipate that we will incur additional costs for employees and third-party professional fees related to operating as a public company and costs to comply with the rules and regulations applicable to companies listed on a national securities exchange, costs related to compliance and reporting obligations, and increased expenses for insurance, investor relations and professional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Marketing expenses include costs related to our branding initiatives, retail customer marketing activities, point of purchase displays, targeted online advertising through sponsored search, display advertising, email marketing campaigns, market research, content production and other public relations and promotional initiatives. We expect marketing expenses to continue to increase in absolute dollars as we continue to expand brand awareness, introduce new product innovation across multiple product categories and implement new marketing strategies.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for our research and development team. Research and development expenses also include costs incurred for the development of new products, improvement in the quality of existing products and the development and implementation of new technologies to enhance the quality and value of products. Research and development expenses also include allocated depreciation and amortization and overhead costs. We expect</w:t>
      </w:r>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23" w:name="page24"/>
    <w:bookmarkEnd w:id="23"/>
    <w:p>
      <w:pPr>
        <w:ind w:right="340"/>
        <w:spacing w:after="0" w:line="277" w:lineRule="auto"/>
        <w:rPr>
          <w:sz w:val="20"/>
          <w:szCs w:val="20"/>
          <w:color w:val="auto"/>
        </w:rPr>
      </w:pPr>
      <w:r>
        <w:rPr>
          <w:rFonts w:ascii="Arial" w:cs="Arial" w:eastAsia="Arial" w:hAnsi="Arial"/>
          <w:sz w:val="18"/>
          <w:szCs w:val="18"/>
          <w:color w:val="auto"/>
        </w:rPr>
        <w:t>research and development expenses to increase in absolute dollars as we invest in the enhancement of our product offerings through innovation and the introduction of new adjacent product categories.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IPO-Related Expenses</w:t>
      </w:r>
    </w:p>
    <w:p>
      <w:pPr>
        <w:spacing w:after="0" w:line="11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2020, we paid bonuses totaling $9.5 million to certain employees, including members of management, relating to preparation of our IPO, and after the closing of the IPO, we paid an additional $9.5 million in bonuses to certain employees, including members of management, which we collectively refer to as the IPO Bonuses, excluding in each case payroll taxes and expenses. In addition, upon the effective date of the registration statement for our IPO in May 2021, we recognized stock-based compensation expense in selling, general and administrative and research and development expenses of $3.1 million related to certain performance and market-based stock options and $0.2 million related to certain restricted stock units.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Interest income consists primarily of interest income earned on our short-term investments and our cash and cash equivalents balances. Interest expense consists primarily of interest expense associated with our leasing arrangements.</w:t>
      </w:r>
    </w:p>
    <w:p>
      <w:pPr>
        <w:spacing w:after="0" w:line="170"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Other income (expense), net consists primarily of our foreign currency exchange gains and losses relating to transactions denominated in currencies other than the U.S. dollar. We expect our foreign currency gains and losses to continue to fluctuate in the future due to changes in both the volume of foreign currency transactions and foreign currency exchange rates.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are subject to federal and state income taxes in the United States. Our annual estimated tax rate differed from the U.S. federal statutory rate of 21% primarily as a result of a valuation allowance against deferred tax assets, stock-based compensation, state taxes, and other permanent differences. We maintain a full valuation allowance for our federal and state deferred tax assets, including net operating loss carryforwards, as we have concluded that it is not more likely than not that the deferred tax assets will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condensed consolidated statements of operations data for each of the periods indicated:</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78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Revenue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81,032</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72,372</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Cost of revenue</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52,651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Gross profit</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28,381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25,805</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7420" w:type="dxa"/>
            <w:vAlign w:val="bottom"/>
          </w:tcPr>
          <w:p>
            <w:pPr>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23"/>
                <w:szCs w:val="23"/>
                <w:color w:val="auto"/>
                <w:vertAlign w:val="superscript"/>
              </w:rPr>
              <w:t>(1)</w:t>
            </w: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16,697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Marketing</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14,173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9,193</w:t>
            </w:r>
          </w:p>
        </w:tc>
        <w:tc>
          <w:tcPr>
            <w:tcW w:w="0" w:type="dxa"/>
            <w:vAlign w:val="bottom"/>
          </w:tcPr>
          <w:p>
            <w:pPr>
              <w:spacing w:after="0"/>
              <w:rPr>
                <w:sz w:val="1"/>
                <w:szCs w:val="1"/>
                <w:color w:val="auto"/>
              </w:rPr>
            </w:pPr>
          </w:p>
        </w:tc>
      </w:tr>
      <w:tr>
        <w:trPr>
          <w:trHeight w:val="297"/>
        </w:trPr>
        <w:tc>
          <w:tcPr>
            <w:tcW w:w="7420" w:type="dxa"/>
            <w:vAlign w:val="bottom"/>
          </w:tcPr>
          <w:p>
            <w:pPr>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32,516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(4,462)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Income tax provision</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tcPr>
          <w:p>
            <w:pPr>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80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0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81" w:right="359" w:bottom="6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617"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8"/>
          <w:szCs w:val="18"/>
          <w:color w:val="auto"/>
        </w:rPr>
        <w:t>The following table sets forth our condensed consolidated statements of operations data expressed as a percentage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00" w:type="dxa"/>
            <w:vAlign w:val="bottom"/>
            <w:gridSpan w:val="9"/>
          </w:tcPr>
          <w:p>
            <w:pPr>
              <w:jc w:val="right"/>
              <w:ind w:right="150"/>
              <w:spacing w:after="0"/>
              <w:rPr>
                <w:sz w:val="20"/>
                <w:szCs w:val="20"/>
                <w:color w:val="auto"/>
              </w:rPr>
            </w:pPr>
            <w:r>
              <w:rPr>
                <w:rFonts w:ascii="Arial" w:cs="Arial" w:eastAsia="Arial" w:hAnsi="Arial"/>
                <w:sz w:val="18"/>
                <w:szCs w:val="18"/>
                <w:b w:val="1"/>
                <w:bCs w:val="1"/>
                <w:color w:val="auto"/>
              </w:rPr>
              <w:t>For the three months ended March 31,</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w w:val="88"/>
              </w:rPr>
              <w:t>(as a percentage of revenue)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68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17.5</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ind w:left="68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w w:val="94"/>
              </w:rPr>
              <w:t>Interest and other income (expense), net</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40" w:type="dxa"/>
            <w:vAlign w:val="bottom"/>
            <w:gridSpan w:val="4"/>
          </w:tcPr>
          <w:p>
            <w:pPr>
              <w:ind w:left="680"/>
              <w:spacing w:after="0"/>
              <w:rPr>
                <w:sz w:val="20"/>
                <w:szCs w:val="20"/>
                <w:color w:val="auto"/>
              </w:rPr>
            </w:pPr>
            <w:r>
              <w:rPr>
                <w:rFonts w:ascii="Arial" w:cs="Arial" w:eastAsia="Arial" w:hAnsi="Arial"/>
                <w:sz w:val="18"/>
                <w:szCs w:val="18"/>
                <w:color w:val="auto"/>
              </w:rPr>
              <w:t>Income (loss) before provision for income taxes</w:t>
            </w: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68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Pr>
          <w:p>
            <w:pPr>
              <w:ind w:left="68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Comparison of the Three Months Ended March 31, 2021 and 2020</w:t>
            </w:r>
          </w:p>
        </w:tc>
        <w:tc>
          <w:tcPr>
            <w:tcW w:w="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64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left="39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5"/>
              </w:rPr>
              <w:t>change</w:t>
            </w:r>
          </w:p>
        </w:tc>
        <w:tc>
          <w:tcPr>
            <w:tcW w:w="1140" w:type="dxa"/>
            <w:vAlign w:val="bottom"/>
          </w:tcPr>
          <w:p>
            <w:pPr>
              <w:jc w:val="center"/>
              <w:ind w:left="390"/>
              <w:spacing w:after="0"/>
              <w:rPr>
                <w:sz w:val="20"/>
                <w:szCs w:val="20"/>
                <w:color w:val="auto"/>
              </w:rPr>
            </w:pPr>
            <w:r>
              <w:rPr>
                <w:rFonts w:ascii="Arial" w:cs="Arial" w:eastAsia="Arial" w:hAnsi="Arial"/>
                <w:sz w:val="18"/>
                <w:szCs w:val="18"/>
                <w:b w:val="1"/>
                <w:bCs w:val="1"/>
                <w:color w:val="auto"/>
                <w:w w:val="85"/>
              </w:rPr>
              <w:t>change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By Product Category</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40"/>
              <w:spacing w:after="0"/>
              <w:rPr>
                <w:sz w:val="20"/>
                <w:szCs w:val="20"/>
                <w:color w:val="auto"/>
              </w:rPr>
            </w:pPr>
            <w:r>
              <w:rPr>
                <w:rFonts w:ascii="Arial" w:cs="Arial" w:eastAsia="Arial" w:hAnsi="Arial"/>
                <w:sz w:val="18"/>
                <w:szCs w:val="18"/>
                <w:color w:val="auto"/>
              </w:rPr>
              <w:t>Diapers and Wipes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49,574</w:t>
            </w:r>
          </w:p>
        </w:tc>
        <w:tc>
          <w:tcPr>
            <w:tcW w:w="100" w:type="dxa"/>
            <w:vAlign w:val="bottom"/>
          </w:tcPr>
          <w:p>
            <w:pPr>
              <w:spacing w:after="0"/>
              <w:rPr>
                <w:sz w:val="23"/>
                <w:szCs w:val="23"/>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50,483</w:t>
            </w:r>
          </w:p>
        </w:tc>
        <w:tc>
          <w:tcPr>
            <w:tcW w:w="5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3760" w:type="dxa"/>
            <w:vAlign w:val="bottom"/>
          </w:tcPr>
          <w:p>
            <w:pPr>
              <w:ind w:left="240"/>
              <w:spacing w:after="0"/>
              <w:rPr>
                <w:sz w:val="20"/>
                <w:szCs w:val="20"/>
                <w:color w:val="auto"/>
              </w:rPr>
            </w:pPr>
            <w:r>
              <w:rPr>
                <w:rFonts w:ascii="Arial" w:cs="Arial" w:eastAsia="Arial" w:hAnsi="Arial"/>
                <w:sz w:val="18"/>
                <w:szCs w:val="18"/>
                <w:color w:val="auto"/>
              </w:rPr>
              <w:t>Skin and Personal Care</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26,245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18,482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7,763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42.0</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40"/>
              <w:spacing w:after="0"/>
              <w:rPr>
                <w:sz w:val="20"/>
                <w:szCs w:val="20"/>
                <w:color w:val="auto"/>
              </w:rPr>
            </w:pPr>
            <w:r>
              <w:rPr>
                <w:rFonts w:ascii="Arial" w:cs="Arial" w:eastAsia="Arial" w:hAnsi="Arial"/>
                <w:sz w:val="18"/>
                <w:szCs w:val="18"/>
                <w:color w:val="auto"/>
              </w:rPr>
              <w:t>Household and Wellness</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1,806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53.0</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81,032</w:t>
            </w:r>
          </w:p>
        </w:tc>
        <w:tc>
          <w:tcPr>
            <w:tcW w:w="100" w:type="dxa"/>
            <w:vAlign w:val="bottom"/>
          </w:tcPr>
          <w:p>
            <w:pPr>
              <w:spacing w:after="0"/>
              <w:rPr>
                <w:sz w:val="22"/>
                <w:szCs w:val="22"/>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72,372</w:t>
            </w:r>
          </w:p>
        </w:tc>
        <w:tc>
          <w:tcPr>
            <w:tcW w:w="100" w:type="dxa"/>
            <w:vAlign w:val="bottom"/>
            <w:gridSpan w:val="2"/>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8,660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gridSpan w:val="3"/>
          </w:tcPr>
          <w:p>
            <w:pPr>
              <w:ind w:left="14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center"/>
              <w:ind w:left="3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4"/>
          </w:tcPr>
          <w:p>
            <w:pPr>
              <w:jc w:val="center"/>
              <w:ind w:right="520"/>
              <w:spacing w:after="0"/>
              <w:rPr>
                <w:sz w:val="20"/>
                <w:szCs w:val="20"/>
                <w:color w:val="auto"/>
              </w:rPr>
            </w:pPr>
            <w:r>
              <w:rPr>
                <w:rFonts w:ascii="Arial" w:cs="Arial" w:eastAsia="Arial" w:hAnsi="Arial"/>
                <w:sz w:val="18"/>
                <w:szCs w:val="18"/>
                <w:b w:val="1"/>
                <w:bCs w:val="1"/>
                <w:color w:val="auto"/>
                <w:w w:val="85"/>
              </w:rPr>
              <w:t>change</w:t>
            </w:r>
          </w:p>
        </w:tc>
        <w:tc>
          <w:tcPr>
            <w:tcW w:w="1140" w:type="dxa"/>
            <w:vAlign w:val="bottom"/>
          </w:tcPr>
          <w:p>
            <w:pPr>
              <w:jc w:val="center"/>
              <w:ind w:left="350"/>
              <w:spacing w:after="0"/>
              <w:rPr>
                <w:sz w:val="20"/>
                <w:szCs w:val="20"/>
                <w:color w:val="auto"/>
              </w:rPr>
            </w:pPr>
            <w:r>
              <w:rPr>
                <w:rFonts w:ascii="Arial" w:cs="Arial" w:eastAsia="Arial" w:hAnsi="Arial"/>
                <w:sz w:val="18"/>
                <w:szCs w:val="18"/>
                <w:b w:val="1"/>
                <w:bCs w:val="1"/>
                <w:color w:val="auto"/>
                <w:w w:val="85"/>
              </w:rPr>
              <w:t>change</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By Channel</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40"/>
              <w:spacing w:after="0"/>
              <w:rPr>
                <w:sz w:val="20"/>
                <w:szCs w:val="20"/>
                <w:color w:val="auto"/>
              </w:rPr>
            </w:pPr>
            <w:r>
              <w:rPr>
                <w:rFonts w:ascii="Arial" w:cs="Arial" w:eastAsia="Arial" w:hAnsi="Arial"/>
                <w:sz w:val="18"/>
                <w:szCs w:val="18"/>
                <w:color w:val="auto"/>
              </w:rPr>
              <w:t>Digital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42,461</w:t>
            </w:r>
          </w:p>
        </w:tc>
        <w:tc>
          <w:tcPr>
            <w:tcW w:w="100" w:type="dxa"/>
            <w:vAlign w:val="bottom"/>
          </w:tcPr>
          <w:p>
            <w:pPr>
              <w:spacing w:after="0"/>
              <w:rPr>
                <w:sz w:val="23"/>
                <w:szCs w:val="23"/>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41,496</w:t>
            </w:r>
          </w:p>
        </w:tc>
        <w:tc>
          <w:tcPr>
            <w:tcW w:w="5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3760" w:type="dxa"/>
            <w:vAlign w:val="bottom"/>
          </w:tcPr>
          <w:p>
            <w:pPr>
              <w:ind w:left="24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38,571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30,876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7,695</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81,032</w:t>
            </w:r>
          </w:p>
        </w:tc>
        <w:tc>
          <w:tcPr>
            <w:tcW w:w="100" w:type="dxa"/>
            <w:vAlign w:val="bottom"/>
          </w:tcPr>
          <w:p>
            <w:pPr>
              <w:spacing w:after="0"/>
              <w:rPr>
                <w:sz w:val="22"/>
                <w:szCs w:val="22"/>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72,372</w:t>
            </w:r>
          </w:p>
        </w:tc>
        <w:tc>
          <w:tcPr>
            <w:tcW w:w="50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8,660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was $81.0 million for the three months ended March 31, 2021 as compared to $72.4 million for the three months ended March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$8.7 million, or 12.0%, was primarily due to a $7.8 million increase in revenue from Skin and Personal Care products and a $1.8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revenue from Household and Wellness products, offset by a $0.9 million decrease in revenue from Diapers and Wipes. The revenue increase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Skin and Personal Care was primarily driven by increased sales volume on our products across both our Digital and Retail channels, including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 million through the non-monetary sale of our legacy beauty inventory in exchange for future marketing and transportation credits. Our revenue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Skin and Personal Care products grew in our Digital channel driven by our continued investment in our digital marketing strategy and grew in our Retail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channel as a result of volume growth and expanded distribution with our retail partners. The revenue growth from Household and Wellness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driven by our sanitization and disinfecting products that we introduced in the second half of 2020. Diapers and Wipes revenue was down slightly as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released and transitioned into our new Clean Conscious Diaper, as well as lower wipes consumption during the three months ended March 31, 2021,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higher wipes consumption during the initial stages of the COVID-19 pandemic during the three months ended March 31, 2020.</w:t>
      </w:r>
    </w:p>
    <w:p>
      <w:pPr>
        <w:spacing w:after="0" w:line="23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Revenue growth was higher in our Retail channel than our Digital channel as sales across products saw higher volumes with our retailer partners as compared to the higher digital penetration we saw during the initial stages of the COVID-19 pandemic during the three months ended March 31, 2020.</w:t>
      </w:r>
    </w:p>
    <w:p>
      <w:pPr>
        <w:sectPr>
          <w:pgSz w:w="11900" w:h="16838" w:orient="portrait"/>
          <w:cols w:equalWidth="0" w:num="1">
            <w:col w:w="11200"/>
          </w:cols>
          <w:pgMar w:left="320" w:top="989" w:right="379" w:bottom="4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9" w:right="379" w:bottom="469"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 and Gross Profit</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600" w:type="dxa"/>
            <w:vAlign w:val="bottom"/>
          </w:tcPr>
          <w:p>
            <w:pPr>
              <w:spacing w:after="0"/>
              <w:rPr>
                <w:sz w:val="24"/>
                <w:szCs w:val="24"/>
                <w:color w:val="auto"/>
              </w:rPr>
            </w:pPr>
          </w:p>
        </w:tc>
        <w:tc>
          <w:tcPr>
            <w:tcW w:w="3860" w:type="dxa"/>
            <w:vAlign w:val="bottom"/>
            <w:gridSpan w:val="6"/>
          </w:tcPr>
          <w:p>
            <w:pPr>
              <w:ind w:left="40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Pr>
          <w:p>
            <w:pPr>
              <w:spacing w:after="0"/>
              <w:rPr>
                <w:sz w:val="24"/>
                <w:szCs w:val="24"/>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change</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7"/>
        </w:trPr>
        <w:tc>
          <w:tcPr>
            <w:tcW w:w="3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percentages)</w:t>
            </w: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52,651</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46,567</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70"/>
        </w:trPr>
        <w:tc>
          <w:tcPr>
            <w:tcW w:w="36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28,381</w:t>
            </w:r>
          </w:p>
        </w:tc>
        <w:tc>
          <w:tcPr>
            <w:tcW w:w="8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25,805</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was $52.7 million for the three months ended March 31, 2021 as compared to $46.6 million for the three months ended March 31, 2020. The increase of $6.1 million, or 13.1%, was primarily due to increased product, shipping and fulfillment expenses associated with the increased sales of our products. Cost of revenue as a percentage of revenue increased by 63 basis points primarily due to higher input costs and a more normalized level of promotional activity as compared to the three months ended March 31, 2020.</w:t>
      </w:r>
    </w:p>
    <w:p>
      <w:pPr>
        <w:spacing w:after="0" w:line="21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Gross profit was $28.4 million for the three months ended March 31, 2021 as compared to $25.8 million for the three months ended March 31, 2020. The increase of $2.6 million, or 10.0%, was primarily due to the increased sales of our products primarily from Skin and Personal Care.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change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7"/>
        </w:trPr>
        <w:tc>
          <w:tcPr>
            <w:tcW w:w="36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16,697</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Selling, general and administrative expenses were $16.7 million for the three months ended March 31, 2021 as compared to $14.7 million for the three months ended March 31, 2020. The increase of $2.0 million, or 13.5%, was primarily due to an increase of $1.3 million in audit fees driven by IPO-related transaction costs.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ind w:left="640"/>
              <w:spacing w:after="0"/>
              <w:rPr>
                <w:sz w:val="20"/>
                <w:szCs w:val="20"/>
                <w:color w:val="auto"/>
              </w:rPr>
            </w:pPr>
            <w:r>
              <w:rPr>
                <w:rFonts w:ascii="Arial" w:cs="Arial" w:eastAsia="Arial" w:hAnsi="Arial"/>
                <w:sz w:val="18"/>
                <w:szCs w:val="18"/>
                <w:b w:val="1"/>
                <w:bCs w:val="1"/>
                <w:i w:val="1"/>
                <w:iCs w:val="1"/>
                <w:color w:val="auto"/>
              </w:rPr>
              <w:t>Marketing Expenses</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4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Pr>
          <w:p>
            <w:pPr>
              <w:spacing w:after="0"/>
              <w:rPr>
                <w:sz w:val="23"/>
                <w:szCs w:val="23"/>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change</w:t>
            </w: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percentages)</w:t>
            </w: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20" w:type="dxa"/>
            <w:vAlign w:val="bottom"/>
          </w:tcPr>
          <w:p>
            <w:pPr>
              <w:spacing w:after="0"/>
              <w:rPr>
                <w:sz w:val="20"/>
                <w:szCs w:val="20"/>
                <w:color w:val="auto"/>
              </w:rPr>
            </w:pPr>
            <w:r>
              <w:rPr>
                <w:rFonts w:ascii="Arial" w:cs="Arial" w:eastAsia="Arial" w:hAnsi="Arial"/>
                <w:sz w:val="18"/>
                <w:szCs w:val="18"/>
                <w:color w:val="auto"/>
              </w:rPr>
              <w:t>Marketing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3"/>
                <w:szCs w:val="23"/>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Marketing expenses were $14.2 million for the three months ended March 31, 2021, as compared to $9.2 million for the three months ended March 31, 2020. The increase of $5.0 million, or 54.2%, was primarily due to an increase of $2.4 million in retail marketing expenses and an increase of $1.3 million in advertising expenses. The increase in advertising expense was driven in part by the launch of our Clean Conscious Diaper in January 2021.</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auto"/>
                <w:w w:val="96"/>
              </w:rPr>
              <w:t>Research and Development Expenses</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change</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7"/>
        </w:trPr>
        <w:tc>
          <w:tcPr>
            <w:tcW w:w="38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1,166</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Research and development expenses were $1.6 million for the three months ended March 31, 2021, as compared to $1.2 million for the three months ended March 31, 2020. The increase of $0.5 million, or 41.2%, was primarily due to an increase in product development expenses, as well as clinical and claims testing and pilot trial expenses.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6" w:name="page27"/>
    <w:bookmarkEnd w:id="26"/>
    <w:tbl>
      <w:tblPr>
        <w:tblLayout w:type="fixed"/>
        <w:tblInd w:w="20" w:type="dxa"/>
        <w:tblCellMar>
          <w:top w:w="0" w:type="dxa"/>
          <w:left w:w="0" w:type="dxa"/>
          <w:bottom w:w="0" w:type="dxa"/>
          <w:right w:w="0" w:type="dxa"/>
        </w:tblCellMar>
      </w:tblPr>
      <w:tr>
        <w:trPr>
          <w:trHeight w:val="230"/>
        </w:trPr>
        <w:tc>
          <w:tcPr>
            <w:tcW w:w="3760" w:type="dxa"/>
            <w:vAlign w:val="bottom"/>
          </w:tcPr>
          <w:p>
            <w:pPr>
              <w:ind w:left="640"/>
              <w:spacing w:after="0"/>
              <w:rPr>
                <w:sz w:val="20"/>
                <w:szCs w:val="20"/>
                <w:color w:val="auto"/>
              </w:rPr>
            </w:pPr>
            <w:r>
              <w:rPr>
                <w:rFonts w:ascii="Arial" w:cs="Arial" w:eastAsia="Arial" w:hAnsi="Arial"/>
                <w:sz w:val="18"/>
                <w:szCs w:val="18"/>
                <w:b w:val="1"/>
                <w:bCs w:val="1"/>
                <w:i w:val="1"/>
                <w:iCs w:val="1"/>
                <w:color w:val="auto"/>
                <w:w w:val="87"/>
              </w:rPr>
              <w:t>Interest and Other Income (Expense), Net</w:t>
            </w: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 March 31,</w:t>
            </w:r>
          </w:p>
        </w:tc>
        <w:tc>
          <w:tcPr>
            <w:tcW w:w="32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620" w:type="dxa"/>
            <w:vAlign w:val="bottom"/>
          </w:tcPr>
          <w:p>
            <w:pPr>
              <w:jc w:val="right"/>
              <w:ind w:right="6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change</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change</w:t>
            </w:r>
          </w:p>
        </w:tc>
        <w:tc>
          <w:tcPr>
            <w:tcW w:w="0" w:type="dxa"/>
            <w:vAlign w:val="bottom"/>
          </w:tcPr>
          <w:p>
            <w:pPr>
              <w:spacing w:after="0"/>
              <w:rPr>
                <w:sz w:val="1"/>
                <w:szCs w:val="1"/>
                <w:color w:val="auto"/>
              </w:rPr>
            </w:pPr>
          </w:p>
        </w:tc>
      </w:tr>
      <w:tr>
        <w:trPr>
          <w:trHeight w:val="27"/>
        </w:trPr>
        <w:tc>
          <w:tcPr>
            <w:tcW w:w="37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percentages)</w:t>
            </w: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105.7 %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Interest and other income (expense), net was expense of $0.3 million for the three months ended March 31, 2021, as compared to expense of $0.2 million for the three months ended March 31, 2020. The increase of $0.2 million, or 105.7%, was primarily due to a decrease in interest income on our short-term investments due to a lower average investment balance and lower average interest rates.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incurred net losses and net cash outflows from operating activities since our inception. To date, our available liquidity and operations have been financed primarily through the sale of redeemable convertible preferred stock, equity securities and to a lesser extent, debt financing. As of March 31, 2021, we had $39.0 million of cash and cash equivalents and short-term investments of $12.4 million. Although we are dependent on our ability to raise capital or generate sufficient cash flow from operations to achieve our business objectives, we believe our existing cash, cash equivalents, and short-term investments will be sufficient to meet our working capital and capital expenditure needs for at least the next twelve months. Future capital requirements will depend on many factors, including our rate of revenue growth, gross margin and the level of expenditures in all areas of the Company. To the extent that existing capital resources and sales growth are not sufficient to fund future activities, we will need to raise capital through additional equity or debt financing. Additional funds may not be available on terms favorable to us or at all. Failure to raise additional capital, if and when needed, could have a material adverse effect on our financial position, results of operations, and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Credit Facility</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2021, we entered into a first lien credit agreement (the “2021 Credit Facility”), with JPMorgan Chase Bank, N.A., as administrative agent and lender, and the other lenders party thereto, which provides for a $35.0 million revolving credit facility maturing five years from the date of the 2021 Credit Facility. The 2021 Credit Facility includes a subfacility that provides for the issuance of letters of credit in an amount of up to $10.0 million at any time outstanding.</w:t>
      </w:r>
    </w:p>
    <w:p>
      <w:pPr>
        <w:spacing w:after="0" w:line="21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2021 Credit Facility is subject to customary fees for loan facilities of this type, including a commitment fee based on the average daily undrawn potion of the revolving credit facility.</w:t>
      </w:r>
    </w:p>
    <w:p>
      <w:pPr>
        <w:spacing w:after="0" w:line="19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interest rate applicable to the 2021 Credit Facility is, at our option, either (a) the LIBOR (or a replacement rate established in accordance with the terms of the 2021 Credit Facility) (subject to a 0.00% LIBOR floor), plus a margin of 1.50% or (b) the CB floating rate minus a margin of 0.50%. The CB floating rate is the highest of (a) the Wall Street Journal prime rate and (b)(i)2.50% plus (ii) the adjusted LIBOR rate for a one-month interest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2021 Revolving Facility terminates and borrowings thereunder, if any, will be due in full five years from the date of the 2021 Credit Facility.</w:t>
      </w:r>
    </w:p>
    <w:p>
      <w:pPr>
        <w:spacing w:after="0" w:line="28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Debt under the 2021 Credit Facility is guaranteed by substantially all of our material domestic subsidiaries and is secured by substantially all of our and such subsidiaries’ assets. The 2021 Credit Facility contains affirmative and negative covenants, indemnification provisions and events of default. Affirmative covenants include administrative, reporting and legal covenants, in each case subject to certain exceptions. The negative covenants restrict our ability, subject to customary exceptions, to, among other things: make restricted payments including dividends and distributions on, redemptions of, repurchases or retirement of our capital stock; restrict certain of our subsidiaries’ ability to engage in certain intercompany transactions with other subsidiaries that do not guarantee obligations under the 2021 Credit Facility; restrict our ability to incur additional indebtedness and issue certain types of equity; sell assets, including capital stock of subsidiaries; enter into certain transactions with affiliates; incur liens; enter into fundamental changes including mergers and consolidations; make investments, acquisitions, loans or advances; create negative pledges or restrictions on the payment of dividends or payment of other amounts owed from subsidiaries; make prepayments or modify documents governing material debt that is subordinated with respect to right of payment; engage in certain sale leaseback transactions; change our fiscal year; and change our lines of business. The 2021 Credit Facility also contains a financial covenant that requires us to maintain a total net leverage ratio of not more than 3.50:1.00 during the periods set forth in the 2021 Credit Facility. The total net leverage ratio is calculated as the ratio of (a) the sum of (i) total indebtedness minus (ii) up</w:t>
      </w:r>
    </w:p>
    <w:p>
      <w:pPr>
        <w:sectPr>
          <w:pgSz w:w="11900" w:h="16838" w:orient="portrait"/>
          <w:cols w:equalWidth="0" w:num="1">
            <w:col w:w="11220"/>
          </w:cols>
          <w:pgMar w:left="320" w:top="101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type w:val="continuous"/>
        </w:sectPr>
      </w:pPr>
    </w:p>
    <w:bookmarkStart w:id="27" w:name="page28"/>
    <w:bookmarkEnd w:id="27"/>
    <w:p>
      <w:pPr>
        <w:ind w:right="20"/>
        <w:spacing w:after="0" w:line="270" w:lineRule="auto"/>
        <w:rPr>
          <w:sz w:val="20"/>
          <w:szCs w:val="20"/>
          <w:color w:val="auto"/>
        </w:rPr>
      </w:pPr>
      <w:r>
        <w:rPr>
          <w:rFonts w:ascii="Arial" w:cs="Arial" w:eastAsia="Arial" w:hAnsi="Arial"/>
          <w:sz w:val="17"/>
          <w:szCs w:val="17"/>
          <w:color w:val="auto"/>
        </w:rPr>
        <w:t>to $15.0 million of cash and cash equivalents minus (iii) obligations under build-to-suit capital leases to (b) consolidated EBITDA, which is defined in the 2021 Credit Facility. The 2021 Credit Facility also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events relating to the Employee Retirement Income Security Act of 1974, certain undischarged judgments, material invalidity of guarantees or grant of security interest, and change of control, in certain cases subject to certain thresholds and grace periods. If an event of default occurs and is continuing, lenders holding a majority of the commitments under the 2021 Credit Facility have the right to, among other things, (i) terminate the commitments under the 2021 Credit Facility, (ii) accelerate and require us to repay all the outstanding amounts owed under the 2021 Credit Facility and (iii) require us to cash collateralize any outstanding letters of credit. As of June 9, 2021, we were in compliance with all covenants under the 2021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86"/>
        </w:trPr>
        <w:tc>
          <w:tcPr>
            <w:tcW w:w="7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4"/>
              </w:rPr>
              <w:t>For the three months ended March 31,</w:t>
            </w:r>
          </w:p>
        </w:tc>
      </w:tr>
      <w:tr>
        <w:trPr>
          <w:trHeight w:val="27"/>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7"/>
        </w:trPr>
        <w:tc>
          <w:tcPr>
            <w:tcW w:w="7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(11,964)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21,786</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18,740</w:t>
            </w:r>
          </w:p>
        </w:tc>
      </w:tr>
      <w:tr>
        <w:trPr>
          <w:trHeight w:val="270"/>
        </w:trPr>
        <w:tc>
          <w:tcPr>
            <w:tcW w:w="74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largest source of operating cash is from the sales of our products through Digital and Retail channels to our consumers. Our primary uses of cash from operating activities are for cost of revenue expenses, selling, general and administrative expenses, marketing expenses and research and development expenses. We have generated negative cash flows from operating activities and have supplemented working capital requirements through net proceeds from the sale and maturity of short-term investments.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Net cash used in operating activities of $12.0 million for the three months ended March 31, 2021 was primarily due to net loss of $4.5 million, non-cash adjustments of $3.0 million and a net decrease in cash related to changes in operating assets and liabilities of $10.5 million. Non-cash adjustments primarily consisted of stock-based compensation of $1.8 million and depreciation and amortization of $1.1 million. Changes in cash flows related to operating assets and liabilities primarily consisted of a $5.6 million use of cash due to the timing of payments associated with our accounts payable and operating leasing obligations and $1.0 million use of cash due to timing of payments on prepaid expenses and other assets, as well as the non-monetary sale of our legacy beauty inventory for future marketing and transportation credits. These uses of cash were partially offset by $4.9 million increase in accounts receivable due to increase in sales from retail customers and a $0.9 million reduction in inventory due to timing of inventory purchases.</w:t>
      </w:r>
    </w:p>
    <w:p>
      <w:pPr>
        <w:spacing w:after="0" w:line="19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Net cash used in operating activities of $1.7 million for the three months ended March 31, 2020 was primarily due to net income of $0.6 million, non-cash adjustments of $3.2 million and a net decrease in cash related to changes in operating assets and liabilities of $5.4 million. Non-cash adjustments primarily consisted of stock-based compensation of $1.9 million and depreciation and amortization of $1.2 million. Changes in cash flows related to operating assets and liabilities primarily consisted of a $9.6 million reduction in accounts receivable due to timing of cash collection from retail customers and a $1.5 million use of cash due to timing of payments on prepaid expenses and other assets. This use of cash was partially offset by $5.5 million in increase in inventory due to the timing of inventory purchases and $0.4 million increase in accounts payable and operating leasing obligations due to the timing of associated payments.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primary source of investing cash is the sale and maturity of short-term investments and our primary use of investing cash is the purchase of short-term investments and property and equipment.</w:t>
      </w:r>
    </w:p>
    <w:p>
      <w:pPr>
        <w:spacing w:after="0" w:line="197"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Net cash provided by investing activities of $21.8 million for the three months ended March 31, 2021 was due to proceeds from the sales and maturities of short-term investments of $13.6 million and $8.5 million, respectively, net of purchases of short-term investments of $0.3 million and purchases of property and equipment of $0.1 million.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Net cash provided by investing activities of $18.7 million for the three months ended March 31, 2020 was due to maturities and sales of short-term investments of $17.6 million and $5.6 million, respectively, net of purchases of short-term investments of $4.5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financing activities primarily consisted of payments of deferred offering cost, stock option awards exercises and principal payments of financing lease obligations.</w:t>
      </w:r>
    </w:p>
    <w:p>
      <w:pPr>
        <w:spacing w:after="0" w:line="19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Net cash used in financing activities of $1.4 million for the three months ended March 31, 2021 primarily consisted of payments of deferred offering cost in connection with our IPO of $1.1 million and principal payments of financing lease obligations of $0.3 million.</w:t>
      </w:r>
    </w:p>
    <w:p>
      <w:pPr>
        <w:spacing w:after="0" w:line="17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cash used in financing activities of $0.2 million for the three months ended March 31, 2020 primarily consisted of principal payments of financing lease obligations of $0.2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April 2021, our board of directors declared a cash dividend of $35.0 million to the holders of record of our common stock and our redeemable convertible preferred stock as of May 3, 2021, which is payable no later than June 30, 2021 (the "2021 Dividend"). Other than the 2021 Dividend, we have not declared or paid cash dividends on our capital stock, and we do not anticipate declaring or paying any cash dividends other than the 2021 Dividend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2021 Credit Facility contains restrictions on our ability to pay dividends.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prepare and present our condensed consolidated financial statements in accordance with GAAP. However, management believes that adjusted EBITDA, a non-GAAP financial measure, provides investors with additional useful information in evaluating our performance.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calculate adjusted EBITDA as net income (loss), adjusted to exclude: (1) interest and other (income) expense, net; (2) income tax provision;</w:t>
      </w:r>
    </w:p>
    <w:p>
      <w:pPr>
        <w:spacing w:after="0" w:line="46" w:lineRule="exact"/>
        <w:rPr>
          <w:sz w:val="20"/>
          <w:szCs w:val="20"/>
          <w:color w:val="auto"/>
        </w:rPr>
      </w:pPr>
    </w:p>
    <w:p>
      <w:pPr>
        <w:ind w:right="60" w:firstLine="8"/>
        <w:spacing w:after="0" w:line="255"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(4) stock-based compensation expense; (5) professional fees and expenses and executive termination expenses related to our Innovation Strategy; (6) litigation and settlement fees associated with certain non-ordinary course litigation; and (7) the IPO Bonuses, including associated payroll taxes and expenses, and third-party costs associated with our IPO.</w:t>
      </w:r>
    </w:p>
    <w:p>
      <w:pPr>
        <w:spacing w:after="0" w:line="2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w:t>
      </w:r>
    </w:p>
    <w:p>
      <w:pPr>
        <w:spacing w:after="0" w:line="23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include the IPO Bonuses, including associated payroll taxes and expenses, or third-party costs associated with the preparation of the IPO, (6) it does not reflect tax payments that may represent a reduction in cash available to us, and (7) does not include certain non-ordinary cash expenses that we do not believe are representative of our business on a steady-state basis.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net income (loss) and other results stated in accordance with GAAP.</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9" w:name="page30"/>
    <w:bookmarkEnd w:id="29"/>
    <w:p>
      <w:pPr>
        <w:ind w:left="660"/>
        <w:spacing w:after="0"/>
        <w:rPr>
          <w:sz w:val="20"/>
          <w:szCs w:val="20"/>
          <w:color w:val="auto"/>
        </w:rPr>
      </w:pPr>
      <w:r>
        <w:rPr>
          <w:rFonts w:ascii="Arial" w:cs="Arial" w:eastAsia="Arial" w:hAnsi="Arial"/>
          <w:sz w:val="17"/>
          <w:szCs w:val="17"/>
          <w:color w:val="auto"/>
        </w:rPr>
        <w:t>The following table presents a reconciliation of net income (loss), the most directly comparable financial measure stated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to adjusted EBITDA, for each of the periods presented: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For the three months ended March 31,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(Loss) to Adjusted EBITDA</w:t>
            </w: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(4,484)</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7360" w:type="dxa"/>
            <w:vAlign w:val="bottom"/>
          </w:tcPr>
          <w:p>
            <w:pPr>
              <w:ind w:left="12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7360" w:type="dxa"/>
            <w:vAlign w:val="bottom"/>
          </w:tcPr>
          <w:p>
            <w:pPr>
              <w:ind w:left="1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7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0"/>
        </w:trPr>
        <w:tc>
          <w:tcPr>
            <w:tcW w:w="73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304"/>
        </w:trPr>
        <w:tc>
          <w:tcPr>
            <w:tcW w:w="7360" w:type="dxa"/>
            <w:vAlign w:val="bottom"/>
          </w:tcPr>
          <w:p>
            <w:pPr>
              <w:ind w:left="120"/>
              <w:spacing w:after="0"/>
              <w:rPr>
                <w:sz w:val="20"/>
                <w:szCs w:val="20"/>
                <w:color w:val="auto"/>
              </w:rPr>
            </w:pPr>
            <w:r>
              <w:rPr>
                <w:rFonts w:ascii="Arial" w:cs="Arial" w:eastAsia="Arial" w:hAnsi="Arial"/>
                <w:sz w:val="18"/>
                <w:szCs w:val="18"/>
                <w:color w:val="auto"/>
              </w:rPr>
              <w:t>Innovation Strategy expenses</w:t>
            </w:r>
            <w:r>
              <w:rPr>
                <w:rFonts w:ascii="Arial" w:cs="Arial" w:eastAsia="Arial" w:hAnsi="Arial"/>
                <w:sz w:val="23"/>
                <w:szCs w:val="23"/>
                <w:color w:val="auto"/>
                <w:vertAlign w:val="superscript"/>
              </w:rPr>
              <w:t>(1)</w:t>
            </w:r>
          </w:p>
        </w:tc>
        <w:tc>
          <w:tcPr>
            <w:tcW w:w="280" w:type="dxa"/>
            <w:vAlign w:val="bottom"/>
          </w:tcPr>
          <w:p>
            <w:pPr>
              <w:spacing w:after="0"/>
              <w:rPr>
                <w:sz w:val="24"/>
                <w:szCs w:val="24"/>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63"/>
        </w:trPr>
        <w:tc>
          <w:tcPr>
            <w:tcW w:w="7360" w:type="dxa"/>
            <w:vAlign w:val="bottom"/>
          </w:tcPr>
          <w:p>
            <w:pPr>
              <w:ind w:left="120"/>
              <w:spacing w:after="0" w:line="263" w:lineRule="exact"/>
              <w:rPr>
                <w:sz w:val="20"/>
                <w:szCs w:val="20"/>
                <w:color w:val="auto"/>
              </w:rPr>
            </w:pPr>
            <w:r>
              <w:rPr>
                <w:rFonts w:ascii="Arial" w:cs="Arial" w:eastAsia="Arial" w:hAnsi="Arial"/>
                <w:sz w:val="18"/>
                <w:szCs w:val="18"/>
                <w:color w:val="auto"/>
              </w:rPr>
              <w:t>Related IPO costs and other transaction-related expenses</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360" w:type="dxa"/>
            <w:vAlign w:val="bottom"/>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hanging="333"/>
        <w:spacing w:after="0"/>
        <w:tabs>
          <w:tab w:leader="none" w:pos="340" w:val="left"/>
        </w:tabs>
        <w:numPr>
          <w:ilvl w:val="0"/>
          <w:numId w:val="18"/>
        </w:numPr>
        <w:rPr>
          <w:rFonts w:ascii="Arial" w:cs="Arial" w:eastAsia="Arial" w:hAnsi="Arial"/>
          <w:sz w:val="9"/>
          <w:szCs w:val="9"/>
          <w:color w:val="auto"/>
        </w:rPr>
      </w:pPr>
      <w:r>
        <w:rPr>
          <w:rFonts w:ascii="Arial" w:cs="Arial" w:eastAsia="Arial" w:hAnsi="Arial"/>
          <w:sz w:val="18"/>
          <w:szCs w:val="18"/>
          <w:color w:val="auto"/>
        </w:rPr>
        <w:t>Includes professional fees and expenses and executive severance and termination expenses related to our Innovation Strategy.</w:t>
      </w:r>
    </w:p>
    <w:p>
      <w:pPr>
        <w:spacing w:after="0" w:line="23" w:lineRule="exact"/>
        <w:rPr>
          <w:rFonts w:ascii="Arial" w:cs="Arial" w:eastAsia="Arial" w:hAnsi="Arial"/>
          <w:sz w:val="9"/>
          <w:szCs w:val="9"/>
          <w:color w:val="auto"/>
        </w:rPr>
      </w:pPr>
    </w:p>
    <w:p>
      <w:pPr>
        <w:ind w:left="340" w:right="560" w:hanging="333"/>
        <w:spacing w:after="0" w:line="260" w:lineRule="auto"/>
        <w:tabs>
          <w:tab w:leader="none" w:pos="304" w:val="left"/>
        </w:tabs>
        <w:numPr>
          <w:ilvl w:val="0"/>
          <w:numId w:val="18"/>
        </w:numPr>
        <w:rPr>
          <w:rFonts w:ascii="Arial" w:cs="Arial" w:eastAsia="Arial" w:hAnsi="Arial"/>
          <w:sz w:val="9"/>
          <w:szCs w:val="9"/>
          <w:color w:val="auto"/>
        </w:rPr>
      </w:pPr>
      <w:r>
        <w:rPr>
          <w:rFonts w:ascii="Arial" w:cs="Arial" w:eastAsia="Arial" w:hAnsi="Arial"/>
          <w:sz w:val="18"/>
          <w:szCs w:val="18"/>
          <w:color w:val="auto"/>
        </w:rPr>
        <w:t>Includes related IPO costs and other transaction-related third-party expenses, which are generally incremental costs incurred associated with the preparation of the IPO.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36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16"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Estimates” in the Prospectus and the notes to the audited consolidated financial statements appearing elsewhere in the Prospectus. During the three months ended March 31, 2021, there were no material changes to our critical accounting policies from those discussed in our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6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Refer to Note 2 to our condensed consolidated financial statements included in this Quarterly Report on Form 10-Q for a discussion of recently issued accounting pronouncements not yet adopted.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6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ectPr>
          <w:pgSz w:w="11900" w:h="16838" w:orient="portrait"/>
          <w:cols w:equalWidth="0" w:num="1">
            <w:col w:w="11220"/>
          </w:cols>
          <w:pgMar w:left="320" w:top="1016" w:right="359" w:bottom="7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779"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had cash and cash equivalents of $39.0 million and current and long-term restricted cash of $6.6 million as of March 31, 2021, which consisted of bank accounts and money market funds. We had short-term investments of $12.4 million as of March 31, 2021, which consisted of commercial paper, certificates of deposit, corporate bonds and U.S. government and agency securities. Interest-earning instruments carry a degree of interest rate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would not result in a material impact on our condensed consolidated financial statements.</w:t>
      </w:r>
    </w:p>
    <w:p>
      <w:pPr>
        <w:spacing w:after="0" w:line="22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are also subject to interest rate risk in connection with our 2021 Credit Facility. See the section titled “—Liquidity and Capital Resources— 2021 Credit Facility” above. Based on the average interest rate on the instruments under the 2021 Credit Facility during the three months ended March 31, 2021, and to the extent that borrowings were outstanding, we do not believe that a hypothetical 10% change in the interest rate would have a material effect on our results of operations or financial condition for the three months ended March 31,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Our reporting currency is the U.S. dollar. Gains or losses due to transactions in foreign currencies are reflected in the condensed consolidated statements of comprehensive income (loss) under the line item interest and other income (expense), net. We have not engaged in the hedging of foreign currency transactions to date, although we may choose to do so in the future. We do not believe that an immediate 10% increase or decrease in the relative value of the U.S. dollar to other currencies would have a material effect on our condensed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Our management, with the participation of our Chief Executive Officer and Chief Financial Officer, evaluated, as of the period ended March 31, 2021,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Company's first quarter of 2021 that has materially affected, or is reasonably likely to materially affect the Company's internal control over financial reporting.</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The information contained under the heading “Litigation” in Note 8 to our condensed consolidated financial statements included in this Quarterly Report on Form 10-Q is incorporated by reference into this Item.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7"/>
          <w:szCs w:val="17"/>
          <w:i w:val="1"/>
          <w:iCs w:val="1"/>
          <w:color w:val="auto"/>
        </w:rPr>
        <w:t xml:space="preserve">There have been no material changes to the risk factors set forth in the section titled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included in our prospectus, dated May 4, 2021, filed with the Securities and Exchange Commission (“SEC”) in accordance with Rule 424(b) of the Securities Act on May 6, 2021 (the“Prospectus”) in connection with our initial public offering (“IPO”). Our business involves significant risks. You should carefully consider the risks and uncertainties described in our Prospectus, together with all of the other information in this Quarterly Report on Form 10-Q, as well as our audited consolidated financial statements and related notes as disclosed in our Prospectus. The risks and uncertainties described in our Prospectus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February 2021, we granted 200,000 RSUs to one of our officers, of which 80,000 RSUs will vest over a period of four years based on continued service and 120,000 RSUs will vest one year after the occurrence of a liquidity event, including an IPO. The grant-date fair value of this award was $2.0 million. In conjunction with the IPO, we recognized stock-based compensation expense of $0.2 million related to these RSUs.</w:t>
      </w:r>
    </w:p>
    <w:p>
      <w:pPr>
        <w:spacing w:after="0" w:line="192"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On May 4, 2021, we granted an aggregate of 23,124 RSUs with an aggregate value of $370,000 to two of our non-employee directors in connection with our IPO, which will vest in three equal annual installments on the one-, two- and three-year anniversaries of the grant date, subject to the non-employee director’s continued service on each vesting date. We also granted an aggregate of 87,143 RSUs with an aggregate value of $1.4 million to our seven non-employee directors, which will vest as to 1/13th of each such grant on June 1, 2021, and as to 12/13th of each such grant on the earlier of (i) the date immediately prior to the annual meeting of our stockholders next following the grant date of each such grant and (ii) June 1, 2022, subject to the non-employee director’s continued service through each vesting date. Each non-employee director may elect to defer the delivery of shares in settlement of any restricted stock unit award granted under the terms of our Non-Employee Director Compensation Policy (the “Policy”) that would otherwise be delivered to such non-employee director on or following the date such award vests pursuant to the terms of a deferral election such non-employee director makes in accordance with the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Upon Conversion of Preferred Stock</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Immediately prior to the completion of the IPO, 49,100,928 outstanding shares of redeemable convertible preferred stock with a carrying value of $376.4 million converted into 49,649,023 shares of common stock. Immediately prior to the completion of the IPO, we filed an Amended and Restated Certificate of Incorporation, which authorized a total of 1,000,000,000 shares of common stock and 20,000,000 shares of preferred stock. Upon the filing of the Amended and Restated Certificate of Incorporation, 49,100,928 shares of our redeemable convertible preferred stock then outstanding were automatically converted into 49,649,023 shares of our common stock. The issuance of such shares of our common stock was exempt from registration under Section 3(a)(9) of the Securities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4, 2021, our Registration Statement on Form S-1, as amended (File No. 333-255150) was declared effective in connection with our IPO,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pursuant to which we issued and sold an aggregate of 6,451,613 shares of our common stock, and certain existing stockholders sold an aggregate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23,226,437 shares of our common stock, including the full exercise of the underwriters’ option to purchase additional shares, at a price to the public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$16.00 per share. Morgan Stanley &amp; Co. LLC, J.P. Morgan Securities LLC and Jefferies LLC acted as representatives of the underwriters for the offering.</w:t>
      </w:r>
    </w:p>
    <w:p>
      <w:pPr>
        <w:spacing w:after="0" w:line="24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The IPO closed May 7, 2021. We received net proceeds of approximately $91.1 million, after deducting underwriting discounts and commissions of $6.7 million and offering expenses of $5.4 million. No payments for such expenses were made</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33" w:name="page34"/>
    <w:bookmarkEnd w:id="33"/>
    <w:p>
      <w:pPr>
        <w:spacing w:after="0" w:line="261" w:lineRule="auto"/>
        <w:rPr>
          <w:sz w:val="20"/>
          <w:szCs w:val="20"/>
          <w:color w:val="auto"/>
        </w:rPr>
      </w:pPr>
      <w:r>
        <w:rPr>
          <w:rFonts w:ascii="Arial" w:cs="Arial" w:eastAsia="Arial" w:hAnsi="Arial"/>
          <w:sz w:val="18"/>
          <w:szCs w:val="18"/>
          <w:color w:val="auto"/>
        </w:rPr>
        <w:t>directly or indirectly to (i) any of our officers or directors or their associates, (ii) any persons owning 10% or more of any class of our equity securities or (iii) any of our affiliates.</w:t>
      </w:r>
    </w:p>
    <w:p>
      <w:pPr>
        <w:spacing w:after="0" w:line="198"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The net proceeds from our IPO have been invested in investment grade, interest-bearing instruments. There has been no material change in the expected use of the net proceeds from our IPO as described in our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73" w:right="5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1315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61" w:lineRule="exact"/>
        <w:rPr>
          <w:sz w:val="20"/>
          <w:szCs w:val="20"/>
          <w:color w:val="auto"/>
        </w:rPr>
      </w:pPr>
    </w:p>
    <w:p>
      <w:pPr>
        <w:ind w:left="2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3.1</w:t>
        </w:r>
      </w:hyperlink>
    </w:p>
    <w:p>
      <w:pPr>
        <w:spacing w:after="0" w:line="225" w:lineRule="exact"/>
        <w:rPr>
          <w:sz w:val="20"/>
          <w:szCs w:val="20"/>
          <w:color w:val="auto"/>
        </w:rPr>
      </w:pPr>
    </w:p>
    <w:p>
      <w:pPr>
        <w:ind w:left="2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3.2</w:t>
        </w:r>
      </w:hyperlink>
    </w:p>
    <w:p>
      <w:pPr>
        <w:spacing w:after="0" w:line="225" w:lineRule="exact"/>
        <w:rPr>
          <w:sz w:val="20"/>
          <w:szCs w:val="20"/>
          <w:color w:val="auto"/>
        </w:rPr>
      </w:pPr>
    </w:p>
    <w:p>
      <w:pPr>
        <w:ind w:left="20"/>
        <w:spacing w:after="0"/>
        <w:rPr>
          <w:rFonts w:ascii="Arial" w:cs="Arial" w:eastAsia="Arial" w:hAnsi="Arial"/>
          <w:sz w:val="18"/>
          <w:szCs w:val="18"/>
          <w:color w:val="0000FF"/>
        </w:rPr>
      </w:pPr>
      <w:hyperlink r:id="rId48">
        <w:r>
          <w:rPr>
            <w:rFonts w:ascii="Arial" w:cs="Arial" w:eastAsia="Arial" w:hAnsi="Arial"/>
            <w:sz w:val="18"/>
            <w:szCs w:val="18"/>
            <w:u w:val="single" w:color="auto"/>
            <w:color w:val="0000FF"/>
          </w:rPr>
          <w:t>10.1</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49">
        <w:r>
          <w:rPr>
            <w:rFonts w:ascii="Arial" w:cs="Arial" w:eastAsia="Arial" w:hAnsi="Arial"/>
            <w:sz w:val="18"/>
            <w:szCs w:val="18"/>
            <w:u w:val="single" w:color="auto"/>
            <w:color w:val="0000FF"/>
          </w:rPr>
          <w:t>10.2</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0">
        <w:r>
          <w:rPr>
            <w:rFonts w:ascii="Arial" w:cs="Arial" w:eastAsia="Arial" w:hAnsi="Arial"/>
            <w:sz w:val="18"/>
            <w:szCs w:val="18"/>
            <w:u w:val="single" w:color="auto"/>
            <w:color w:val="0000FF"/>
          </w:rPr>
          <w:t>10.3</w:t>
        </w:r>
      </w:hyperlink>
      <w:r>
        <w:rPr>
          <w:rFonts w:ascii="Arial" w:cs="Arial" w:eastAsia="Arial" w:hAnsi="Arial"/>
          <w:sz w:val="18"/>
          <w:szCs w:val="18"/>
          <w:color w:val="000000"/>
        </w:rPr>
        <w:t>+</w:t>
      </w:r>
    </w:p>
    <w:p>
      <w:pPr>
        <w:spacing w:after="0" w:line="225" w:lineRule="exact"/>
        <w:rPr>
          <w:sz w:val="20"/>
          <w:szCs w:val="20"/>
          <w:color w:val="auto"/>
        </w:rPr>
      </w:pPr>
    </w:p>
    <w:p>
      <w:pPr>
        <w:ind w:left="20"/>
        <w:spacing w:after="0"/>
        <w:rPr>
          <w:rFonts w:ascii="Arial" w:cs="Arial" w:eastAsia="Arial" w:hAnsi="Arial"/>
          <w:sz w:val="18"/>
          <w:szCs w:val="18"/>
          <w:color w:val="0000FF"/>
        </w:rPr>
      </w:pPr>
      <w:hyperlink r:id="rId51">
        <w:r>
          <w:rPr>
            <w:rFonts w:ascii="Arial" w:cs="Arial" w:eastAsia="Arial" w:hAnsi="Arial"/>
            <w:sz w:val="18"/>
            <w:szCs w:val="18"/>
            <w:u w:val="single" w:color="auto"/>
            <w:color w:val="0000FF"/>
          </w:rPr>
          <w:t>10.4</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2">
        <w:r>
          <w:rPr>
            <w:rFonts w:ascii="Arial" w:cs="Arial" w:eastAsia="Arial" w:hAnsi="Arial"/>
            <w:sz w:val="18"/>
            <w:szCs w:val="18"/>
            <w:u w:val="single" w:color="auto"/>
            <w:color w:val="0000FF"/>
          </w:rPr>
          <w:t>10.5</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3">
        <w:r>
          <w:rPr>
            <w:rFonts w:ascii="Arial" w:cs="Arial" w:eastAsia="Arial" w:hAnsi="Arial"/>
            <w:sz w:val="18"/>
            <w:szCs w:val="18"/>
            <w:u w:val="single" w:color="auto"/>
            <w:color w:val="0000FF"/>
          </w:rPr>
          <w:t>10.6</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4">
        <w:r>
          <w:rPr>
            <w:rFonts w:ascii="Arial" w:cs="Arial" w:eastAsia="Arial" w:hAnsi="Arial"/>
            <w:sz w:val="18"/>
            <w:szCs w:val="18"/>
            <w:u w:val="single" w:color="auto"/>
            <w:color w:val="0000FF"/>
          </w:rPr>
          <w:t>10.7</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5">
        <w:r>
          <w:rPr>
            <w:rFonts w:ascii="Arial" w:cs="Arial" w:eastAsia="Arial" w:hAnsi="Arial"/>
            <w:sz w:val="18"/>
            <w:szCs w:val="18"/>
            <w:u w:val="single" w:color="auto"/>
            <w:color w:val="0000FF"/>
          </w:rPr>
          <w:t>10.8</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6">
        <w:r>
          <w:rPr>
            <w:rFonts w:ascii="Arial" w:cs="Arial" w:eastAsia="Arial" w:hAnsi="Arial"/>
            <w:sz w:val="18"/>
            <w:szCs w:val="18"/>
            <w:u w:val="single" w:color="auto"/>
            <w:color w:val="0000FF"/>
          </w:rPr>
          <w:t>10.9</w:t>
        </w:r>
      </w:hyperlink>
      <w:r>
        <w:rPr>
          <w:rFonts w:ascii="Arial" w:cs="Arial" w:eastAsia="Arial" w:hAnsi="Arial"/>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ind w:left="20"/>
        <w:spacing w:after="0"/>
        <w:rPr>
          <w:rFonts w:ascii="Arial" w:cs="Arial" w:eastAsia="Arial" w:hAnsi="Arial"/>
          <w:sz w:val="18"/>
          <w:szCs w:val="18"/>
          <w:color w:val="0000FF"/>
        </w:rPr>
      </w:pPr>
      <w:hyperlink r:id="rId57">
        <w:r>
          <w:rPr>
            <w:rFonts w:ascii="Arial" w:cs="Arial" w:eastAsia="Arial" w:hAnsi="Arial"/>
            <w:sz w:val="18"/>
            <w:szCs w:val="18"/>
            <w:u w:val="single" w:color="auto"/>
            <w:color w:val="0000FF"/>
          </w:rPr>
          <w:t>10.10</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58">
        <w:r>
          <w:rPr>
            <w:rFonts w:ascii="Arial" w:cs="Arial" w:eastAsia="Arial" w:hAnsi="Arial"/>
            <w:sz w:val="18"/>
            <w:szCs w:val="18"/>
            <w:u w:val="single" w:color="auto"/>
            <w:color w:val="0000FF"/>
          </w:rPr>
          <w:t>10.11</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59">
        <w:r>
          <w:rPr>
            <w:rFonts w:ascii="Arial" w:cs="Arial" w:eastAsia="Arial" w:hAnsi="Arial"/>
            <w:sz w:val="18"/>
            <w:szCs w:val="18"/>
            <w:u w:val="single" w:color="auto"/>
            <w:color w:val="0000FF"/>
          </w:rPr>
          <w:t>10.12</w:t>
        </w:r>
      </w:hyperlink>
      <w:r>
        <w:rPr>
          <w:rFonts w:ascii="Arial" w:cs="Arial" w:eastAsia="Arial" w:hAnsi="Arial"/>
          <w:sz w:val="18"/>
          <w:szCs w:val="18"/>
          <w:color w:val="000000"/>
        </w:rPr>
        <w:t>+</w:t>
      </w: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color w:val="0000FF"/>
        </w:rPr>
      </w:pPr>
      <w:hyperlink r:id="rId60">
        <w:r>
          <w:rPr>
            <w:rFonts w:ascii="Arial" w:cs="Arial" w:eastAsia="Arial" w:hAnsi="Arial"/>
            <w:sz w:val="18"/>
            <w:szCs w:val="18"/>
            <w:u w:val="single" w:color="auto"/>
            <w:color w:val="0000FF"/>
          </w:rPr>
          <w:t>10.13</w:t>
        </w:r>
      </w:hyperlink>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5597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4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Amended and Restated Articles of Incorporation, as currently in effect (incorporated herein by reference to Exhibit 3.1 to the Company’s Current Report on Form 8-K (File No. 001-40378), filed with the SEC on May 11, 2021).</w:t>
      </w:r>
    </w:p>
    <w:p>
      <w:pPr>
        <w:ind w:right="140"/>
        <w:spacing w:after="0" w:line="246" w:lineRule="auto"/>
        <w:rPr>
          <w:sz w:val="20"/>
          <w:szCs w:val="20"/>
          <w:color w:val="auto"/>
        </w:rPr>
      </w:pPr>
      <w:r>
        <w:rPr>
          <w:rFonts w:ascii="Arial" w:cs="Arial" w:eastAsia="Arial" w:hAnsi="Arial"/>
          <w:sz w:val="18"/>
          <w:szCs w:val="18"/>
          <w:color w:val="auto"/>
        </w:rPr>
        <w:t>Amended and Restated Bylaws, as currently in effect (incorporated herein by reference to Exhibit 3.2 to the Company’s Current Report on Form 8-K (File No. 001-40378), filed with the SEC on May 11, 2021).</w:t>
      </w:r>
    </w:p>
    <w:p>
      <w:pPr>
        <w:spacing w:after="0" w:line="8"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2021 Equity Incentive Plan and forms of agreements thereunder (incorporated herein by reference to Exhibit 10.3 to Amendment No. 1 to the Company’s Registration Statement on Form S-1 (File No. 333-255150), filed with the SEC on April 20, 2021).</w:t>
      </w:r>
    </w:p>
    <w:p>
      <w:pPr>
        <w:spacing w:after="0" w:line="13"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Employee Stock Purchase Plan and forms of agreements thereunder (incorporated herein by reference to Exhibit 10.4 to Amendment No. 1 to the Company’s Registration Statement on Form S-1 (File No. 333-255150), filed with the SEC on April 20, 2021).</w:t>
      </w:r>
    </w:p>
    <w:p>
      <w:pPr>
        <w:spacing w:after="0" w:line="13"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Non-Employee Director Compensation Policy (incorporated herein by reference to Exhibit 10.5 to Amendment No. 1 to the Company’s Registration Statement on Form S-1 (File No. 333-255150), filed with the SEC on April 20, 2021).</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Indemnity Agreement entered into by and between the Company and each director and executive officer (incorporated herein by reference to Exhibit 10.6 to Amendment No. 1 to the Company’s Registration Statement on Form S-1 (File No. 333-255150), filed with the SEC on April 20, 2021).</w:t>
      </w:r>
    </w:p>
    <w:p>
      <w:pPr>
        <w:spacing w:after="0" w:line="1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Nikolaos Vlahos (incorporated herein by reference to Exhibit 10.7 to Amendment No. 2 to the Company’s Registration Statement on Form S-1 (File No. 333-255150), filed with the SEC on April 26, 2021).</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Amended and Restated Employment Agreement, dated April 26, 2021, by and between the Company and Jessica Warren (incorporated herein by reference to Exhibit 10.8 to Amendment No. 2 to the Company’s Registration Statement on Form S-1 (File No. 333-255150), filed with the SEC on April 26, 2021).</w:t>
      </w:r>
    </w:p>
    <w:p>
      <w:pPr>
        <w:spacing w:after="0" w:line="1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Employment Agreement, dated April 25, 2021, by and between the Company and Donald Frey (incorporated herein by reference to Exhibit 10.9 to Amendment No. 2 to the Company’s Registration Statement on Form S-1 (File No. 333-255150), filed with the SEC on April 26, 2021).</w:t>
      </w:r>
    </w:p>
    <w:p>
      <w:pPr>
        <w:spacing w:after="0" w:line="13" w:lineRule="exact"/>
        <w:rPr>
          <w:sz w:val="20"/>
          <w:szCs w:val="20"/>
          <w:color w:val="auto"/>
        </w:rPr>
      </w:pPr>
    </w:p>
    <w:p>
      <w:pPr>
        <w:jc w:val="both"/>
        <w:ind w:right="34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Janis Hoyt (incorporated herein by reference to Exhibit 10.10 to Amendment No. 2 to the Company’s Registration Statement on Form S-1 (File No. 333-255150), filed with the SEC on April 26, 2021).</w:t>
      </w:r>
    </w:p>
    <w:p>
      <w:pPr>
        <w:spacing w:after="0" w:line="1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Amended and Restated Employment Agreement, dated April 24, 2021, by and between the Company and Kelly Kennedy (incorporated herein by reference to Exhibit 10.11 to Amendment No. 2 to the Company’s Registration Statement on Form S-1 (File No. 333-255150), filed with the Commission on April 26, 2021).</w:t>
      </w:r>
    </w:p>
    <w:p>
      <w:pPr>
        <w:spacing w:after="0" w:line="2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Amended and Restated Employment Agreement, dated April 25, 2021, by and between the Company and Glenn Klages (incorporated herein by reference to Exhibit 10.12 to Amendment No. 2 to the Company’s Registration Statement on Form S-1 (File No. 333-255150), filed with the SEC on April 26, 2021).</w:t>
      </w:r>
    </w:p>
    <w:p>
      <w:pPr>
        <w:spacing w:after="0" w:line="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Amended and Restated Employment Agreement, dated April 24, 2021, by and between the Company and Jasmin Manner (incorporated herein by reference to Exhibit 10.13 to Amendment No. 2 to the Company’s Registration Statement on Form S-1 (File No. 333-255150), filed with the SEC on April 26, 2021).</w:t>
      </w:r>
    </w:p>
    <w:p>
      <w:pPr>
        <w:spacing w:after="0" w:line="2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Amended and Restated Employment Agreement, dated April 24, 2021, by and between the Company and Sharareh Parvaneh (incorporated herein by reference to Exhibit 10.14 to Amendment No. 2 to the Company’s Registration Statement on Form S-1 (File No. 333-255150), filed with the SEC on April 26, 2021).</w:t>
      </w:r>
    </w:p>
    <w:p>
      <w:pPr>
        <w:spacing w:after="0" w:line="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Amended and Restated Employment Agreement, dated April 24, 2021, by and between the Company and Rick Rexing (incorporated herein by reference to Exhibit 10.15 to Amendment No. 2 to the Company’s Registration Statement on Form S-1 (File No. 333-255150), filed with the SEC on April 26, 2021).</w:t>
      </w:r>
    </w:p>
    <w:p>
      <w:pPr>
        <w:spacing w:after="0" w:line="200" w:lineRule="exact"/>
        <w:rPr>
          <w:sz w:val="20"/>
          <w:szCs w:val="20"/>
          <w:color w:val="auto"/>
        </w:rPr>
      </w:pPr>
    </w:p>
    <w:p>
      <w:pPr>
        <w:sectPr>
          <w:pgSz w:w="11900" w:h="16838" w:orient="portrait"/>
          <w:cols w:equalWidth="0" w:num="2">
            <w:col w:w="1520" w:space="660"/>
            <w:col w:w="8760"/>
          </w:cols>
          <w:pgMar w:left="320" w:top="688"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88" w:right="639" w:bottom="1440" w:gutter="0" w:footer="0" w:header="0"/>
          <w:type w:val="continuous"/>
        </w:sectPr>
      </w:pPr>
    </w:p>
    <w:bookmarkStart w:id="35" w:name="page36"/>
    <w:bookmarkEnd w:id="35"/>
    <w:tbl>
      <w:tblPr>
        <w:tblLayout w:type="fixed"/>
        <w:tblInd w:w="93" w:type="dxa"/>
        <w:tblCellMar>
          <w:top w:w="0" w:type="dxa"/>
          <w:left w:w="0" w:type="dxa"/>
          <w:bottom w:w="0" w:type="dxa"/>
          <w:right w:w="0" w:type="dxa"/>
        </w:tblCellMar>
      </w:tblPr>
      <w:tr>
        <w:trPr>
          <w:trHeight w:val="207"/>
        </w:trPr>
        <w:tc>
          <w:tcPr>
            <w:tcW w:w="1420" w:type="dxa"/>
            <w:vAlign w:val="bottom"/>
            <w:gridSpan w:val="3"/>
          </w:tcPr>
          <w:p>
            <w:pPr>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r>
              <w:rPr>
                <w:rFonts w:ascii="Arial" w:cs="Arial" w:eastAsia="Arial" w:hAnsi="Arial"/>
                <w:sz w:val="18"/>
                <w:szCs w:val="18"/>
                <w:color w:val="000000"/>
              </w:rPr>
              <w:t>+</w:t>
            </w:r>
          </w:p>
        </w:tc>
        <w:tc>
          <w:tcPr>
            <w:tcW w:w="9480" w:type="dxa"/>
            <w:vAlign w:val="bottom"/>
          </w:tcPr>
          <w:p>
            <w:pPr>
              <w:ind w:left="740"/>
              <w:spacing w:after="0"/>
              <w:rPr>
                <w:sz w:val="20"/>
                <w:szCs w:val="20"/>
                <w:color w:val="auto"/>
              </w:rPr>
            </w:pPr>
            <w:r>
              <w:rPr>
                <w:rFonts w:ascii="Arial" w:cs="Arial" w:eastAsia="Arial" w:hAnsi="Arial"/>
                <w:sz w:val="18"/>
                <w:szCs w:val="18"/>
                <w:color w:val="auto"/>
                <w:w w:val="94"/>
              </w:rPr>
              <w:t>Amended and Restated Employment Agreement, dated April 24, 2021, by and between the Registrant and Brendan</w:t>
            </w:r>
          </w:p>
        </w:tc>
      </w:tr>
      <w:tr>
        <w:trPr>
          <w:trHeight w:val="222"/>
        </w:trPr>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8"/>
              </w:rPr>
              <w:t>Sheehey (incorporated herein by reference to Exhibit 10.16 to Amendment No 2. to the Company’s Registration</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Statement on Form S-1 (File No. 333-255150), filed with the SEC on April 26, 2021).</w:t>
            </w:r>
          </w:p>
        </w:tc>
      </w:tr>
      <w:tr>
        <w:trPr>
          <w:trHeight w:val="229"/>
        </w:trPr>
        <w:tc>
          <w:tcPr>
            <w:tcW w:w="14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9480" w:type="dxa"/>
            <w:vAlign w:val="bottom"/>
          </w:tcPr>
          <w:p>
            <w:pPr>
              <w:ind w:left="740"/>
              <w:spacing w:after="0"/>
              <w:rPr>
                <w:sz w:val="20"/>
                <w:szCs w:val="20"/>
                <w:color w:val="auto"/>
              </w:rPr>
            </w:pPr>
            <w:r>
              <w:rPr>
                <w:rFonts w:ascii="Arial" w:cs="Arial" w:eastAsia="Arial" w:hAnsi="Arial"/>
                <w:sz w:val="18"/>
                <w:szCs w:val="18"/>
                <w:color w:val="auto"/>
                <w:w w:val="91"/>
              </w:rPr>
              <w:t>Credit Agreement dated as of April 30, 2021, among the Company, as a Borrower, JPMorgan Chase Bank, N.A., as the</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Administrative Agent, and the other parties thereto.</w:t>
            </w:r>
          </w:p>
        </w:tc>
      </w:tr>
      <w:tr>
        <w:trPr>
          <w:trHeight w:val="229"/>
        </w:trPr>
        <w:tc>
          <w:tcPr>
            <w:tcW w:w="420" w:type="dxa"/>
            <w:vAlign w:val="bottom"/>
            <w:gridSpan w:val="2"/>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6"/>
              </w:rPr>
              <w:t>Certification of Principal Executive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29"/>
        </w:trPr>
        <w:tc>
          <w:tcPr>
            <w:tcW w:w="420" w:type="dxa"/>
            <w:vAlign w:val="bottom"/>
            <w:gridSpan w:val="2"/>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7"/>
              </w:rPr>
              <w:t>Certification of Principal Financial Officer pursuant to Rule 13a-14(a) and Rule 15d-14(a), as adopted pursuant to</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Section 302 of the Sarbanes-Oxley Act of 2002</w:t>
            </w:r>
          </w:p>
        </w:tc>
      </w:tr>
      <w:tr>
        <w:trPr>
          <w:trHeight w:val="229"/>
        </w:trPr>
        <w:tc>
          <w:tcPr>
            <w:tcW w:w="420" w:type="dxa"/>
            <w:vAlign w:val="bottom"/>
            <w:gridSpan w:val="2"/>
          </w:tcPr>
          <w:p>
            <w:pPr>
              <w:spacing w:after="0"/>
              <w:rPr>
                <w:rFonts w:ascii="Arial" w:cs="Arial" w:eastAsia="Arial" w:hAnsi="Arial"/>
                <w:sz w:val="18"/>
                <w:szCs w:val="18"/>
                <w:color w:val="0000FF"/>
                <w:w w:val="95"/>
              </w:rPr>
            </w:pPr>
            <w:hyperlink w:anchor="page200">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r>
              <w:rPr>
                <w:rFonts w:ascii="Arial" w:cs="Arial" w:eastAsia="Arial" w:hAnsi="Arial"/>
                <w:sz w:val="18"/>
                <w:szCs w:val="18"/>
                <w:color w:val="000000"/>
                <w:w w:val="95"/>
              </w:rPr>
              <w:t>*</w:t>
            </w:r>
          </w:p>
        </w:tc>
        <w:tc>
          <w:tcPr>
            <w:tcW w:w="1000" w:type="dxa"/>
            <w:vAlign w:val="bottom"/>
          </w:tcPr>
          <w:p>
            <w:pPr>
              <w:spacing w:after="0"/>
              <w:rPr>
                <w:sz w:val="19"/>
                <w:szCs w:val="19"/>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the Sarbanes-Oxley Act of 2002</w:t>
            </w:r>
          </w:p>
        </w:tc>
      </w:tr>
      <w:tr>
        <w:trPr>
          <w:trHeight w:val="499"/>
        </w:trPr>
        <w:tc>
          <w:tcPr>
            <w:tcW w:w="420" w:type="dxa"/>
            <w:vAlign w:val="bottom"/>
            <w:gridSpan w:val="2"/>
          </w:tcPr>
          <w:p>
            <w:pPr>
              <w:spacing w:after="0"/>
              <w:rPr>
                <w:rFonts w:ascii="Arial" w:cs="Arial" w:eastAsia="Arial" w:hAnsi="Arial"/>
                <w:sz w:val="18"/>
                <w:szCs w:val="18"/>
                <w:color w:val="0000FF"/>
                <w:w w:val="95"/>
              </w:rPr>
            </w:pPr>
            <w:hyperlink w:anchor="page201">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2</w:t>
              </w:r>
            </w:hyperlink>
            <w:r>
              <w:rPr>
                <w:rFonts w:ascii="Arial" w:cs="Arial" w:eastAsia="Arial" w:hAnsi="Arial"/>
                <w:sz w:val="18"/>
                <w:szCs w:val="18"/>
                <w:color w:val="000000"/>
                <w:w w:val="95"/>
              </w:rPr>
              <w:t>*</w:t>
            </w:r>
          </w:p>
        </w:tc>
        <w:tc>
          <w:tcPr>
            <w:tcW w:w="1000" w:type="dxa"/>
            <w:vAlign w:val="bottom"/>
          </w:tcPr>
          <w:p>
            <w:pPr>
              <w:spacing w:after="0"/>
              <w:rPr>
                <w:sz w:val="24"/>
                <w:szCs w:val="24"/>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w:t>
            </w:r>
          </w:p>
        </w:tc>
      </w:tr>
      <w:tr>
        <w:trPr>
          <w:trHeight w:val="237"/>
        </w:trPr>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Sarbanes-Oxley Act of 2002</w:t>
            </w:r>
          </w:p>
        </w:tc>
      </w:tr>
      <w:tr>
        <w:trPr>
          <w:trHeight w:val="256"/>
        </w:trPr>
        <w:tc>
          <w:tcPr>
            <w:tcW w:w="14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480" w:type="dxa"/>
            <w:vAlign w:val="bottom"/>
          </w:tcPr>
          <w:p>
            <w:pPr>
              <w:ind w:left="740"/>
              <w:spacing w:after="0"/>
              <w:rPr>
                <w:sz w:val="20"/>
                <w:szCs w:val="20"/>
                <w:color w:val="auto"/>
              </w:rPr>
            </w:pPr>
            <w:r>
              <w:rPr>
                <w:rFonts w:ascii="Arial" w:cs="Arial" w:eastAsia="Arial" w:hAnsi="Arial"/>
                <w:sz w:val="18"/>
                <w:szCs w:val="18"/>
                <w:color w:val="auto"/>
              </w:rPr>
              <w:t>XBRL Instance Document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6"/>
        </w:trPr>
        <w:tc>
          <w:tcPr>
            <w:tcW w:w="14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4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480" w:type="dxa"/>
            <w:vAlign w:val="bottom"/>
          </w:tcPr>
          <w:p>
            <w:pPr>
              <w:ind w:left="7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480" w:type="dxa"/>
            <w:vAlign w:val="bottom"/>
          </w:tcPr>
          <w:p>
            <w:pPr>
              <w:ind w:left="74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316865</wp:posOffset>
            </wp:positionV>
            <wp:extent cx="1748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3"/>
        <w:spacing w:after="0"/>
        <w:rPr>
          <w:sz w:val="20"/>
          <w:szCs w:val="20"/>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left="153" w:hanging="153"/>
        <w:spacing w:after="0" w:line="255" w:lineRule="auto"/>
        <w:tabs>
          <w:tab w:leader="none" w:pos="1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 and not deemed to be “filed” for purposes of Section 18 of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52"/>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47" w:top="486" w:right="419" w:bottom="1440" w:gutter="0" w:footer="0" w:header="0"/>
        </w:sectPr>
      </w:pPr>
    </w:p>
    <w:bookmarkStart w:id="36" w:name="page37"/>
    <w:bookmarkEnd w:id="36"/>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Honest Company, Inc.</w:t>
      </w:r>
    </w:p>
    <w:p>
      <w:pPr>
        <w:spacing w:after="0" w:line="61"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9"/>
          <w:szCs w:val="19"/>
          <w:color w:val="auto"/>
        </w:rPr>
        <w:t xml:space="preserve">By: </w:t>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918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Nikolaos Vlahos</w:t>
      </w: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pacing w:after="0" w:line="61"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9"/>
          <w:szCs w:val="19"/>
          <w:color w:val="auto"/>
        </w:rPr>
        <w:t xml:space="preserve">By: </w:t>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34925</wp:posOffset>
            </wp:positionV>
            <wp:extent cx="32918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Kelly J. Kennedy</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Executive Vice President, Chief Financial Officer</w:t>
      </w:r>
    </w:p>
    <w:p>
      <w:pPr>
        <w:spacing w:after="0" w:line="72" w:lineRule="exact"/>
        <w:rPr>
          <w:sz w:val="20"/>
          <w:szCs w:val="20"/>
          <w:color w:val="auto"/>
        </w:rPr>
      </w:pPr>
    </w:p>
    <w:p>
      <w:pPr>
        <w:jc w:val="center"/>
        <w:ind w:left="596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602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520"/>
          </w:cols>
          <w:pgMar w:left="320" w:top="769" w:right="105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2269490</wp:posOffset>
            </wp:positionV>
            <wp:extent cx="1697355"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16973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April 30, 2021</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among</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HONEST COMPANY,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 each other Person that becomes a Borrower hereunder,</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Borrowers,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other Loan Parties party hereto,</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Lenders party hereto</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1740535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740334942</w:t>
      </w:r>
    </w:p>
    <w:p>
      <w:pPr>
        <w:sectPr>
          <w:pgSz w:w="11900" w:h="16838" w:orient="portrait"/>
          <w:cols w:equalWidth="0" w:num="1">
            <w:col w:w="11240"/>
          </w:cols>
          <w:pgMar w:left="320" w:top="115"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2000" w:type="dxa"/>
            <w:vAlign w:val="bottom"/>
          </w:tcPr>
          <w:p>
            <w:pPr>
              <w:spacing w:after="0"/>
              <w:rPr>
                <w:sz w:val="20"/>
                <w:szCs w:val="20"/>
                <w:color w:val="auto"/>
              </w:rPr>
            </w:pPr>
            <w:r>
              <w:rPr>
                <w:rFonts w:ascii="Arial" w:cs="Arial" w:eastAsia="Arial" w:hAnsi="Arial"/>
                <w:sz w:val="20"/>
                <w:szCs w:val="20"/>
                <w:color w:val="auto"/>
              </w:rPr>
              <w:t>ARTICLE I Definitions</w:t>
            </w:r>
          </w:p>
        </w:tc>
        <w:tc>
          <w:tcPr>
            <w:tcW w:w="6760" w:type="dxa"/>
            <w:vAlign w:val="bottom"/>
          </w:tcPr>
          <w:p>
            <w:pPr>
              <w:spacing w:after="0"/>
              <w:rPr>
                <w:sz w:val="21"/>
                <w:szCs w:val="21"/>
                <w:color w:val="auto"/>
              </w:rPr>
            </w:pPr>
          </w:p>
        </w:tc>
        <w:tc>
          <w:tcPr>
            <w:tcW w:w="1820" w:type="dxa"/>
            <w:vAlign w:val="bottom"/>
          </w:tcPr>
          <w:p>
            <w:pPr>
              <w:ind w:left="1640"/>
              <w:spacing w:after="0"/>
              <w:rPr>
                <w:sz w:val="20"/>
                <w:szCs w:val="20"/>
                <w:color w:val="auto"/>
              </w:rPr>
            </w:pPr>
            <w:r>
              <w:rPr>
                <w:rFonts w:ascii="Arial" w:cs="Arial" w:eastAsia="Arial" w:hAnsi="Arial"/>
                <w:sz w:val="18"/>
                <w:szCs w:val="18"/>
                <w:color w:val="auto"/>
              </w:rPr>
              <w:t>7</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1.01.</w:t>
            </w:r>
          </w:p>
        </w:tc>
        <w:tc>
          <w:tcPr>
            <w:tcW w:w="6760" w:type="dxa"/>
            <w:vAlign w:val="bottom"/>
          </w:tcPr>
          <w:p>
            <w:pPr>
              <w:ind w:left="20"/>
              <w:spacing w:after="0"/>
              <w:rPr>
                <w:sz w:val="20"/>
                <w:szCs w:val="20"/>
                <w:color w:val="auto"/>
              </w:rPr>
            </w:pPr>
            <w:r>
              <w:rPr>
                <w:rFonts w:ascii="Arial" w:cs="Arial" w:eastAsia="Arial" w:hAnsi="Arial"/>
                <w:sz w:val="20"/>
                <w:szCs w:val="20"/>
                <w:color w:val="auto"/>
              </w:rPr>
              <w:t>Defined Terms</w:t>
            </w:r>
          </w:p>
        </w:tc>
        <w:tc>
          <w:tcPr>
            <w:tcW w:w="1820" w:type="dxa"/>
            <w:vAlign w:val="bottom"/>
          </w:tcPr>
          <w:p>
            <w:pPr>
              <w:ind w:left="1640"/>
              <w:spacing w:after="0"/>
              <w:rPr>
                <w:sz w:val="20"/>
                <w:szCs w:val="20"/>
                <w:color w:val="auto"/>
              </w:rPr>
            </w:pPr>
            <w:r>
              <w:rPr>
                <w:rFonts w:ascii="Arial" w:cs="Arial" w:eastAsia="Arial" w:hAnsi="Arial"/>
                <w:sz w:val="18"/>
                <w:szCs w:val="18"/>
                <w:color w:val="auto"/>
              </w:rPr>
              <w:t>7</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1.02.  Classification of Loans and Borrowings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40</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1.03.</w:t>
            </w:r>
          </w:p>
        </w:tc>
        <w:tc>
          <w:tcPr>
            <w:tcW w:w="6760" w:type="dxa"/>
            <w:vAlign w:val="bottom"/>
          </w:tcPr>
          <w:p>
            <w:pPr>
              <w:ind w:left="20"/>
              <w:spacing w:after="0"/>
              <w:rPr>
                <w:sz w:val="20"/>
                <w:szCs w:val="20"/>
                <w:color w:val="auto"/>
              </w:rPr>
            </w:pPr>
            <w:r>
              <w:rPr>
                <w:rFonts w:ascii="Arial" w:cs="Arial" w:eastAsia="Arial" w:hAnsi="Arial"/>
                <w:sz w:val="20"/>
                <w:szCs w:val="20"/>
                <w:color w:val="auto"/>
              </w:rPr>
              <w:t>Terms Generally</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40</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1.04.  Accounting Terms; GAAP</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41</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1.05.  Interest Rates; LIBOR Notification</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42</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1.06.  Pro Forma Adjustments for Acquisitions and Dispositions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42</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1.07.  Status of Obligations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42</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1.08.</w:t>
            </w:r>
          </w:p>
        </w:tc>
        <w:tc>
          <w:tcPr>
            <w:tcW w:w="6760" w:type="dxa"/>
            <w:vAlign w:val="bottom"/>
          </w:tcPr>
          <w:p>
            <w:pPr>
              <w:ind w:left="20"/>
              <w:spacing w:after="0"/>
              <w:rPr>
                <w:sz w:val="20"/>
                <w:szCs w:val="20"/>
                <w:color w:val="auto"/>
              </w:rPr>
            </w:pPr>
            <w:r>
              <w:rPr>
                <w:rFonts w:ascii="Arial" w:cs="Arial" w:eastAsia="Arial" w:hAnsi="Arial"/>
                <w:sz w:val="20"/>
                <w:szCs w:val="20"/>
                <w:color w:val="auto"/>
              </w:rPr>
              <w:t>Letters of Credit</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1.09.</w:t>
            </w:r>
          </w:p>
        </w:tc>
        <w:tc>
          <w:tcPr>
            <w:tcW w:w="6760" w:type="dxa"/>
            <w:vAlign w:val="bottom"/>
          </w:tcPr>
          <w:p>
            <w:pPr>
              <w:ind w:left="20"/>
              <w:spacing w:after="0"/>
              <w:rPr>
                <w:sz w:val="20"/>
                <w:szCs w:val="20"/>
                <w:color w:val="auto"/>
              </w:rPr>
            </w:pPr>
            <w:r>
              <w:rPr>
                <w:rFonts w:ascii="Arial" w:cs="Arial" w:eastAsia="Arial" w:hAnsi="Arial"/>
                <w:sz w:val="20"/>
                <w:szCs w:val="20"/>
                <w:color w:val="auto"/>
              </w:rPr>
              <w:t>Divisions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1.10.</w:t>
            </w:r>
          </w:p>
        </w:tc>
        <w:tc>
          <w:tcPr>
            <w:tcW w:w="6760" w:type="dxa"/>
            <w:vAlign w:val="bottom"/>
          </w:tcPr>
          <w:p>
            <w:pPr>
              <w:ind w:left="20"/>
              <w:spacing w:after="0"/>
              <w:rPr>
                <w:sz w:val="20"/>
                <w:szCs w:val="20"/>
                <w:color w:val="auto"/>
              </w:rPr>
            </w:pPr>
            <w:r>
              <w:rPr>
                <w:rFonts w:ascii="Arial" w:cs="Arial" w:eastAsia="Arial" w:hAnsi="Arial"/>
                <w:sz w:val="20"/>
                <w:szCs w:val="20"/>
                <w:color w:val="auto"/>
              </w:rPr>
              <w:t>Rounding</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43</w:t>
            </w:r>
          </w:p>
        </w:tc>
      </w:tr>
      <w:tr>
        <w:trPr>
          <w:trHeight w:val="283"/>
        </w:trPr>
        <w:tc>
          <w:tcPr>
            <w:tcW w:w="2000" w:type="dxa"/>
            <w:vAlign w:val="bottom"/>
          </w:tcPr>
          <w:p>
            <w:pPr>
              <w:spacing w:after="0"/>
              <w:rPr>
                <w:sz w:val="20"/>
                <w:szCs w:val="20"/>
                <w:color w:val="auto"/>
              </w:rPr>
            </w:pPr>
            <w:r>
              <w:rPr>
                <w:rFonts w:ascii="Arial" w:cs="Arial" w:eastAsia="Arial" w:hAnsi="Arial"/>
                <w:sz w:val="20"/>
                <w:szCs w:val="20"/>
                <w:color w:val="auto"/>
                <w:w w:val="94"/>
              </w:rPr>
              <w:t>ARTICLE II The Credits</w:t>
            </w:r>
          </w:p>
        </w:tc>
        <w:tc>
          <w:tcPr>
            <w:tcW w:w="6760" w:type="dxa"/>
            <w:vAlign w:val="bottom"/>
          </w:tcPr>
          <w:p>
            <w:pPr>
              <w:spacing w:after="0"/>
              <w:rPr>
                <w:sz w:val="24"/>
                <w:szCs w:val="24"/>
                <w:color w:val="auto"/>
              </w:rPr>
            </w:pP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43</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2.01.</w:t>
            </w:r>
          </w:p>
        </w:tc>
        <w:tc>
          <w:tcPr>
            <w:tcW w:w="6760" w:type="dxa"/>
            <w:vAlign w:val="bottom"/>
          </w:tcPr>
          <w:p>
            <w:pPr>
              <w:ind w:left="20"/>
              <w:spacing w:after="0"/>
              <w:rPr>
                <w:sz w:val="20"/>
                <w:szCs w:val="20"/>
                <w:color w:val="auto"/>
              </w:rPr>
            </w:pPr>
            <w:r>
              <w:rPr>
                <w:rFonts w:ascii="Arial" w:cs="Arial" w:eastAsia="Arial" w:hAnsi="Arial"/>
                <w:sz w:val="20"/>
                <w:szCs w:val="20"/>
                <w:color w:val="auto"/>
              </w:rPr>
              <w:t>Revolving Commitments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43</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2.02.  Loans and Borrowings.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44</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2.03.  Requests for Borrowings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2.04.</w:t>
            </w:r>
          </w:p>
        </w:tc>
        <w:tc>
          <w:tcPr>
            <w:tcW w:w="6760" w:type="dxa"/>
            <w:vAlign w:val="bottom"/>
          </w:tcPr>
          <w:p>
            <w:pPr>
              <w:ind w:left="20"/>
              <w:spacing w:after="0"/>
              <w:rPr>
                <w:sz w:val="20"/>
                <w:szCs w:val="20"/>
                <w:color w:val="auto"/>
              </w:rPr>
            </w:pPr>
            <w:r>
              <w:rPr>
                <w:rFonts w:ascii="Arial" w:cs="Arial" w:eastAsia="Arial" w:hAnsi="Arial"/>
                <w:sz w:val="20"/>
                <w:szCs w:val="20"/>
                <w:color w:val="auto"/>
              </w:rPr>
              <w:t>[Reserved].</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2.05.</w:t>
            </w:r>
          </w:p>
        </w:tc>
        <w:tc>
          <w:tcPr>
            <w:tcW w:w="6760" w:type="dxa"/>
            <w:vAlign w:val="bottom"/>
          </w:tcPr>
          <w:p>
            <w:pPr>
              <w:ind w:left="20"/>
              <w:spacing w:after="0"/>
              <w:rPr>
                <w:sz w:val="20"/>
                <w:szCs w:val="20"/>
                <w:color w:val="auto"/>
              </w:rPr>
            </w:pPr>
            <w:r>
              <w:rPr>
                <w:rFonts w:ascii="Arial" w:cs="Arial" w:eastAsia="Arial" w:hAnsi="Arial"/>
                <w:sz w:val="20"/>
                <w:szCs w:val="20"/>
                <w:color w:val="auto"/>
              </w:rPr>
              <w:t>[Reserved]</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2.06.</w:t>
            </w:r>
          </w:p>
        </w:tc>
        <w:tc>
          <w:tcPr>
            <w:tcW w:w="6760" w:type="dxa"/>
            <w:vAlign w:val="bottom"/>
          </w:tcPr>
          <w:p>
            <w:pPr>
              <w:ind w:left="20"/>
              <w:spacing w:after="0"/>
              <w:rPr>
                <w:sz w:val="20"/>
                <w:szCs w:val="20"/>
                <w:color w:val="auto"/>
              </w:rPr>
            </w:pPr>
            <w:r>
              <w:rPr>
                <w:rFonts w:ascii="Arial" w:cs="Arial" w:eastAsia="Arial" w:hAnsi="Arial"/>
                <w:sz w:val="20"/>
                <w:szCs w:val="20"/>
                <w:color w:val="auto"/>
              </w:rPr>
              <w:t>Letters of Credit.</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45</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2.07.  Funding of Borrowings.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50</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2.08.</w:t>
            </w:r>
          </w:p>
        </w:tc>
        <w:tc>
          <w:tcPr>
            <w:tcW w:w="6760" w:type="dxa"/>
            <w:vAlign w:val="bottom"/>
          </w:tcPr>
          <w:p>
            <w:pPr>
              <w:ind w:left="20"/>
              <w:spacing w:after="0"/>
              <w:rPr>
                <w:sz w:val="20"/>
                <w:szCs w:val="20"/>
                <w:color w:val="auto"/>
              </w:rPr>
            </w:pPr>
            <w:r>
              <w:rPr>
                <w:rFonts w:ascii="Arial" w:cs="Arial" w:eastAsia="Arial" w:hAnsi="Arial"/>
                <w:sz w:val="20"/>
                <w:szCs w:val="20"/>
                <w:color w:val="auto"/>
              </w:rPr>
              <w:t>Interest Elections.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51</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2.09.  Termination and Reduction of Commitments.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52</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2.10.  Repayment and Amortization of Loans; Evidence of Debt.</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53</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2.11.  Prepayment of Loans.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2.12.</w:t>
            </w:r>
          </w:p>
        </w:tc>
        <w:tc>
          <w:tcPr>
            <w:tcW w:w="6760" w:type="dxa"/>
            <w:vAlign w:val="bottom"/>
          </w:tcPr>
          <w:p>
            <w:pPr>
              <w:ind w:left="20"/>
              <w:spacing w:after="0"/>
              <w:rPr>
                <w:sz w:val="20"/>
                <w:szCs w:val="20"/>
                <w:color w:val="auto"/>
              </w:rPr>
            </w:pPr>
            <w:r>
              <w:rPr>
                <w:rFonts w:ascii="Arial" w:cs="Arial" w:eastAsia="Arial" w:hAnsi="Arial"/>
                <w:sz w:val="20"/>
                <w:szCs w:val="20"/>
                <w:color w:val="auto"/>
              </w:rPr>
              <w:t>Fees.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2.13.</w:t>
            </w:r>
          </w:p>
        </w:tc>
        <w:tc>
          <w:tcPr>
            <w:tcW w:w="6760" w:type="dxa"/>
            <w:vAlign w:val="bottom"/>
          </w:tcPr>
          <w:p>
            <w:pPr>
              <w:ind w:left="20"/>
              <w:spacing w:after="0"/>
              <w:rPr>
                <w:sz w:val="20"/>
                <w:szCs w:val="20"/>
                <w:color w:val="auto"/>
              </w:rPr>
            </w:pPr>
            <w:r>
              <w:rPr>
                <w:rFonts w:ascii="Arial" w:cs="Arial" w:eastAsia="Arial" w:hAnsi="Arial"/>
                <w:sz w:val="20"/>
                <w:szCs w:val="20"/>
                <w:color w:val="auto"/>
              </w:rPr>
              <w:t>Interest.</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55</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2.14.  Alternate Rate of Interest; Illegality.</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56</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2.15.</w:t>
            </w:r>
          </w:p>
        </w:tc>
        <w:tc>
          <w:tcPr>
            <w:tcW w:w="6760" w:type="dxa"/>
            <w:vAlign w:val="bottom"/>
          </w:tcPr>
          <w:p>
            <w:pPr>
              <w:ind w:left="20"/>
              <w:spacing w:after="0"/>
              <w:rPr>
                <w:sz w:val="20"/>
                <w:szCs w:val="20"/>
                <w:color w:val="auto"/>
              </w:rPr>
            </w:pPr>
            <w:r>
              <w:rPr>
                <w:rFonts w:ascii="Arial" w:cs="Arial" w:eastAsia="Arial" w:hAnsi="Arial"/>
                <w:sz w:val="20"/>
                <w:szCs w:val="20"/>
                <w:color w:val="auto"/>
              </w:rPr>
              <w:t>Increased Costs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58</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2.16.  Break Funding Payments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59</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2.17.  Withholding of Taxes; Gross-Up.</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60</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2.18.  Payments Generally; Allocation of Proceeds; Sharing of Setoffs.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64</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2.19.  Mitigation Obligations; Replacement of Lenders.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66</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2.20.</w:t>
            </w:r>
          </w:p>
        </w:tc>
        <w:tc>
          <w:tcPr>
            <w:tcW w:w="6760" w:type="dxa"/>
            <w:vAlign w:val="bottom"/>
          </w:tcPr>
          <w:p>
            <w:pPr>
              <w:ind w:left="20"/>
              <w:spacing w:after="0"/>
              <w:rPr>
                <w:sz w:val="20"/>
                <w:szCs w:val="20"/>
                <w:color w:val="auto"/>
              </w:rPr>
            </w:pPr>
            <w:r>
              <w:rPr>
                <w:rFonts w:ascii="Arial" w:cs="Arial" w:eastAsia="Arial" w:hAnsi="Arial"/>
                <w:sz w:val="20"/>
                <w:szCs w:val="20"/>
                <w:color w:val="auto"/>
              </w:rPr>
              <w:t>Defaulting Lenders.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67</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2.21.</w:t>
            </w:r>
          </w:p>
        </w:tc>
        <w:tc>
          <w:tcPr>
            <w:tcW w:w="6760" w:type="dxa"/>
            <w:vAlign w:val="bottom"/>
          </w:tcPr>
          <w:p>
            <w:pPr>
              <w:ind w:left="20"/>
              <w:spacing w:after="0"/>
              <w:rPr>
                <w:sz w:val="20"/>
                <w:szCs w:val="20"/>
                <w:color w:val="auto"/>
              </w:rPr>
            </w:pPr>
            <w:r>
              <w:rPr>
                <w:rFonts w:ascii="Arial" w:cs="Arial" w:eastAsia="Arial" w:hAnsi="Arial"/>
                <w:sz w:val="20"/>
                <w:szCs w:val="20"/>
                <w:color w:val="auto"/>
              </w:rPr>
              <w:t>Returned Payments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69</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2.22.  Banking Services and Swap Agreements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70</w:t>
            </w:r>
          </w:p>
        </w:tc>
      </w:tr>
      <w:tr>
        <w:trPr>
          <w:trHeight w:val="283"/>
        </w:trPr>
        <w:tc>
          <w:tcPr>
            <w:tcW w:w="8760" w:type="dxa"/>
            <w:vAlign w:val="bottom"/>
            <w:gridSpan w:val="2"/>
          </w:tcPr>
          <w:p>
            <w:pPr>
              <w:spacing w:after="0"/>
              <w:rPr>
                <w:sz w:val="20"/>
                <w:szCs w:val="20"/>
                <w:color w:val="auto"/>
              </w:rPr>
            </w:pPr>
            <w:r>
              <w:rPr>
                <w:rFonts w:ascii="Arial" w:cs="Arial" w:eastAsia="Arial" w:hAnsi="Arial"/>
                <w:sz w:val="20"/>
                <w:szCs w:val="20"/>
                <w:color w:val="auto"/>
              </w:rPr>
              <w:t>ARTICLE III Representations and Warranties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70</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3.01.</w:t>
            </w:r>
          </w:p>
        </w:tc>
        <w:tc>
          <w:tcPr>
            <w:tcW w:w="6760" w:type="dxa"/>
            <w:vAlign w:val="bottom"/>
          </w:tcPr>
          <w:p>
            <w:pPr>
              <w:ind w:left="20"/>
              <w:spacing w:after="0"/>
              <w:rPr>
                <w:sz w:val="20"/>
                <w:szCs w:val="20"/>
                <w:color w:val="auto"/>
              </w:rPr>
            </w:pPr>
            <w:r>
              <w:rPr>
                <w:rFonts w:ascii="Arial" w:cs="Arial" w:eastAsia="Arial" w:hAnsi="Arial"/>
                <w:sz w:val="20"/>
                <w:szCs w:val="20"/>
                <w:color w:val="auto"/>
              </w:rPr>
              <w:t>Organization; Powers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70</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3.02.</w:t>
            </w:r>
          </w:p>
        </w:tc>
        <w:tc>
          <w:tcPr>
            <w:tcW w:w="6760" w:type="dxa"/>
            <w:vAlign w:val="bottom"/>
          </w:tcPr>
          <w:p>
            <w:pPr>
              <w:spacing w:after="0"/>
              <w:rPr>
                <w:sz w:val="20"/>
                <w:szCs w:val="20"/>
                <w:color w:val="auto"/>
              </w:rPr>
            </w:pPr>
            <w:r>
              <w:rPr>
                <w:rFonts w:ascii="Arial" w:cs="Arial" w:eastAsia="Arial" w:hAnsi="Arial"/>
                <w:sz w:val="20"/>
                <w:szCs w:val="20"/>
                <w:color w:val="auto"/>
              </w:rPr>
              <w:t>Authorization; Enforceability</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70</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3.03.  Governmental Approvals; No Conflicts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71</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3.04.  Financial Condition; No Material Adverse Change.</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71</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3.05.</w:t>
            </w:r>
          </w:p>
        </w:tc>
        <w:tc>
          <w:tcPr>
            <w:tcW w:w="6760" w:type="dxa"/>
            <w:vAlign w:val="bottom"/>
          </w:tcPr>
          <w:p>
            <w:pPr>
              <w:ind w:left="20"/>
              <w:spacing w:after="0"/>
              <w:rPr>
                <w:sz w:val="20"/>
                <w:szCs w:val="20"/>
                <w:color w:val="auto"/>
              </w:rPr>
            </w:pPr>
            <w:r>
              <w:rPr>
                <w:rFonts w:ascii="Arial" w:cs="Arial" w:eastAsia="Arial" w:hAnsi="Arial"/>
                <w:sz w:val="20"/>
                <w:szCs w:val="20"/>
                <w:color w:val="auto"/>
              </w:rPr>
              <w:t>Properties, etc.</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71</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3.06.  Litigation and Environmental Matters.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72</w:t>
            </w:r>
          </w:p>
        </w:tc>
      </w:tr>
      <w:tr>
        <w:trPr>
          <w:trHeight w:val="284"/>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3.07.  Compliance with Laws and Agreements; No Default</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72</w:t>
            </w:r>
          </w:p>
        </w:tc>
      </w:tr>
      <w:tr>
        <w:trPr>
          <w:trHeight w:val="283"/>
        </w:trPr>
        <w:tc>
          <w:tcPr>
            <w:tcW w:w="8760" w:type="dxa"/>
            <w:vAlign w:val="bottom"/>
            <w:gridSpan w:val="2"/>
          </w:tcPr>
          <w:p>
            <w:pPr>
              <w:ind w:left="540"/>
              <w:spacing w:after="0"/>
              <w:rPr>
                <w:sz w:val="20"/>
                <w:szCs w:val="20"/>
                <w:color w:val="auto"/>
              </w:rPr>
            </w:pPr>
            <w:r>
              <w:rPr>
                <w:rFonts w:ascii="Arial" w:cs="Arial" w:eastAsia="Arial" w:hAnsi="Arial"/>
                <w:sz w:val="20"/>
                <w:szCs w:val="20"/>
                <w:color w:val="auto"/>
              </w:rPr>
              <w:t>SECTION 3.08.  Investment Company Status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72</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3.09.</w:t>
            </w:r>
          </w:p>
        </w:tc>
        <w:tc>
          <w:tcPr>
            <w:tcW w:w="6760" w:type="dxa"/>
            <w:vAlign w:val="bottom"/>
          </w:tcPr>
          <w:p>
            <w:pPr>
              <w:ind w:left="20"/>
              <w:spacing w:after="0"/>
              <w:rPr>
                <w:sz w:val="20"/>
                <w:szCs w:val="20"/>
                <w:color w:val="auto"/>
              </w:rPr>
            </w:pPr>
            <w:r>
              <w:rPr>
                <w:rFonts w:ascii="Arial" w:cs="Arial" w:eastAsia="Arial" w:hAnsi="Arial"/>
                <w:sz w:val="20"/>
                <w:szCs w:val="20"/>
                <w:color w:val="auto"/>
              </w:rPr>
              <w:t>Taxes</w:t>
            </w:r>
          </w:p>
        </w:tc>
        <w:tc>
          <w:tcPr>
            <w:tcW w:w="1820" w:type="dxa"/>
            <w:vAlign w:val="bottom"/>
          </w:tcPr>
          <w:p>
            <w:pPr>
              <w:ind w:left="1640"/>
              <w:spacing w:after="0"/>
              <w:rPr>
                <w:sz w:val="20"/>
                <w:szCs w:val="20"/>
                <w:color w:val="auto"/>
              </w:rPr>
            </w:pPr>
            <w:r>
              <w:rPr>
                <w:rFonts w:ascii="Arial" w:cs="Arial" w:eastAsia="Arial" w:hAnsi="Arial"/>
                <w:sz w:val="18"/>
                <w:szCs w:val="18"/>
                <w:color w:val="auto"/>
                <w:w w:val="79"/>
              </w:rPr>
              <w:t>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8" w:right="339" w:bottom="399"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740334942</w:t>
      </w:r>
    </w:p>
    <w:p>
      <w:pPr>
        <w:sectPr>
          <w:pgSz w:w="11900" w:h="16838" w:orient="portrait"/>
          <w:cols w:equalWidth="0" w:num="1">
            <w:col w:w="11240"/>
          </w:cols>
          <w:pgMar w:left="320" w:top="118" w:right="339" w:bottom="399"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2000" w:type="dxa"/>
            <w:vAlign w:val="bottom"/>
          </w:tcPr>
          <w:p>
            <w:pPr>
              <w:ind w:left="540"/>
              <w:spacing w:after="0"/>
              <w:rPr>
                <w:sz w:val="20"/>
                <w:szCs w:val="20"/>
                <w:color w:val="auto"/>
              </w:rPr>
            </w:pPr>
            <w:r>
              <w:rPr>
                <w:rFonts w:ascii="Arial" w:cs="Arial" w:eastAsia="Arial" w:hAnsi="Arial"/>
                <w:sz w:val="20"/>
                <w:szCs w:val="20"/>
                <w:color w:val="auto"/>
              </w:rPr>
              <w:t>SECTION 3.10.</w:t>
            </w:r>
          </w:p>
        </w:tc>
        <w:tc>
          <w:tcPr>
            <w:tcW w:w="6680" w:type="dxa"/>
            <w:vAlign w:val="bottom"/>
          </w:tcPr>
          <w:p>
            <w:pPr>
              <w:ind w:left="20"/>
              <w:spacing w:after="0"/>
              <w:rPr>
                <w:sz w:val="20"/>
                <w:szCs w:val="20"/>
                <w:color w:val="auto"/>
              </w:rPr>
            </w:pPr>
            <w:r>
              <w:rPr>
                <w:rFonts w:ascii="Arial" w:cs="Arial" w:eastAsia="Arial" w:hAnsi="Arial"/>
                <w:sz w:val="20"/>
                <w:szCs w:val="20"/>
                <w:color w:val="auto"/>
              </w:rPr>
              <w:t>ERISA</w:t>
            </w:r>
          </w:p>
        </w:tc>
        <w:tc>
          <w:tcPr>
            <w:tcW w:w="1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3.11.</w:t>
            </w:r>
          </w:p>
        </w:tc>
        <w:tc>
          <w:tcPr>
            <w:tcW w:w="6680" w:type="dxa"/>
            <w:vAlign w:val="bottom"/>
          </w:tcPr>
          <w:p>
            <w:pPr>
              <w:spacing w:after="0"/>
              <w:rPr>
                <w:sz w:val="20"/>
                <w:szCs w:val="20"/>
                <w:color w:val="auto"/>
              </w:rPr>
            </w:pPr>
            <w:r>
              <w:rPr>
                <w:rFonts w:ascii="Arial" w:cs="Arial" w:eastAsia="Arial" w:hAnsi="Arial"/>
                <w:sz w:val="20"/>
                <w:szCs w:val="20"/>
                <w:color w:val="auto"/>
              </w:rPr>
              <w:t>Disclosure</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3.12.</w:t>
            </w:r>
          </w:p>
        </w:tc>
        <w:tc>
          <w:tcPr>
            <w:tcW w:w="6680" w:type="dxa"/>
            <w:vAlign w:val="bottom"/>
          </w:tcPr>
          <w:p>
            <w:pPr>
              <w:ind w:left="20"/>
              <w:spacing w:after="0"/>
              <w:rPr>
                <w:sz w:val="20"/>
                <w:szCs w:val="20"/>
                <w:color w:val="auto"/>
              </w:rPr>
            </w:pPr>
            <w:r>
              <w:rPr>
                <w:rFonts w:ascii="Arial" w:cs="Arial" w:eastAsia="Arial" w:hAnsi="Arial"/>
                <w:sz w:val="20"/>
                <w:szCs w:val="20"/>
                <w:color w:val="auto"/>
              </w:rPr>
              <w:t>Reserved</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3.13.</w:t>
            </w:r>
          </w:p>
        </w:tc>
        <w:tc>
          <w:tcPr>
            <w:tcW w:w="6680" w:type="dxa"/>
            <w:vAlign w:val="bottom"/>
          </w:tcPr>
          <w:p>
            <w:pPr>
              <w:ind w:left="20"/>
              <w:spacing w:after="0"/>
              <w:rPr>
                <w:sz w:val="20"/>
                <w:szCs w:val="20"/>
                <w:color w:val="auto"/>
              </w:rPr>
            </w:pPr>
            <w:r>
              <w:rPr>
                <w:rFonts w:ascii="Arial" w:cs="Arial" w:eastAsia="Arial" w:hAnsi="Arial"/>
                <w:sz w:val="20"/>
                <w:szCs w:val="20"/>
                <w:color w:val="auto"/>
              </w:rPr>
              <w:t>Solvency</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3.14.</w:t>
            </w:r>
          </w:p>
        </w:tc>
        <w:tc>
          <w:tcPr>
            <w:tcW w:w="6680" w:type="dxa"/>
            <w:vAlign w:val="bottom"/>
          </w:tcPr>
          <w:p>
            <w:pPr>
              <w:ind w:left="20"/>
              <w:spacing w:after="0"/>
              <w:rPr>
                <w:sz w:val="20"/>
                <w:szCs w:val="20"/>
                <w:color w:val="auto"/>
              </w:rPr>
            </w:pPr>
            <w:r>
              <w:rPr>
                <w:rFonts w:ascii="Arial" w:cs="Arial" w:eastAsia="Arial" w:hAnsi="Arial"/>
                <w:sz w:val="20"/>
                <w:szCs w:val="20"/>
                <w:color w:val="auto"/>
              </w:rPr>
              <w:t>Insurance</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3.15.  Capitalization and Subsidiaries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3.16.  Security Interest in Collateral</w:t>
            </w:r>
          </w:p>
        </w:tc>
        <w:tc>
          <w:tcPr>
            <w:tcW w:w="1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3.17.</w:t>
            </w:r>
          </w:p>
        </w:tc>
        <w:tc>
          <w:tcPr>
            <w:tcW w:w="6680" w:type="dxa"/>
            <w:vAlign w:val="bottom"/>
          </w:tcPr>
          <w:p>
            <w:pPr>
              <w:ind w:left="20"/>
              <w:spacing w:after="0"/>
              <w:rPr>
                <w:sz w:val="20"/>
                <w:szCs w:val="20"/>
                <w:color w:val="auto"/>
              </w:rPr>
            </w:pPr>
            <w:r>
              <w:rPr>
                <w:rFonts w:ascii="Arial" w:cs="Arial" w:eastAsia="Arial" w:hAnsi="Arial"/>
                <w:sz w:val="20"/>
                <w:szCs w:val="20"/>
                <w:color w:val="auto"/>
              </w:rPr>
              <w:t>Employment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3.18.</w:t>
            </w:r>
          </w:p>
        </w:tc>
        <w:tc>
          <w:tcPr>
            <w:tcW w:w="6680" w:type="dxa"/>
            <w:vAlign w:val="bottom"/>
          </w:tcPr>
          <w:p>
            <w:pPr>
              <w:ind w:left="20"/>
              <w:spacing w:after="0"/>
              <w:rPr>
                <w:sz w:val="20"/>
                <w:szCs w:val="20"/>
                <w:color w:val="auto"/>
              </w:rPr>
            </w:pPr>
            <w:r>
              <w:rPr>
                <w:rFonts w:ascii="Arial" w:cs="Arial" w:eastAsia="Arial" w:hAnsi="Arial"/>
                <w:sz w:val="20"/>
                <w:szCs w:val="20"/>
                <w:color w:val="auto"/>
              </w:rPr>
              <w:t>Margin Regulations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3.19.</w:t>
            </w:r>
          </w:p>
        </w:tc>
        <w:tc>
          <w:tcPr>
            <w:tcW w:w="6680" w:type="dxa"/>
            <w:vAlign w:val="bottom"/>
          </w:tcPr>
          <w:p>
            <w:pPr>
              <w:ind w:left="20"/>
              <w:spacing w:after="0"/>
              <w:rPr>
                <w:sz w:val="20"/>
                <w:szCs w:val="20"/>
                <w:color w:val="auto"/>
              </w:rPr>
            </w:pPr>
            <w:r>
              <w:rPr>
                <w:rFonts w:ascii="Arial" w:cs="Arial" w:eastAsia="Arial" w:hAnsi="Arial"/>
                <w:sz w:val="20"/>
                <w:szCs w:val="20"/>
                <w:color w:val="auto"/>
              </w:rPr>
              <w:t>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3.20.  No Burdensome Restrictions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3.21.  Anti-Corruption Laws and Sanctions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3.22.  EEA Financial Institutions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3.23.  Plan Assets; Prohibited Transactions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3.24.</w:t>
            </w:r>
          </w:p>
        </w:tc>
        <w:tc>
          <w:tcPr>
            <w:tcW w:w="6680" w:type="dxa"/>
            <w:vAlign w:val="bottom"/>
          </w:tcPr>
          <w:p>
            <w:pPr>
              <w:ind w:left="20"/>
              <w:spacing w:after="0"/>
              <w:rPr>
                <w:sz w:val="20"/>
                <w:szCs w:val="20"/>
                <w:color w:val="auto"/>
              </w:rPr>
            </w:pPr>
            <w:r>
              <w:rPr>
                <w:rFonts w:ascii="Arial" w:cs="Arial" w:eastAsia="Arial" w:hAnsi="Arial"/>
                <w:sz w:val="20"/>
                <w:szCs w:val="20"/>
                <w:color w:val="auto"/>
              </w:rPr>
              <w:t>Common Enterprise</w:t>
            </w: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2000" w:type="dxa"/>
            <w:vAlign w:val="bottom"/>
          </w:tcPr>
          <w:p>
            <w:pPr>
              <w:spacing w:after="0"/>
              <w:rPr>
                <w:sz w:val="20"/>
                <w:szCs w:val="20"/>
                <w:color w:val="auto"/>
              </w:rPr>
            </w:pPr>
            <w:r>
              <w:rPr>
                <w:rFonts w:ascii="Arial" w:cs="Arial" w:eastAsia="Arial" w:hAnsi="Arial"/>
                <w:sz w:val="20"/>
                <w:szCs w:val="20"/>
                <w:color w:val="auto"/>
                <w:w w:val="94"/>
              </w:rPr>
              <w:t>ARTICLE IV Conditions</w:t>
            </w:r>
          </w:p>
        </w:tc>
        <w:tc>
          <w:tcPr>
            <w:tcW w:w="66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4.01.</w:t>
            </w:r>
          </w:p>
        </w:tc>
        <w:tc>
          <w:tcPr>
            <w:tcW w:w="6680" w:type="dxa"/>
            <w:vAlign w:val="bottom"/>
          </w:tcPr>
          <w:p>
            <w:pPr>
              <w:ind w:left="20"/>
              <w:spacing w:after="0"/>
              <w:rPr>
                <w:sz w:val="20"/>
                <w:szCs w:val="20"/>
                <w:color w:val="auto"/>
              </w:rPr>
            </w:pPr>
            <w:r>
              <w:rPr>
                <w:rFonts w:ascii="Arial" w:cs="Arial" w:eastAsia="Arial" w:hAnsi="Arial"/>
                <w:sz w:val="20"/>
                <w:szCs w:val="20"/>
                <w:color w:val="auto"/>
              </w:rPr>
              <w:t>Effective Date</w:t>
            </w:r>
          </w:p>
        </w:tc>
        <w:tc>
          <w:tcPr>
            <w:tcW w:w="1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4.02.</w:t>
            </w:r>
          </w:p>
        </w:tc>
        <w:tc>
          <w:tcPr>
            <w:tcW w:w="6680" w:type="dxa"/>
            <w:vAlign w:val="bottom"/>
          </w:tcPr>
          <w:p>
            <w:pPr>
              <w:ind w:left="20"/>
              <w:spacing w:after="0"/>
              <w:rPr>
                <w:sz w:val="20"/>
                <w:szCs w:val="20"/>
                <w:color w:val="auto"/>
              </w:rPr>
            </w:pPr>
            <w:r>
              <w:rPr>
                <w:rFonts w:ascii="Arial" w:cs="Arial" w:eastAsia="Arial" w:hAnsi="Arial"/>
                <w:sz w:val="20"/>
                <w:szCs w:val="20"/>
                <w:color w:val="auto"/>
              </w:rPr>
              <w:t>Each Credit Event</w:t>
            </w:r>
          </w:p>
        </w:tc>
        <w:tc>
          <w:tcPr>
            <w:tcW w:w="1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83"/>
        </w:trPr>
        <w:tc>
          <w:tcPr>
            <w:tcW w:w="8680" w:type="dxa"/>
            <w:vAlign w:val="bottom"/>
            <w:gridSpan w:val="2"/>
          </w:tcPr>
          <w:p>
            <w:pPr>
              <w:spacing w:after="0"/>
              <w:rPr>
                <w:sz w:val="20"/>
                <w:szCs w:val="20"/>
                <w:color w:val="auto"/>
              </w:rPr>
            </w:pPr>
            <w:r>
              <w:rPr>
                <w:rFonts w:ascii="Arial" w:cs="Arial" w:eastAsia="Arial" w:hAnsi="Arial"/>
                <w:sz w:val="20"/>
                <w:szCs w:val="20"/>
                <w:color w:val="auto"/>
              </w:rPr>
              <w:t>ARTICLE V Affirmative Covenants</w:t>
            </w:r>
          </w:p>
        </w:tc>
        <w:tc>
          <w:tcPr>
            <w:tcW w:w="1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5.01.  Financial Statements and Other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5.02.  Notices of Material Events</w:t>
            </w:r>
          </w:p>
        </w:tc>
        <w:tc>
          <w:tcPr>
            <w:tcW w:w="19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5.03.  Existence; Conduct of Business</w:t>
            </w:r>
          </w:p>
        </w:tc>
        <w:tc>
          <w:tcPr>
            <w:tcW w:w="1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5.04.  Payment of Obligations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5.05.  Maintenance of Properties</w:t>
            </w:r>
          </w:p>
        </w:tc>
        <w:tc>
          <w:tcPr>
            <w:tcW w:w="1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5.06.  Books and Records; Inspection Rights</w:t>
            </w:r>
          </w:p>
        </w:tc>
        <w:tc>
          <w:tcPr>
            <w:tcW w:w="19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5.07.  Compliance with Laws and Material Contractual Obligations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5.08.</w:t>
            </w:r>
          </w:p>
        </w:tc>
        <w:tc>
          <w:tcPr>
            <w:tcW w:w="6680" w:type="dxa"/>
            <w:vAlign w:val="bottom"/>
          </w:tcPr>
          <w:p>
            <w:pPr>
              <w:ind w:left="20"/>
              <w:spacing w:after="0"/>
              <w:rPr>
                <w:sz w:val="20"/>
                <w:szCs w:val="20"/>
                <w:color w:val="auto"/>
              </w:rPr>
            </w:pPr>
            <w:r>
              <w:rPr>
                <w:rFonts w:ascii="Arial" w:cs="Arial" w:eastAsia="Arial" w:hAnsi="Arial"/>
                <w:sz w:val="20"/>
                <w:szCs w:val="20"/>
                <w:color w:val="auto"/>
              </w:rPr>
              <w:t>Use of Proceeds.</w:t>
            </w:r>
          </w:p>
        </w:tc>
        <w:tc>
          <w:tcPr>
            <w:tcW w:w="1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5.09.  Accuracy of Information</w:t>
            </w:r>
          </w:p>
        </w:tc>
        <w:tc>
          <w:tcPr>
            <w:tcW w:w="1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5.10.</w:t>
            </w:r>
          </w:p>
        </w:tc>
        <w:tc>
          <w:tcPr>
            <w:tcW w:w="6680" w:type="dxa"/>
            <w:vAlign w:val="bottom"/>
          </w:tcPr>
          <w:p>
            <w:pPr>
              <w:ind w:left="20"/>
              <w:spacing w:after="0"/>
              <w:rPr>
                <w:sz w:val="20"/>
                <w:szCs w:val="20"/>
                <w:color w:val="auto"/>
              </w:rPr>
            </w:pPr>
            <w:r>
              <w:rPr>
                <w:rFonts w:ascii="Arial" w:cs="Arial" w:eastAsia="Arial" w:hAnsi="Arial"/>
                <w:sz w:val="20"/>
                <w:szCs w:val="20"/>
                <w:color w:val="auto"/>
              </w:rPr>
              <w:t>Insurance</w:t>
            </w:r>
          </w:p>
        </w:tc>
        <w:tc>
          <w:tcPr>
            <w:tcW w:w="1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5.11.  Casualty and Condemnation</w:t>
            </w:r>
          </w:p>
        </w:tc>
        <w:tc>
          <w:tcPr>
            <w:tcW w:w="1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5.12.</w:t>
            </w:r>
          </w:p>
        </w:tc>
        <w:tc>
          <w:tcPr>
            <w:tcW w:w="6680" w:type="dxa"/>
            <w:vAlign w:val="bottom"/>
          </w:tcPr>
          <w:p>
            <w:pPr>
              <w:ind w:left="20"/>
              <w:spacing w:after="0"/>
              <w:rPr>
                <w:sz w:val="20"/>
                <w:szCs w:val="20"/>
                <w:color w:val="auto"/>
              </w:rPr>
            </w:pPr>
            <w:r>
              <w:rPr>
                <w:rFonts w:ascii="Arial" w:cs="Arial" w:eastAsia="Arial" w:hAnsi="Arial"/>
                <w:sz w:val="20"/>
                <w:szCs w:val="20"/>
                <w:color w:val="auto"/>
              </w:rPr>
              <w:t>Depository Banks</w:t>
            </w:r>
          </w:p>
        </w:tc>
        <w:tc>
          <w:tcPr>
            <w:tcW w:w="1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5.13.  Additional Collateral; Further Assurances.</w:t>
            </w:r>
          </w:p>
        </w:tc>
        <w:tc>
          <w:tcPr>
            <w:tcW w:w="1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5.14.</w:t>
            </w:r>
          </w:p>
        </w:tc>
        <w:tc>
          <w:tcPr>
            <w:tcW w:w="6680" w:type="dxa"/>
            <w:vAlign w:val="bottom"/>
          </w:tcPr>
          <w:p>
            <w:pPr>
              <w:ind w:left="20"/>
              <w:spacing w:after="0"/>
              <w:rPr>
                <w:sz w:val="20"/>
                <w:szCs w:val="20"/>
                <w:color w:val="auto"/>
              </w:rPr>
            </w:pPr>
            <w:r>
              <w:rPr>
                <w:rFonts w:ascii="Arial" w:cs="Arial" w:eastAsia="Arial" w:hAnsi="Arial"/>
                <w:sz w:val="20"/>
                <w:szCs w:val="20"/>
                <w:color w:val="auto"/>
              </w:rPr>
              <w:t>Post-Closing Obligations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4"/>
        </w:trPr>
        <w:tc>
          <w:tcPr>
            <w:tcW w:w="8680" w:type="dxa"/>
            <w:vAlign w:val="bottom"/>
            <w:gridSpan w:val="2"/>
          </w:tcPr>
          <w:p>
            <w:pPr>
              <w:spacing w:after="0"/>
              <w:rPr>
                <w:sz w:val="20"/>
                <w:szCs w:val="20"/>
                <w:color w:val="auto"/>
              </w:rPr>
            </w:pPr>
            <w:r>
              <w:rPr>
                <w:rFonts w:ascii="Arial" w:cs="Arial" w:eastAsia="Arial" w:hAnsi="Arial"/>
                <w:sz w:val="20"/>
                <w:szCs w:val="20"/>
                <w:color w:val="auto"/>
              </w:rPr>
              <w:t>ARTICLE VI Negative Covenants</w:t>
            </w: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6.01.</w:t>
            </w:r>
          </w:p>
        </w:tc>
        <w:tc>
          <w:tcPr>
            <w:tcW w:w="6680" w:type="dxa"/>
            <w:vAlign w:val="bottom"/>
          </w:tcPr>
          <w:p>
            <w:pPr>
              <w:ind w:left="20"/>
              <w:spacing w:after="0"/>
              <w:rPr>
                <w:sz w:val="20"/>
                <w:szCs w:val="20"/>
                <w:color w:val="auto"/>
              </w:rPr>
            </w:pPr>
            <w:r>
              <w:rPr>
                <w:rFonts w:ascii="Arial" w:cs="Arial" w:eastAsia="Arial" w:hAnsi="Arial"/>
                <w:sz w:val="20"/>
                <w:szCs w:val="20"/>
                <w:color w:val="auto"/>
              </w:rPr>
              <w:t>Indebtedness</w:t>
            </w:r>
          </w:p>
        </w:tc>
        <w:tc>
          <w:tcPr>
            <w:tcW w:w="1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6.02.</w:t>
            </w:r>
          </w:p>
        </w:tc>
        <w:tc>
          <w:tcPr>
            <w:tcW w:w="6680" w:type="dxa"/>
            <w:vAlign w:val="bottom"/>
          </w:tcPr>
          <w:p>
            <w:pPr>
              <w:ind w:left="20"/>
              <w:spacing w:after="0"/>
              <w:rPr>
                <w:sz w:val="20"/>
                <w:szCs w:val="20"/>
                <w:color w:val="auto"/>
              </w:rPr>
            </w:pPr>
            <w:r>
              <w:rPr>
                <w:rFonts w:ascii="Arial" w:cs="Arial" w:eastAsia="Arial" w:hAnsi="Arial"/>
                <w:sz w:val="20"/>
                <w:szCs w:val="20"/>
                <w:color w:val="auto"/>
              </w:rPr>
              <w:t>Liens</w:t>
            </w:r>
          </w:p>
        </w:tc>
        <w:tc>
          <w:tcPr>
            <w:tcW w:w="1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83"/>
        </w:trPr>
        <w:tc>
          <w:tcPr>
            <w:tcW w:w="2000" w:type="dxa"/>
            <w:vAlign w:val="bottom"/>
          </w:tcPr>
          <w:p>
            <w:pPr>
              <w:ind w:left="540"/>
              <w:spacing w:after="0"/>
              <w:rPr>
                <w:sz w:val="20"/>
                <w:szCs w:val="20"/>
                <w:color w:val="auto"/>
              </w:rPr>
            </w:pPr>
            <w:r>
              <w:rPr>
                <w:rFonts w:ascii="Arial" w:cs="Arial" w:eastAsia="Arial" w:hAnsi="Arial"/>
                <w:sz w:val="20"/>
                <w:szCs w:val="20"/>
                <w:color w:val="auto"/>
              </w:rPr>
              <w:t>SECTION 6.03.</w:t>
            </w:r>
          </w:p>
        </w:tc>
        <w:tc>
          <w:tcPr>
            <w:tcW w:w="6680" w:type="dxa"/>
            <w:vAlign w:val="bottom"/>
          </w:tcPr>
          <w:p>
            <w:pPr>
              <w:ind w:left="20"/>
              <w:spacing w:after="0"/>
              <w:rPr>
                <w:sz w:val="20"/>
                <w:szCs w:val="20"/>
                <w:color w:val="auto"/>
              </w:rPr>
            </w:pPr>
            <w:r>
              <w:rPr>
                <w:rFonts w:ascii="Arial" w:cs="Arial" w:eastAsia="Arial" w:hAnsi="Arial"/>
                <w:sz w:val="20"/>
                <w:szCs w:val="20"/>
                <w:color w:val="auto"/>
              </w:rPr>
              <w:t>Fundamental Changes.</w:t>
            </w:r>
          </w:p>
        </w:tc>
        <w:tc>
          <w:tcPr>
            <w:tcW w:w="1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6.04.  Investments, Loans, Advances, Guarantees and Acquisitions</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6.05.</w:t>
            </w:r>
          </w:p>
        </w:tc>
        <w:tc>
          <w:tcPr>
            <w:tcW w:w="6680" w:type="dxa"/>
            <w:vAlign w:val="bottom"/>
          </w:tcPr>
          <w:p>
            <w:pPr>
              <w:spacing w:after="0"/>
              <w:rPr>
                <w:sz w:val="20"/>
                <w:szCs w:val="20"/>
                <w:color w:val="auto"/>
              </w:rPr>
            </w:pPr>
            <w:r>
              <w:rPr>
                <w:rFonts w:ascii="Arial" w:cs="Arial" w:eastAsia="Arial" w:hAnsi="Arial"/>
                <w:sz w:val="20"/>
                <w:szCs w:val="20"/>
                <w:color w:val="auto"/>
              </w:rPr>
              <w:t>Asset Sales</w:t>
            </w:r>
          </w:p>
        </w:tc>
        <w:tc>
          <w:tcPr>
            <w:tcW w:w="1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6.06.  Sale and Leaseback Transactions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6.07.</w:t>
            </w:r>
          </w:p>
        </w:tc>
        <w:tc>
          <w:tcPr>
            <w:tcW w:w="6680" w:type="dxa"/>
            <w:vAlign w:val="bottom"/>
          </w:tcPr>
          <w:p>
            <w:pPr>
              <w:ind w:left="20"/>
              <w:spacing w:after="0"/>
              <w:rPr>
                <w:sz w:val="20"/>
                <w:szCs w:val="20"/>
                <w:color w:val="auto"/>
              </w:rPr>
            </w:pPr>
            <w:r>
              <w:rPr>
                <w:rFonts w:ascii="Arial" w:cs="Arial" w:eastAsia="Arial" w:hAnsi="Arial"/>
                <w:sz w:val="20"/>
                <w:szCs w:val="20"/>
                <w:color w:val="auto"/>
              </w:rPr>
              <w:t>Swap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4"/>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6.08.  Restricted Payments; Payments of Subordinated Indebtedness.</w:t>
            </w:r>
          </w:p>
        </w:tc>
        <w:tc>
          <w:tcPr>
            <w:tcW w:w="1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3"/>
        </w:trPr>
        <w:tc>
          <w:tcPr>
            <w:tcW w:w="8680" w:type="dxa"/>
            <w:vAlign w:val="bottom"/>
            <w:gridSpan w:val="2"/>
          </w:tcPr>
          <w:p>
            <w:pPr>
              <w:ind w:left="540"/>
              <w:spacing w:after="0"/>
              <w:rPr>
                <w:sz w:val="20"/>
                <w:szCs w:val="20"/>
                <w:color w:val="auto"/>
              </w:rPr>
            </w:pPr>
            <w:r>
              <w:rPr>
                <w:rFonts w:ascii="Arial" w:cs="Arial" w:eastAsia="Arial" w:hAnsi="Arial"/>
                <w:sz w:val="20"/>
                <w:szCs w:val="20"/>
                <w:color w:val="auto"/>
              </w:rPr>
              <w:t>SECTION 6.09.  Transactions with Affiliates</w:t>
            </w:r>
          </w:p>
        </w:tc>
        <w:tc>
          <w:tcPr>
            <w:tcW w:w="1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84"/>
        </w:trPr>
        <w:tc>
          <w:tcPr>
            <w:tcW w:w="2000" w:type="dxa"/>
            <w:vAlign w:val="bottom"/>
          </w:tcPr>
          <w:p>
            <w:pPr>
              <w:ind w:left="540"/>
              <w:spacing w:after="0"/>
              <w:rPr>
                <w:sz w:val="20"/>
                <w:szCs w:val="20"/>
                <w:color w:val="auto"/>
              </w:rPr>
            </w:pPr>
            <w:r>
              <w:rPr>
                <w:rFonts w:ascii="Arial" w:cs="Arial" w:eastAsia="Arial" w:hAnsi="Arial"/>
                <w:sz w:val="20"/>
                <w:szCs w:val="20"/>
                <w:color w:val="auto"/>
              </w:rPr>
              <w:t>SECTION 6.10.</w:t>
            </w:r>
          </w:p>
        </w:tc>
        <w:tc>
          <w:tcPr>
            <w:tcW w:w="6680" w:type="dxa"/>
            <w:vAlign w:val="bottom"/>
          </w:tcPr>
          <w:p>
            <w:pPr>
              <w:ind w:left="20"/>
              <w:spacing w:after="0"/>
              <w:rPr>
                <w:sz w:val="20"/>
                <w:szCs w:val="20"/>
                <w:color w:val="auto"/>
              </w:rPr>
            </w:pPr>
            <w:r>
              <w:rPr>
                <w:rFonts w:ascii="Arial" w:cs="Arial" w:eastAsia="Arial" w:hAnsi="Arial"/>
                <w:sz w:val="20"/>
                <w:szCs w:val="20"/>
                <w:color w:val="auto"/>
              </w:rPr>
              <w:t>Restrictive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8" w:right="339" w:bottom="399"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740334942</w:t>
      </w:r>
    </w:p>
    <w:p>
      <w:pPr>
        <w:sectPr>
          <w:pgSz w:w="11900" w:h="16838" w:orient="portrait"/>
          <w:cols w:equalWidth="0" w:num="1">
            <w:col w:w="11240"/>
          </w:cols>
          <w:pgMar w:left="320" w:top="118" w:right="339" w:bottom="399"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6.11.  Amendment of Material Documents</w:t>
            </w:r>
          </w:p>
        </w:tc>
        <w:tc>
          <w:tcPr>
            <w:tcW w:w="1460" w:type="dxa"/>
            <w:vAlign w:val="bottom"/>
          </w:tcPr>
          <w:p>
            <w:pPr>
              <w:ind w:left="1200"/>
              <w:spacing w:after="0"/>
              <w:rPr>
                <w:sz w:val="20"/>
                <w:szCs w:val="20"/>
                <w:color w:val="auto"/>
              </w:rPr>
            </w:pPr>
            <w:r>
              <w:rPr>
                <w:rFonts w:ascii="Arial" w:cs="Arial" w:eastAsia="Arial" w:hAnsi="Arial"/>
                <w:sz w:val="18"/>
                <w:szCs w:val="18"/>
                <w:color w:val="auto"/>
              </w:rPr>
              <w:t>95</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6.12.</w:t>
            </w:r>
          </w:p>
        </w:tc>
        <w:tc>
          <w:tcPr>
            <w:tcW w:w="7240" w:type="dxa"/>
            <w:vAlign w:val="bottom"/>
          </w:tcPr>
          <w:p>
            <w:pPr>
              <w:ind w:left="60"/>
              <w:spacing w:after="0"/>
              <w:rPr>
                <w:sz w:val="20"/>
                <w:szCs w:val="20"/>
                <w:color w:val="auto"/>
              </w:rPr>
            </w:pPr>
            <w:r>
              <w:rPr>
                <w:rFonts w:ascii="Arial" w:cs="Arial" w:eastAsia="Arial" w:hAnsi="Arial"/>
                <w:sz w:val="20"/>
                <w:szCs w:val="20"/>
                <w:color w:val="auto"/>
              </w:rPr>
              <w:t>Financial Covenant</w:t>
            </w:r>
          </w:p>
        </w:tc>
        <w:tc>
          <w:tcPr>
            <w:tcW w:w="1460" w:type="dxa"/>
            <w:vAlign w:val="bottom"/>
          </w:tcPr>
          <w:p>
            <w:pPr>
              <w:ind w:left="1200"/>
              <w:spacing w:after="0"/>
              <w:rPr>
                <w:sz w:val="20"/>
                <w:szCs w:val="20"/>
                <w:color w:val="auto"/>
              </w:rPr>
            </w:pPr>
            <w:r>
              <w:rPr>
                <w:rFonts w:ascii="Arial" w:cs="Arial" w:eastAsia="Arial" w:hAnsi="Arial"/>
                <w:sz w:val="18"/>
                <w:szCs w:val="18"/>
                <w:color w:val="auto"/>
              </w:rPr>
              <w:t>95</w:t>
            </w:r>
          </w:p>
        </w:tc>
      </w:tr>
      <w:tr>
        <w:trPr>
          <w:trHeight w:val="283"/>
        </w:trPr>
        <w:tc>
          <w:tcPr>
            <w:tcW w:w="9200" w:type="dxa"/>
            <w:vAlign w:val="bottom"/>
            <w:gridSpan w:val="2"/>
          </w:tcPr>
          <w:p>
            <w:pPr>
              <w:spacing w:after="0"/>
              <w:rPr>
                <w:sz w:val="20"/>
                <w:szCs w:val="20"/>
                <w:color w:val="auto"/>
              </w:rPr>
            </w:pPr>
            <w:r>
              <w:rPr>
                <w:rFonts w:ascii="Arial" w:cs="Arial" w:eastAsia="Arial" w:hAnsi="Arial"/>
                <w:sz w:val="20"/>
                <w:szCs w:val="20"/>
                <w:color w:val="auto"/>
              </w:rPr>
              <w:t>ARTICLE VII Events of Default</w:t>
            </w:r>
          </w:p>
        </w:tc>
        <w:tc>
          <w:tcPr>
            <w:tcW w:w="1460" w:type="dxa"/>
            <w:vAlign w:val="bottom"/>
          </w:tcPr>
          <w:p>
            <w:pPr>
              <w:ind w:left="1200"/>
              <w:spacing w:after="0"/>
              <w:rPr>
                <w:sz w:val="20"/>
                <w:szCs w:val="20"/>
                <w:color w:val="auto"/>
              </w:rPr>
            </w:pPr>
            <w:r>
              <w:rPr>
                <w:rFonts w:ascii="Arial" w:cs="Arial" w:eastAsia="Arial" w:hAnsi="Arial"/>
                <w:sz w:val="18"/>
                <w:szCs w:val="18"/>
                <w:color w:val="auto"/>
              </w:rPr>
              <w:t>95</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7.01.</w:t>
            </w:r>
          </w:p>
        </w:tc>
        <w:tc>
          <w:tcPr>
            <w:tcW w:w="7240" w:type="dxa"/>
            <w:vAlign w:val="bottom"/>
          </w:tcPr>
          <w:p>
            <w:pPr>
              <w:ind w:left="60"/>
              <w:spacing w:after="0"/>
              <w:rPr>
                <w:sz w:val="20"/>
                <w:szCs w:val="20"/>
                <w:color w:val="auto"/>
              </w:rPr>
            </w:pPr>
            <w:r>
              <w:rPr>
                <w:rFonts w:ascii="Arial" w:cs="Arial" w:eastAsia="Arial" w:hAnsi="Arial"/>
                <w:sz w:val="20"/>
                <w:szCs w:val="20"/>
                <w:color w:val="auto"/>
              </w:rPr>
              <w:t>Events of Default</w:t>
            </w:r>
          </w:p>
        </w:tc>
        <w:tc>
          <w:tcPr>
            <w:tcW w:w="1460" w:type="dxa"/>
            <w:vAlign w:val="bottom"/>
          </w:tcPr>
          <w:p>
            <w:pPr>
              <w:ind w:left="1200"/>
              <w:spacing w:after="0"/>
              <w:rPr>
                <w:sz w:val="20"/>
                <w:szCs w:val="20"/>
                <w:color w:val="auto"/>
              </w:rPr>
            </w:pPr>
            <w:r>
              <w:rPr>
                <w:rFonts w:ascii="Arial" w:cs="Arial" w:eastAsia="Arial" w:hAnsi="Arial"/>
                <w:sz w:val="18"/>
                <w:szCs w:val="18"/>
                <w:color w:val="auto"/>
              </w:rPr>
              <w:t>95</w:t>
            </w:r>
          </w:p>
        </w:tc>
      </w:tr>
      <w:tr>
        <w:trPr>
          <w:trHeight w:val="283"/>
        </w:trPr>
        <w:tc>
          <w:tcPr>
            <w:tcW w:w="9200" w:type="dxa"/>
            <w:vAlign w:val="bottom"/>
            <w:gridSpan w:val="2"/>
          </w:tcPr>
          <w:p>
            <w:pPr>
              <w:spacing w:after="0"/>
              <w:rPr>
                <w:sz w:val="20"/>
                <w:szCs w:val="20"/>
                <w:color w:val="auto"/>
              </w:rPr>
            </w:pPr>
            <w:r>
              <w:rPr>
                <w:rFonts w:ascii="Arial" w:cs="Arial" w:eastAsia="Arial" w:hAnsi="Arial"/>
                <w:sz w:val="20"/>
                <w:szCs w:val="20"/>
                <w:color w:val="auto"/>
              </w:rPr>
              <w:t>ARTICLE VIII The Administrative Agent</w:t>
            </w:r>
          </w:p>
        </w:tc>
        <w:tc>
          <w:tcPr>
            <w:tcW w:w="1460" w:type="dxa"/>
            <w:vAlign w:val="bottom"/>
          </w:tcPr>
          <w:p>
            <w:pPr>
              <w:ind w:left="1200"/>
              <w:spacing w:after="0"/>
              <w:rPr>
                <w:sz w:val="20"/>
                <w:szCs w:val="20"/>
                <w:color w:val="auto"/>
              </w:rPr>
            </w:pPr>
            <w:r>
              <w:rPr>
                <w:rFonts w:ascii="Arial" w:cs="Arial" w:eastAsia="Arial" w:hAnsi="Arial"/>
                <w:sz w:val="18"/>
                <w:szCs w:val="18"/>
                <w:color w:val="auto"/>
              </w:rPr>
              <w:t>98</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8.01.  Authorization and Action.</w:t>
            </w:r>
          </w:p>
        </w:tc>
        <w:tc>
          <w:tcPr>
            <w:tcW w:w="1460" w:type="dxa"/>
            <w:vAlign w:val="bottom"/>
          </w:tcPr>
          <w:p>
            <w:pPr>
              <w:ind w:left="1200"/>
              <w:spacing w:after="0"/>
              <w:rPr>
                <w:sz w:val="20"/>
                <w:szCs w:val="20"/>
                <w:color w:val="auto"/>
              </w:rPr>
            </w:pPr>
            <w:r>
              <w:rPr>
                <w:rFonts w:ascii="Arial" w:cs="Arial" w:eastAsia="Arial" w:hAnsi="Arial"/>
                <w:sz w:val="18"/>
                <w:szCs w:val="18"/>
                <w:color w:val="auto"/>
              </w:rPr>
              <w:t>98</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8.02.  Administrative Agent’s Reliance, Indemnification, Etc.</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101</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8.03.  Posting of Communications.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102</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8.04.  The Administrative Agent Individually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103</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8.05.  Successor Administrative Agent.</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104</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8.06.  Acknowledgements of Lenders and Issuing Banks.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105</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8.07.</w:t>
            </w:r>
          </w:p>
        </w:tc>
        <w:tc>
          <w:tcPr>
            <w:tcW w:w="7240" w:type="dxa"/>
            <w:vAlign w:val="bottom"/>
          </w:tcPr>
          <w:p>
            <w:pPr>
              <w:ind w:left="60"/>
              <w:spacing w:after="0"/>
              <w:rPr>
                <w:sz w:val="20"/>
                <w:szCs w:val="20"/>
                <w:color w:val="auto"/>
              </w:rPr>
            </w:pPr>
            <w:r>
              <w:rPr>
                <w:rFonts w:ascii="Arial" w:cs="Arial" w:eastAsia="Arial" w:hAnsi="Arial"/>
                <w:sz w:val="20"/>
                <w:szCs w:val="20"/>
                <w:color w:val="auto"/>
              </w:rPr>
              <w:t>Collateral Matters.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107</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rPr>
              <w:t>SECTION 8.08.</w:t>
            </w:r>
          </w:p>
        </w:tc>
        <w:tc>
          <w:tcPr>
            <w:tcW w:w="7240" w:type="dxa"/>
            <w:vAlign w:val="bottom"/>
          </w:tcPr>
          <w:p>
            <w:pPr>
              <w:ind w:left="60"/>
              <w:spacing w:after="0"/>
              <w:rPr>
                <w:sz w:val="20"/>
                <w:szCs w:val="20"/>
                <w:color w:val="auto"/>
              </w:rPr>
            </w:pPr>
            <w:r>
              <w:rPr>
                <w:rFonts w:ascii="Arial" w:cs="Arial" w:eastAsia="Arial" w:hAnsi="Arial"/>
                <w:sz w:val="20"/>
                <w:szCs w:val="20"/>
                <w:color w:val="auto"/>
              </w:rPr>
              <w:t>Credit Bidding</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108</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8.09.  Certain ERISA Matters.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109</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8.10.</w:t>
            </w:r>
          </w:p>
        </w:tc>
        <w:tc>
          <w:tcPr>
            <w:tcW w:w="7240" w:type="dxa"/>
            <w:vAlign w:val="bottom"/>
          </w:tcPr>
          <w:p>
            <w:pPr>
              <w:ind w:left="60"/>
              <w:spacing w:after="0"/>
              <w:rPr>
                <w:sz w:val="20"/>
                <w:szCs w:val="20"/>
                <w:color w:val="auto"/>
              </w:rPr>
            </w:pPr>
            <w:r>
              <w:rPr>
                <w:rFonts w:ascii="Arial" w:cs="Arial" w:eastAsia="Arial" w:hAnsi="Arial"/>
                <w:sz w:val="20"/>
                <w:szCs w:val="20"/>
                <w:color w:val="auto"/>
              </w:rPr>
              <w:t>Flood Laws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110</w:t>
            </w:r>
          </w:p>
        </w:tc>
      </w:tr>
      <w:tr>
        <w:trPr>
          <w:trHeight w:val="283"/>
        </w:trPr>
        <w:tc>
          <w:tcPr>
            <w:tcW w:w="9200" w:type="dxa"/>
            <w:vAlign w:val="bottom"/>
            <w:gridSpan w:val="2"/>
          </w:tcPr>
          <w:p>
            <w:pPr>
              <w:spacing w:after="0"/>
              <w:rPr>
                <w:sz w:val="20"/>
                <w:szCs w:val="20"/>
                <w:color w:val="auto"/>
              </w:rPr>
            </w:pPr>
            <w:r>
              <w:rPr>
                <w:rFonts w:ascii="Arial" w:cs="Arial" w:eastAsia="Arial" w:hAnsi="Arial"/>
                <w:sz w:val="20"/>
                <w:szCs w:val="20"/>
                <w:color w:val="auto"/>
              </w:rPr>
              <w:t>ARTICLE IX Miscellaneous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110</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9.01.</w:t>
            </w:r>
          </w:p>
        </w:tc>
        <w:tc>
          <w:tcPr>
            <w:tcW w:w="7240" w:type="dxa"/>
            <w:vAlign w:val="bottom"/>
          </w:tcPr>
          <w:p>
            <w:pPr>
              <w:ind w:left="60"/>
              <w:spacing w:after="0"/>
              <w:rPr>
                <w:sz w:val="20"/>
                <w:szCs w:val="20"/>
                <w:color w:val="auto"/>
              </w:rPr>
            </w:pPr>
            <w:r>
              <w:rPr>
                <w:rFonts w:ascii="Arial" w:cs="Arial" w:eastAsia="Arial" w:hAnsi="Arial"/>
                <w:sz w:val="20"/>
                <w:szCs w:val="20"/>
                <w:color w:val="auto"/>
              </w:rPr>
              <w:t>Notices.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110</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9.02.</w:t>
            </w:r>
          </w:p>
        </w:tc>
        <w:tc>
          <w:tcPr>
            <w:tcW w:w="7240" w:type="dxa"/>
            <w:vAlign w:val="bottom"/>
          </w:tcPr>
          <w:p>
            <w:pPr>
              <w:ind w:left="60"/>
              <w:spacing w:after="0"/>
              <w:rPr>
                <w:sz w:val="20"/>
                <w:szCs w:val="20"/>
                <w:color w:val="auto"/>
              </w:rPr>
            </w:pPr>
            <w:r>
              <w:rPr>
                <w:rFonts w:ascii="Arial" w:cs="Arial" w:eastAsia="Arial" w:hAnsi="Arial"/>
                <w:sz w:val="20"/>
                <w:szCs w:val="20"/>
                <w:color w:val="auto"/>
              </w:rPr>
              <w:t>Waivers; Amendments.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112</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9.03.  Expenses; Limitation of Liability; Indemnity; Etc.</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115</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9.04.  Successors and Assigns.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117</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9.05.</w:t>
            </w:r>
          </w:p>
        </w:tc>
        <w:tc>
          <w:tcPr>
            <w:tcW w:w="7240" w:type="dxa"/>
            <w:vAlign w:val="bottom"/>
          </w:tcPr>
          <w:p>
            <w:pPr>
              <w:ind w:left="60"/>
              <w:spacing w:after="0"/>
              <w:rPr>
                <w:sz w:val="20"/>
                <w:szCs w:val="20"/>
                <w:color w:val="auto"/>
              </w:rPr>
            </w:pPr>
            <w:r>
              <w:rPr>
                <w:rFonts w:ascii="Arial" w:cs="Arial" w:eastAsia="Arial" w:hAnsi="Arial"/>
                <w:sz w:val="20"/>
                <w:szCs w:val="20"/>
                <w:color w:val="auto"/>
              </w:rPr>
              <w:t>Survival</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121</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9.06.  Counterparts; Integration; Effectiveness; Electronic Execution</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121</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rPr>
              <w:t>SECTION 9.07.</w:t>
            </w:r>
          </w:p>
        </w:tc>
        <w:tc>
          <w:tcPr>
            <w:tcW w:w="7240" w:type="dxa"/>
            <w:vAlign w:val="bottom"/>
          </w:tcPr>
          <w:p>
            <w:pPr>
              <w:ind w:left="60"/>
              <w:spacing w:after="0"/>
              <w:rPr>
                <w:sz w:val="20"/>
                <w:szCs w:val="20"/>
                <w:color w:val="auto"/>
              </w:rPr>
            </w:pPr>
            <w:r>
              <w:rPr>
                <w:rFonts w:ascii="Arial" w:cs="Arial" w:eastAsia="Arial" w:hAnsi="Arial"/>
                <w:sz w:val="20"/>
                <w:szCs w:val="20"/>
                <w:color w:val="auto"/>
              </w:rPr>
              <w:t>Severability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122</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9.08.</w:t>
            </w:r>
          </w:p>
        </w:tc>
        <w:tc>
          <w:tcPr>
            <w:tcW w:w="7240" w:type="dxa"/>
            <w:vAlign w:val="bottom"/>
          </w:tcPr>
          <w:p>
            <w:pPr>
              <w:ind w:left="60"/>
              <w:spacing w:after="0"/>
              <w:rPr>
                <w:sz w:val="20"/>
                <w:szCs w:val="20"/>
                <w:color w:val="auto"/>
              </w:rPr>
            </w:pPr>
            <w:r>
              <w:rPr>
                <w:rFonts w:ascii="Arial" w:cs="Arial" w:eastAsia="Arial" w:hAnsi="Arial"/>
                <w:sz w:val="20"/>
                <w:szCs w:val="20"/>
                <w:color w:val="auto"/>
              </w:rPr>
              <w:t>Right of Setoff</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122</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9.09.  Governing Law; Jurisdiction; Consent to Service of Process.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123</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9.10.  WAIVER OF JURY TRIAL</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124</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9.11.</w:t>
            </w:r>
          </w:p>
        </w:tc>
        <w:tc>
          <w:tcPr>
            <w:tcW w:w="7240" w:type="dxa"/>
            <w:vAlign w:val="bottom"/>
          </w:tcPr>
          <w:p>
            <w:pPr>
              <w:ind w:left="40"/>
              <w:spacing w:after="0"/>
              <w:rPr>
                <w:sz w:val="20"/>
                <w:szCs w:val="20"/>
                <w:color w:val="auto"/>
              </w:rPr>
            </w:pPr>
            <w:r>
              <w:rPr>
                <w:rFonts w:ascii="Arial" w:cs="Arial" w:eastAsia="Arial" w:hAnsi="Arial"/>
                <w:sz w:val="20"/>
                <w:szCs w:val="20"/>
                <w:color w:val="auto"/>
              </w:rPr>
              <w:t>Headings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126</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rPr>
              <w:t>SECTION 9.12.</w:t>
            </w:r>
          </w:p>
        </w:tc>
        <w:tc>
          <w:tcPr>
            <w:tcW w:w="7240" w:type="dxa"/>
            <w:vAlign w:val="bottom"/>
          </w:tcPr>
          <w:p>
            <w:pPr>
              <w:ind w:left="60"/>
              <w:spacing w:after="0"/>
              <w:rPr>
                <w:sz w:val="20"/>
                <w:szCs w:val="20"/>
                <w:color w:val="auto"/>
              </w:rPr>
            </w:pPr>
            <w:r>
              <w:rPr>
                <w:rFonts w:ascii="Arial" w:cs="Arial" w:eastAsia="Arial" w:hAnsi="Arial"/>
                <w:sz w:val="20"/>
                <w:szCs w:val="20"/>
                <w:color w:val="auto"/>
              </w:rPr>
              <w:t>Confidentiality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126</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9.13.  Several Obligations; Nonreliance; Violation of Law</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127</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9.14.  USA PATRIOT Act</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127</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rPr>
              <w:t>SECTION 9.15.</w:t>
            </w:r>
          </w:p>
        </w:tc>
        <w:tc>
          <w:tcPr>
            <w:tcW w:w="7240" w:type="dxa"/>
            <w:vAlign w:val="bottom"/>
          </w:tcPr>
          <w:p>
            <w:pPr>
              <w:ind w:left="60"/>
              <w:spacing w:after="0"/>
              <w:rPr>
                <w:sz w:val="20"/>
                <w:szCs w:val="20"/>
                <w:color w:val="auto"/>
              </w:rPr>
            </w:pPr>
            <w:r>
              <w:rPr>
                <w:rFonts w:ascii="Arial" w:cs="Arial" w:eastAsia="Arial" w:hAnsi="Arial"/>
                <w:sz w:val="20"/>
                <w:szCs w:val="20"/>
                <w:color w:val="auto"/>
              </w:rPr>
              <w:t>Disclosure</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127</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9.16.  Appointment for Perfection</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127</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9.17.  Interest Rate Limitation</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127</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9.18.  No Fiduciary Duty, etc</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128</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rPr>
              <w:t>SECTION 9.19.</w:t>
            </w:r>
          </w:p>
        </w:tc>
        <w:tc>
          <w:tcPr>
            <w:tcW w:w="7240" w:type="dxa"/>
            <w:vAlign w:val="bottom"/>
          </w:tcPr>
          <w:p>
            <w:pPr>
              <w:ind w:left="60"/>
              <w:spacing w:after="0"/>
              <w:rPr>
                <w:sz w:val="20"/>
                <w:szCs w:val="20"/>
                <w:color w:val="auto"/>
              </w:rPr>
            </w:pPr>
            <w:r>
              <w:rPr>
                <w:rFonts w:ascii="Arial" w:cs="Arial" w:eastAsia="Arial" w:hAnsi="Arial"/>
                <w:sz w:val="20"/>
                <w:szCs w:val="20"/>
                <w:color w:val="auto"/>
              </w:rPr>
              <w:t>Marketing Consent</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129</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9.20.  Acknowledgement and Consent to Bail-In of Affected Financial Institutions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129</w:t>
            </w:r>
          </w:p>
        </w:tc>
      </w:tr>
      <w:tr>
        <w:trPr>
          <w:trHeight w:val="283"/>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9.21.  Acknowledgement Regarding Any Supported QFCs.</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129</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rPr>
              <w:t>SECTION 9.22.</w:t>
            </w:r>
          </w:p>
        </w:tc>
        <w:tc>
          <w:tcPr>
            <w:tcW w:w="7240" w:type="dxa"/>
            <w:vAlign w:val="bottom"/>
          </w:tcPr>
          <w:p>
            <w:pPr>
              <w:ind w:left="60"/>
              <w:spacing w:after="0"/>
              <w:rPr>
                <w:sz w:val="20"/>
                <w:szCs w:val="20"/>
                <w:color w:val="auto"/>
              </w:rPr>
            </w:pPr>
            <w:r>
              <w:rPr>
                <w:rFonts w:ascii="Arial" w:cs="Arial" w:eastAsia="Arial" w:hAnsi="Arial"/>
                <w:sz w:val="20"/>
                <w:szCs w:val="20"/>
                <w:color w:val="auto"/>
              </w:rPr>
              <w:t>Joint and Several.</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130</w:t>
            </w:r>
          </w:p>
        </w:tc>
      </w:tr>
      <w:tr>
        <w:trPr>
          <w:trHeight w:val="284"/>
        </w:trPr>
        <w:tc>
          <w:tcPr>
            <w:tcW w:w="9200" w:type="dxa"/>
            <w:vAlign w:val="bottom"/>
            <w:gridSpan w:val="2"/>
          </w:tcPr>
          <w:p>
            <w:pPr>
              <w:spacing w:after="0"/>
              <w:rPr>
                <w:sz w:val="20"/>
                <w:szCs w:val="20"/>
                <w:color w:val="auto"/>
              </w:rPr>
            </w:pPr>
            <w:r>
              <w:rPr>
                <w:rFonts w:ascii="Arial" w:cs="Arial" w:eastAsia="Arial" w:hAnsi="Arial"/>
                <w:sz w:val="20"/>
                <w:szCs w:val="20"/>
                <w:color w:val="auto"/>
              </w:rPr>
              <w:t>ARTICLE X Loan Guaranty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131</w:t>
            </w:r>
          </w:p>
        </w:tc>
      </w:tr>
      <w:tr>
        <w:trPr>
          <w:trHeight w:val="283"/>
        </w:trPr>
        <w:tc>
          <w:tcPr>
            <w:tcW w:w="1960" w:type="dxa"/>
            <w:vAlign w:val="bottom"/>
          </w:tcPr>
          <w:p>
            <w:pPr>
              <w:ind w:left="540"/>
              <w:spacing w:after="0"/>
              <w:rPr>
                <w:sz w:val="20"/>
                <w:szCs w:val="20"/>
                <w:color w:val="auto"/>
              </w:rPr>
            </w:pPr>
            <w:r>
              <w:rPr>
                <w:rFonts w:ascii="Arial" w:cs="Arial" w:eastAsia="Arial" w:hAnsi="Arial"/>
                <w:sz w:val="20"/>
                <w:szCs w:val="20"/>
                <w:color w:val="auto"/>
                <w:w w:val="93"/>
              </w:rPr>
              <w:t>SECTION 10.01.</w:t>
            </w:r>
          </w:p>
        </w:tc>
        <w:tc>
          <w:tcPr>
            <w:tcW w:w="7240" w:type="dxa"/>
            <w:vAlign w:val="bottom"/>
          </w:tcPr>
          <w:p>
            <w:pPr>
              <w:ind w:left="160"/>
              <w:spacing w:after="0"/>
              <w:rPr>
                <w:sz w:val="20"/>
                <w:szCs w:val="20"/>
                <w:color w:val="auto"/>
              </w:rPr>
            </w:pPr>
            <w:r>
              <w:rPr>
                <w:rFonts w:ascii="Arial" w:cs="Arial" w:eastAsia="Arial" w:hAnsi="Arial"/>
                <w:sz w:val="20"/>
                <w:szCs w:val="20"/>
                <w:color w:val="auto"/>
              </w:rPr>
              <w:t>Guaranty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131</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10.02.  Guaranty of Payment</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131</w:t>
            </w:r>
          </w:p>
        </w:tc>
      </w:tr>
      <w:tr>
        <w:trPr>
          <w:trHeight w:val="284"/>
        </w:trPr>
        <w:tc>
          <w:tcPr>
            <w:tcW w:w="9200" w:type="dxa"/>
            <w:vAlign w:val="bottom"/>
            <w:gridSpan w:val="2"/>
          </w:tcPr>
          <w:p>
            <w:pPr>
              <w:ind w:left="540"/>
              <w:spacing w:after="0"/>
              <w:rPr>
                <w:sz w:val="20"/>
                <w:szCs w:val="20"/>
                <w:color w:val="auto"/>
              </w:rPr>
            </w:pPr>
            <w:r>
              <w:rPr>
                <w:rFonts w:ascii="Arial" w:cs="Arial" w:eastAsia="Arial" w:hAnsi="Arial"/>
                <w:sz w:val="20"/>
                <w:szCs w:val="20"/>
                <w:color w:val="auto"/>
              </w:rPr>
              <w:t>SECTION 10.03.  No Discharge or Diminishment of Loan Guaranty</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131</w:t>
            </w:r>
          </w:p>
        </w:tc>
      </w:tr>
      <w:tr>
        <w:trPr>
          <w:trHeight w:val="284"/>
        </w:trPr>
        <w:tc>
          <w:tcPr>
            <w:tcW w:w="1960" w:type="dxa"/>
            <w:vAlign w:val="bottom"/>
          </w:tcPr>
          <w:p>
            <w:pPr>
              <w:ind w:left="540"/>
              <w:spacing w:after="0"/>
              <w:rPr>
                <w:sz w:val="20"/>
                <w:szCs w:val="20"/>
                <w:color w:val="auto"/>
              </w:rPr>
            </w:pPr>
            <w:r>
              <w:rPr>
                <w:rFonts w:ascii="Arial" w:cs="Arial" w:eastAsia="Arial" w:hAnsi="Arial"/>
                <w:sz w:val="20"/>
                <w:szCs w:val="20"/>
                <w:color w:val="auto"/>
                <w:w w:val="93"/>
              </w:rPr>
              <w:t>SECTION 10.04.</w:t>
            </w:r>
          </w:p>
        </w:tc>
        <w:tc>
          <w:tcPr>
            <w:tcW w:w="7240" w:type="dxa"/>
            <w:vAlign w:val="bottom"/>
          </w:tcPr>
          <w:p>
            <w:pPr>
              <w:ind w:left="160"/>
              <w:spacing w:after="0"/>
              <w:rPr>
                <w:sz w:val="20"/>
                <w:szCs w:val="20"/>
                <w:color w:val="auto"/>
              </w:rPr>
            </w:pPr>
            <w:r>
              <w:rPr>
                <w:rFonts w:ascii="Arial" w:cs="Arial" w:eastAsia="Arial" w:hAnsi="Arial"/>
                <w:sz w:val="20"/>
                <w:szCs w:val="20"/>
                <w:color w:val="auto"/>
              </w:rPr>
              <w:t>Defenses Waived</w:t>
            </w:r>
          </w:p>
        </w:tc>
        <w:tc>
          <w:tcPr>
            <w:tcW w:w="1460" w:type="dxa"/>
            <w:vAlign w:val="bottom"/>
          </w:tcPr>
          <w:p>
            <w:pPr>
              <w:ind w:left="1200"/>
              <w:spacing w:after="0"/>
              <w:rPr>
                <w:sz w:val="20"/>
                <w:szCs w:val="20"/>
                <w:color w:val="auto"/>
              </w:rPr>
            </w:pPr>
            <w:r>
              <w:rPr>
                <w:rFonts w:ascii="Arial" w:cs="Arial" w:eastAsia="Arial" w:hAnsi="Arial"/>
                <w:sz w:val="18"/>
                <w:szCs w:val="18"/>
                <w:color w:val="auto"/>
                <w:w w:val="79"/>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8" w:right="339" w:bottom="682"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740334942</w:t>
      </w:r>
    </w:p>
    <w:p>
      <w:pPr>
        <w:sectPr>
          <w:pgSz w:w="11900" w:h="16838" w:orient="portrait"/>
          <w:cols w:equalWidth="0" w:num="1">
            <w:col w:w="11240"/>
          </w:cols>
          <w:pgMar w:left="320" w:top="118" w:right="339" w:bottom="682"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(continued)</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7720" w:type="dxa"/>
            <w:vAlign w:val="bottom"/>
            <w:gridSpan w:val="2"/>
          </w:tcPr>
          <w:p>
            <w:pPr>
              <w:ind w:left="540"/>
              <w:spacing w:after="0"/>
              <w:rPr>
                <w:sz w:val="20"/>
                <w:szCs w:val="20"/>
                <w:color w:val="auto"/>
              </w:rPr>
            </w:pPr>
            <w:r>
              <w:rPr>
                <w:rFonts w:ascii="Arial" w:cs="Arial" w:eastAsia="Arial" w:hAnsi="Arial"/>
                <w:sz w:val="20"/>
                <w:szCs w:val="20"/>
                <w:color w:val="auto"/>
              </w:rPr>
              <w:t>SECTION 10.05.  Rights of Subrogation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83"/>
        </w:trPr>
        <w:tc>
          <w:tcPr>
            <w:tcW w:w="7720" w:type="dxa"/>
            <w:vAlign w:val="bottom"/>
            <w:gridSpan w:val="2"/>
          </w:tcPr>
          <w:p>
            <w:pPr>
              <w:ind w:left="540"/>
              <w:spacing w:after="0"/>
              <w:rPr>
                <w:sz w:val="20"/>
                <w:szCs w:val="20"/>
                <w:color w:val="auto"/>
              </w:rPr>
            </w:pPr>
            <w:r>
              <w:rPr>
                <w:rFonts w:ascii="Arial" w:cs="Arial" w:eastAsia="Arial" w:hAnsi="Arial"/>
                <w:sz w:val="20"/>
                <w:szCs w:val="20"/>
                <w:color w:val="auto"/>
              </w:rPr>
              <w:t>SECTION 10.06.  Reinstatement; Stay of Acceleration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10.07.</w:t>
            </w:r>
          </w:p>
        </w:tc>
        <w:tc>
          <w:tcPr>
            <w:tcW w:w="5700" w:type="dxa"/>
            <w:vAlign w:val="bottom"/>
          </w:tcPr>
          <w:p>
            <w:pPr>
              <w:ind w:left="100"/>
              <w:spacing w:after="0"/>
              <w:rPr>
                <w:sz w:val="20"/>
                <w:szCs w:val="20"/>
                <w:color w:val="auto"/>
              </w:rPr>
            </w:pPr>
            <w:r>
              <w:rPr>
                <w:rFonts w:ascii="Arial" w:cs="Arial" w:eastAsia="Arial" w:hAnsi="Arial"/>
                <w:sz w:val="20"/>
                <w:szCs w:val="20"/>
                <w:color w:val="auto"/>
              </w:rPr>
              <w:t>Information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10.08.</w:t>
            </w:r>
          </w:p>
        </w:tc>
        <w:tc>
          <w:tcPr>
            <w:tcW w:w="5700" w:type="dxa"/>
            <w:vAlign w:val="bottom"/>
          </w:tcPr>
          <w:p>
            <w:pPr>
              <w:ind w:left="80"/>
              <w:spacing w:after="0"/>
              <w:rPr>
                <w:sz w:val="20"/>
                <w:szCs w:val="20"/>
                <w:color w:val="auto"/>
              </w:rPr>
            </w:pPr>
            <w:r>
              <w:rPr>
                <w:rFonts w:ascii="Arial" w:cs="Arial" w:eastAsia="Arial" w:hAnsi="Arial"/>
                <w:sz w:val="20"/>
                <w:szCs w:val="20"/>
                <w:color w:val="auto"/>
              </w:rPr>
              <w:t>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10.09.</w:t>
            </w:r>
          </w:p>
        </w:tc>
        <w:tc>
          <w:tcPr>
            <w:tcW w:w="5700" w:type="dxa"/>
            <w:vAlign w:val="bottom"/>
          </w:tcPr>
          <w:p>
            <w:pPr>
              <w:ind w:left="100"/>
              <w:spacing w:after="0"/>
              <w:rPr>
                <w:sz w:val="20"/>
                <w:szCs w:val="20"/>
                <w:color w:val="auto"/>
              </w:rPr>
            </w:pPr>
            <w:r>
              <w:rPr>
                <w:rFonts w:ascii="Arial" w:cs="Arial" w:eastAsia="Arial" w:hAnsi="Arial"/>
                <w:sz w:val="20"/>
                <w:szCs w:val="20"/>
                <w:color w:val="auto"/>
              </w:rPr>
              <w:t>[Reserved]</w:t>
            </w:r>
          </w:p>
        </w:tc>
        <w:tc>
          <w:tcPr>
            <w:tcW w:w="2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10.10.</w:t>
            </w:r>
          </w:p>
        </w:tc>
        <w:tc>
          <w:tcPr>
            <w:tcW w:w="5700" w:type="dxa"/>
            <w:vAlign w:val="bottom"/>
          </w:tcPr>
          <w:p>
            <w:pPr>
              <w:ind w:left="100"/>
              <w:spacing w:after="0"/>
              <w:rPr>
                <w:sz w:val="20"/>
                <w:szCs w:val="20"/>
                <w:color w:val="auto"/>
              </w:rPr>
            </w:pPr>
            <w:r>
              <w:rPr>
                <w:rFonts w:ascii="Arial" w:cs="Arial" w:eastAsia="Arial" w:hAnsi="Arial"/>
                <w:sz w:val="20"/>
                <w:szCs w:val="20"/>
                <w:color w:val="auto"/>
              </w:rPr>
              <w:t>Maximum Liability</w:t>
            </w:r>
          </w:p>
        </w:tc>
        <w:tc>
          <w:tcPr>
            <w:tcW w:w="2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4"/>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10.11.</w:t>
            </w:r>
          </w:p>
        </w:tc>
        <w:tc>
          <w:tcPr>
            <w:tcW w:w="5700" w:type="dxa"/>
            <w:vAlign w:val="bottom"/>
          </w:tcPr>
          <w:p>
            <w:pPr>
              <w:ind w:left="80"/>
              <w:spacing w:after="0"/>
              <w:rPr>
                <w:sz w:val="20"/>
                <w:szCs w:val="20"/>
                <w:color w:val="auto"/>
              </w:rPr>
            </w:pPr>
            <w:r>
              <w:rPr>
                <w:rFonts w:ascii="Arial" w:cs="Arial" w:eastAsia="Arial" w:hAnsi="Arial"/>
                <w:sz w:val="20"/>
                <w:szCs w:val="20"/>
                <w:color w:val="auto"/>
              </w:rPr>
              <w:t>Contribution.</w:t>
            </w:r>
          </w:p>
        </w:tc>
        <w:tc>
          <w:tcPr>
            <w:tcW w:w="2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10.12.</w:t>
            </w:r>
          </w:p>
        </w:tc>
        <w:tc>
          <w:tcPr>
            <w:tcW w:w="5700" w:type="dxa"/>
            <w:vAlign w:val="bottom"/>
          </w:tcPr>
          <w:p>
            <w:pPr>
              <w:ind w:left="100"/>
              <w:spacing w:after="0"/>
              <w:rPr>
                <w:sz w:val="20"/>
                <w:szCs w:val="20"/>
                <w:color w:val="auto"/>
              </w:rPr>
            </w:pPr>
            <w:r>
              <w:rPr>
                <w:rFonts w:ascii="Arial" w:cs="Arial" w:eastAsia="Arial" w:hAnsi="Arial"/>
                <w:sz w:val="20"/>
                <w:szCs w:val="20"/>
                <w:color w:val="auto"/>
              </w:rPr>
              <w:t>Liability Cumulative</w:t>
            </w:r>
          </w:p>
        </w:tc>
        <w:tc>
          <w:tcPr>
            <w:tcW w:w="2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10.13.</w:t>
            </w:r>
          </w:p>
        </w:tc>
        <w:tc>
          <w:tcPr>
            <w:tcW w:w="5700" w:type="dxa"/>
            <w:vAlign w:val="bottom"/>
          </w:tcPr>
          <w:p>
            <w:pPr>
              <w:ind w:left="100"/>
              <w:spacing w:after="0"/>
              <w:rPr>
                <w:sz w:val="20"/>
                <w:szCs w:val="20"/>
                <w:color w:val="auto"/>
              </w:rPr>
            </w:pPr>
            <w:r>
              <w:rPr>
                <w:rFonts w:ascii="Arial" w:cs="Arial" w:eastAsia="Arial" w:hAnsi="Arial"/>
                <w:sz w:val="20"/>
                <w:szCs w:val="20"/>
                <w:color w:val="auto"/>
              </w:rPr>
              <w:t>Keepwell</w:t>
            </w:r>
          </w:p>
        </w:tc>
        <w:tc>
          <w:tcPr>
            <w:tcW w:w="29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83"/>
        </w:trPr>
        <w:tc>
          <w:tcPr>
            <w:tcW w:w="7720" w:type="dxa"/>
            <w:vAlign w:val="bottom"/>
            <w:gridSpan w:val="2"/>
          </w:tcPr>
          <w:p>
            <w:pPr>
              <w:spacing w:after="0"/>
              <w:rPr>
                <w:sz w:val="20"/>
                <w:szCs w:val="20"/>
                <w:color w:val="auto"/>
              </w:rPr>
            </w:pPr>
            <w:r>
              <w:rPr>
                <w:rFonts w:ascii="Arial" w:cs="Arial" w:eastAsia="Arial" w:hAnsi="Arial"/>
                <w:sz w:val="20"/>
                <w:szCs w:val="20"/>
                <w:color w:val="auto"/>
              </w:rPr>
              <w:t>ARTICLE XI The Borrower Representative.</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7720" w:type="dxa"/>
            <w:vAlign w:val="bottom"/>
            <w:gridSpan w:val="2"/>
          </w:tcPr>
          <w:p>
            <w:pPr>
              <w:ind w:left="540"/>
              <w:spacing w:after="0"/>
              <w:rPr>
                <w:sz w:val="20"/>
                <w:szCs w:val="20"/>
                <w:color w:val="auto"/>
              </w:rPr>
            </w:pPr>
            <w:r>
              <w:rPr>
                <w:rFonts w:ascii="Arial" w:cs="Arial" w:eastAsia="Arial" w:hAnsi="Arial"/>
                <w:sz w:val="20"/>
                <w:szCs w:val="20"/>
                <w:color w:val="auto"/>
              </w:rPr>
              <w:t>SECTION 11.01.  Appointment; Nature of Relationship</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4"/>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11.02.</w:t>
            </w:r>
          </w:p>
        </w:tc>
        <w:tc>
          <w:tcPr>
            <w:tcW w:w="5700" w:type="dxa"/>
            <w:vAlign w:val="bottom"/>
          </w:tcPr>
          <w:p>
            <w:pPr>
              <w:ind w:left="80"/>
              <w:spacing w:after="0"/>
              <w:rPr>
                <w:sz w:val="20"/>
                <w:szCs w:val="20"/>
                <w:color w:val="auto"/>
              </w:rPr>
            </w:pPr>
            <w:r>
              <w:rPr>
                <w:rFonts w:ascii="Arial" w:cs="Arial" w:eastAsia="Arial" w:hAnsi="Arial"/>
                <w:sz w:val="20"/>
                <w:szCs w:val="20"/>
                <w:color w:val="auto"/>
              </w:rPr>
              <w:t>Powers</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7720" w:type="dxa"/>
            <w:vAlign w:val="bottom"/>
            <w:gridSpan w:val="2"/>
          </w:tcPr>
          <w:p>
            <w:pPr>
              <w:ind w:left="540"/>
              <w:spacing w:after="0"/>
              <w:rPr>
                <w:sz w:val="20"/>
                <w:szCs w:val="20"/>
                <w:color w:val="auto"/>
              </w:rPr>
            </w:pPr>
            <w:r>
              <w:rPr>
                <w:rFonts w:ascii="Arial" w:cs="Arial" w:eastAsia="Arial" w:hAnsi="Arial"/>
                <w:sz w:val="20"/>
                <w:szCs w:val="20"/>
                <w:color w:val="auto"/>
              </w:rPr>
              <w:t>SECTION 11.03.  Employment of Agents</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11.04.</w:t>
            </w:r>
          </w:p>
        </w:tc>
        <w:tc>
          <w:tcPr>
            <w:tcW w:w="5700" w:type="dxa"/>
            <w:vAlign w:val="bottom"/>
          </w:tcPr>
          <w:p>
            <w:pPr>
              <w:ind w:left="80"/>
              <w:spacing w:after="0"/>
              <w:rPr>
                <w:sz w:val="20"/>
                <w:szCs w:val="20"/>
                <w:color w:val="auto"/>
              </w:rPr>
            </w:pPr>
            <w:r>
              <w:rPr>
                <w:rFonts w:ascii="Arial" w:cs="Arial" w:eastAsia="Arial" w:hAnsi="Arial"/>
                <w:sz w:val="20"/>
                <w:szCs w:val="20"/>
                <w:color w:val="auto"/>
              </w:rPr>
              <w:t>Notices</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7720" w:type="dxa"/>
            <w:vAlign w:val="bottom"/>
            <w:gridSpan w:val="2"/>
          </w:tcPr>
          <w:p>
            <w:pPr>
              <w:ind w:left="540"/>
              <w:spacing w:after="0"/>
              <w:rPr>
                <w:sz w:val="20"/>
                <w:szCs w:val="20"/>
                <w:color w:val="auto"/>
              </w:rPr>
            </w:pPr>
            <w:r>
              <w:rPr>
                <w:rFonts w:ascii="Arial" w:cs="Arial" w:eastAsia="Arial" w:hAnsi="Arial"/>
                <w:sz w:val="20"/>
                <w:szCs w:val="20"/>
                <w:color w:val="auto"/>
              </w:rPr>
              <w:t>SECTION 11.05.  Successor Borrower Representative</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83"/>
        </w:trPr>
        <w:tc>
          <w:tcPr>
            <w:tcW w:w="2020" w:type="dxa"/>
            <w:vAlign w:val="bottom"/>
          </w:tcPr>
          <w:p>
            <w:pPr>
              <w:ind w:left="540"/>
              <w:spacing w:after="0"/>
              <w:rPr>
                <w:sz w:val="20"/>
                <w:szCs w:val="20"/>
                <w:color w:val="auto"/>
              </w:rPr>
            </w:pPr>
            <w:r>
              <w:rPr>
                <w:rFonts w:ascii="Arial" w:cs="Arial" w:eastAsia="Arial" w:hAnsi="Arial"/>
                <w:sz w:val="20"/>
                <w:szCs w:val="20"/>
                <w:color w:val="auto"/>
                <w:w w:val="97"/>
              </w:rPr>
              <w:t>SECTION 11.06.</w:t>
            </w:r>
          </w:p>
        </w:tc>
        <w:tc>
          <w:tcPr>
            <w:tcW w:w="5700" w:type="dxa"/>
            <w:vAlign w:val="bottom"/>
          </w:tcPr>
          <w:p>
            <w:pPr>
              <w:ind w:left="80"/>
              <w:spacing w:after="0"/>
              <w:rPr>
                <w:sz w:val="20"/>
                <w:szCs w:val="20"/>
                <w:color w:val="auto"/>
              </w:rPr>
            </w:pPr>
            <w:r>
              <w:rPr>
                <w:rFonts w:ascii="Arial" w:cs="Arial" w:eastAsia="Arial" w:hAnsi="Arial"/>
                <w:sz w:val="20"/>
                <w:szCs w:val="20"/>
                <w:color w:val="auto"/>
              </w:rPr>
              <w:t>Execution of Loan Documents</w:t>
            </w:r>
          </w:p>
        </w:tc>
        <w:tc>
          <w:tcPr>
            <w:tcW w:w="294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18" w:right="33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20"/>
          <w:szCs w:val="20"/>
          <w:b w:val="1"/>
          <w:bCs w:val="1"/>
          <w:color w:val="auto"/>
        </w:rPr>
        <w:t>TABLE OF CONTENTS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Commitment Schedule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Schedule 2.06 – Existing Letters of Credit</w:t>
      </w:r>
    </w:p>
    <w:p>
      <w:pPr>
        <w:spacing w:after="0"/>
        <w:rPr>
          <w:sz w:val="20"/>
          <w:szCs w:val="20"/>
          <w:color w:val="auto"/>
        </w:rPr>
      </w:pPr>
      <w:r>
        <w:rPr>
          <w:rFonts w:ascii="Arial" w:cs="Arial" w:eastAsia="Arial" w:hAnsi="Arial"/>
          <w:sz w:val="20"/>
          <w:szCs w:val="20"/>
          <w:color w:val="auto"/>
        </w:rPr>
        <w:t>Schedule 3.05 – Properties etc.</w:t>
      </w:r>
    </w:p>
    <w:p>
      <w:pPr>
        <w:spacing w:after="0"/>
        <w:rPr>
          <w:sz w:val="20"/>
          <w:szCs w:val="20"/>
          <w:color w:val="auto"/>
        </w:rPr>
      </w:pPr>
      <w:r>
        <w:rPr>
          <w:rFonts w:ascii="Arial" w:cs="Arial" w:eastAsia="Arial" w:hAnsi="Arial"/>
          <w:sz w:val="20"/>
          <w:szCs w:val="20"/>
          <w:color w:val="auto"/>
        </w:rPr>
        <w:t>Schedule 3.06 – Disclosed Matters</w:t>
      </w:r>
    </w:p>
    <w:p>
      <w:pPr>
        <w:spacing w:after="0"/>
        <w:rPr>
          <w:sz w:val="20"/>
          <w:szCs w:val="20"/>
          <w:color w:val="auto"/>
        </w:rPr>
      </w:pPr>
      <w:r>
        <w:rPr>
          <w:rFonts w:ascii="Arial" w:cs="Arial" w:eastAsia="Arial" w:hAnsi="Arial"/>
          <w:sz w:val="20"/>
          <w:szCs w:val="20"/>
          <w:color w:val="auto"/>
        </w:rPr>
        <w:t>Schedule 3.14 – Insurance</w:t>
      </w:r>
    </w:p>
    <w:p>
      <w:pPr>
        <w:spacing w:after="0"/>
        <w:rPr>
          <w:sz w:val="20"/>
          <w:szCs w:val="20"/>
          <w:color w:val="auto"/>
        </w:rPr>
      </w:pPr>
      <w:r>
        <w:rPr>
          <w:rFonts w:ascii="Arial" w:cs="Arial" w:eastAsia="Arial" w:hAnsi="Arial"/>
          <w:sz w:val="20"/>
          <w:szCs w:val="20"/>
          <w:color w:val="auto"/>
        </w:rPr>
        <w:t>Schedule 3.15 – Capitalization and Subsidiaries</w:t>
      </w:r>
    </w:p>
    <w:p>
      <w:pPr>
        <w:spacing w:after="0"/>
        <w:rPr>
          <w:sz w:val="20"/>
          <w:szCs w:val="20"/>
          <w:color w:val="auto"/>
        </w:rPr>
      </w:pPr>
      <w:r>
        <w:rPr>
          <w:rFonts w:ascii="Arial" w:cs="Arial" w:eastAsia="Arial" w:hAnsi="Arial"/>
          <w:sz w:val="20"/>
          <w:szCs w:val="20"/>
          <w:color w:val="auto"/>
        </w:rPr>
        <w:t>Schedule 5.14 – Post-Closing Obligations</w:t>
      </w:r>
    </w:p>
    <w:p>
      <w:pPr>
        <w:spacing w:after="0"/>
        <w:rPr>
          <w:sz w:val="20"/>
          <w:szCs w:val="20"/>
          <w:color w:val="auto"/>
        </w:rPr>
      </w:pPr>
      <w:r>
        <w:rPr>
          <w:rFonts w:ascii="Arial" w:cs="Arial" w:eastAsia="Arial" w:hAnsi="Arial"/>
          <w:sz w:val="20"/>
          <w:szCs w:val="20"/>
          <w:color w:val="auto"/>
        </w:rPr>
        <w:t>Schedule 6.01 – Existing Indebtedness</w:t>
      </w:r>
    </w:p>
    <w:p>
      <w:pPr>
        <w:spacing w:after="0"/>
        <w:rPr>
          <w:sz w:val="20"/>
          <w:szCs w:val="20"/>
          <w:color w:val="auto"/>
        </w:rPr>
      </w:pPr>
      <w:r>
        <w:rPr>
          <w:rFonts w:ascii="Arial" w:cs="Arial" w:eastAsia="Arial" w:hAnsi="Arial"/>
          <w:sz w:val="20"/>
          <w:szCs w:val="20"/>
          <w:color w:val="auto"/>
        </w:rPr>
        <w:t>Schedule 6.02 – Existing Liens</w:t>
      </w:r>
    </w:p>
    <w:p>
      <w:pPr>
        <w:spacing w:after="0"/>
        <w:rPr>
          <w:sz w:val="20"/>
          <w:szCs w:val="20"/>
          <w:color w:val="auto"/>
        </w:rPr>
      </w:pPr>
      <w:r>
        <w:rPr>
          <w:rFonts w:ascii="Arial" w:cs="Arial" w:eastAsia="Arial" w:hAnsi="Arial"/>
          <w:sz w:val="20"/>
          <w:szCs w:val="20"/>
          <w:color w:val="auto"/>
        </w:rPr>
        <w:t>Schedule 6.04 – Existing Investments</w:t>
      </w:r>
    </w:p>
    <w:p>
      <w:pPr>
        <w:spacing w:after="0"/>
        <w:rPr>
          <w:sz w:val="20"/>
          <w:szCs w:val="20"/>
          <w:color w:val="auto"/>
        </w:rPr>
      </w:pPr>
      <w:r>
        <w:rPr>
          <w:rFonts w:ascii="Arial" w:cs="Arial" w:eastAsia="Arial" w:hAnsi="Arial"/>
          <w:sz w:val="20"/>
          <w:szCs w:val="20"/>
          <w:color w:val="auto"/>
        </w:rPr>
        <w:t>Schedule 6.10 – Existing Restrictions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49"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6"/>
          <w:szCs w:val="16"/>
          <w:color w:val="auto"/>
        </w:rPr>
        <w:t>Assignment and Assumption</w:t>
      </w:r>
    </w:p>
    <w:p>
      <w:pPr>
        <w:spacing w:after="0" w:line="1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Exhibit B-1</w:t>
      </w:r>
      <w:r>
        <w:rPr>
          <w:sz w:val="20"/>
          <w:szCs w:val="20"/>
          <w:color w:val="auto"/>
        </w:rPr>
        <w:tab/>
      </w:r>
      <w:r>
        <w:rPr>
          <w:rFonts w:ascii="Arial" w:cs="Arial" w:eastAsia="Arial" w:hAnsi="Arial"/>
          <w:sz w:val="18"/>
          <w:szCs w:val="18"/>
          <w:color w:val="auto"/>
        </w:rPr>
        <w:t>Borrowing Request</w:t>
      </w:r>
    </w:p>
    <w:p>
      <w:pPr>
        <w:spacing w:after="0"/>
        <w:tabs>
          <w:tab w:leader="none" w:pos="1120" w:val="left"/>
        </w:tabs>
        <w:rPr>
          <w:sz w:val="20"/>
          <w:szCs w:val="20"/>
          <w:color w:val="auto"/>
        </w:rPr>
      </w:pPr>
      <w:r>
        <w:rPr>
          <w:rFonts w:ascii="Arial" w:cs="Arial" w:eastAsia="Arial" w:hAnsi="Arial"/>
          <w:sz w:val="20"/>
          <w:szCs w:val="20"/>
          <w:color w:val="auto"/>
        </w:rPr>
        <w:t>Exhibit B-2</w:t>
      </w:r>
      <w:r>
        <w:rPr>
          <w:sz w:val="20"/>
          <w:szCs w:val="20"/>
          <w:color w:val="auto"/>
        </w:rPr>
        <w:tab/>
      </w:r>
      <w:r>
        <w:rPr>
          <w:rFonts w:ascii="Arial" w:cs="Arial" w:eastAsia="Arial" w:hAnsi="Arial"/>
          <w:sz w:val="16"/>
          <w:szCs w:val="16"/>
          <w:color w:val="auto"/>
        </w:rPr>
        <w:t>Interest Election Request</w:t>
      </w:r>
    </w:p>
    <w:p>
      <w:pPr>
        <w:spacing w:after="0"/>
        <w:tabs>
          <w:tab w:leader="none" w:pos="94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8"/>
          <w:szCs w:val="18"/>
          <w:color w:val="auto"/>
        </w:rPr>
        <w:t>[Reserved]</w:t>
      </w:r>
    </w:p>
    <w:p>
      <w:pPr>
        <w:spacing w:after="0"/>
        <w:tabs>
          <w:tab w:leader="none" w:pos="1120" w:val="left"/>
        </w:tabs>
        <w:rPr>
          <w:sz w:val="20"/>
          <w:szCs w:val="20"/>
          <w:color w:val="auto"/>
        </w:rPr>
      </w:pPr>
      <w:r>
        <w:rPr>
          <w:rFonts w:ascii="Arial" w:cs="Arial" w:eastAsia="Arial" w:hAnsi="Arial"/>
          <w:sz w:val="20"/>
          <w:szCs w:val="20"/>
          <w:color w:val="auto"/>
        </w:rPr>
        <w:t>Exhibit D-1</w:t>
      </w:r>
      <w:r>
        <w:rPr>
          <w:sz w:val="20"/>
          <w:szCs w:val="20"/>
          <w:color w:val="auto"/>
        </w:rPr>
        <w:tab/>
      </w:r>
      <w:r>
        <w:rPr>
          <w:rFonts w:ascii="Arial" w:cs="Arial" w:eastAsia="Arial" w:hAnsi="Arial"/>
          <w:sz w:val="16"/>
          <w:szCs w:val="16"/>
          <w:color w:val="auto"/>
        </w:rPr>
        <w:t>U.S. Tax Compliance Certificate (For Foreign Lenders That Are Not Partnerships For U.S. Federal Income Tax Purposes)</w:t>
      </w:r>
    </w:p>
    <w:p>
      <w:pPr>
        <w:spacing w:after="0"/>
        <w:tabs>
          <w:tab w:leader="none" w:pos="1120" w:val="left"/>
        </w:tabs>
        <w:rPr>
          <w:sz w:val="20"/>
          <w:szCs w:val="20"/>
          <w:color w:val="auto"/>
        </w:rPr>
      </w:pPr>
      <w:r>
        <w:rPr>
          <w:rFonts w:ascii="Arial" w:cs="Arial" w:eastAsia="Arial" w:hAnsi="Arial"/>
          <w:sz w:val="20"/>
          <w:szCs w:val="20"/>
          <w:color w:val="auto"/>
        </w:rPr>
        <w:t>Exhibit D-2</w:t>
      </w:r>
      <w:r>
        <w:rPr>
          <w:sz w:val="20"/>
          <w:szCs w:val="20"/>
          <w:color w:val="auto"/>
        </w:rPr>
        <w:tab/>
      </w:r>
      <w:r>
        <w:rPr>
          <w:rFonts w:ascii="Arial" w:cs="Arial" w:eastAsia="Arial" w:hAnsi="Arial"/>
          <w:sz w:val="16"/>
          <w:szCs w:val="16"/>
          <w:color w:val="auto"/>
        </w:rPr>
        <w:t>U.S. Tax Compliance Certificate (For Foreign Participants That Are Not Partnerships For U.S. Federal Income Tax Purposes)</w:t>
      </w:r>
    </w:p>
    <w:p>
      <w:pPr>
        <w:spacing w:after="0"/>
        <w:tabs>
          <w:tab w:leader="none" w:pos="1120" w:val="left"/>
        </w:tabs>
        <w:rPr>
          <w:sz w:val="20"/>
          <w:szCs w:val="20"/>
          <w:color w:val="auto"/>
        </w:rPr>
      </w:pPr>
      <w:r>
        <w:rPr>
          <w:rFonts w:ascii="Arial" w:cs="Arial" w:eastAsia="Arial" w:hAnsi="Arial"/>
          <w:sz w:val="20"/>
          <w:szCs w:val="20"/>
          <w:color w:val="auto"/>
        </w:rPr>
        <w:t>Exhibit D-3</w:t>
      </w:r>
      <w:r>
        <w:rPr>
          <w:sz w:val="20"/>
          <w:szCs w:val="20"/>
          <w:color w:val="auto"/>
        </w:rPr>
        <w:tab/>
      </w:r>
      <w:r>
        <w:rPr>
          <w:rFonts w:ascii="Arial" w:cs="Arial" w:eastAsia="Arial" w:hAnsi="Arial"/>
          <w:sz w:val="16"/>
          <w:szCs w:val="16"/>
          <w:color w:val="auto"/>
        </w:rPr>
        <w:t>U.S. Tax Compliance Certificate (For Foreign Participants That Are Partnerships For U.S. Federal Income Tax Purposes)</w:t>
      </w:r>
    </w:p>
    <w:p>
      <w:pPr>
        <w:spacing w:after="0"/>
        <w:tabs>
          <w:tab w:leader="none" w:pos="1120" w:val="left"/>
        </w:tabs>
        <w:rPr>
          <w:sz w:val="20"/>
          <w:szCs w:val="20"/>
          <w:color w:val="auto"/>
        </w:rPr>
      </w:pPr>
      <w:r>
        <w:rPr>
          <w:rFonts w:ascii="Arial" w:cs="Arial" w:eastAsia="Arial" w:hAnsi="Arial"/>
          <w:sz w:val="20"/>
          <w:szCs w:val="20"/>
          <w:color w:val="auto"/>
        </w:rPr>
        <w:t>Exhibit D-4</w:t>
      </w:r>
      <w:r>
        <w:rPr>
          <w:sz w:val="20"/>
          <w:szCs w:val="20"/>
          <w:color w:val="auto"/>
        </w:rPr>
        <w:tab/>
      </w:r>
      <w:r>
        <w:rPr>
          <w:rFonts w:ascii="Arial" w:cs="Arial" w:eastAsia="Arial" w:hAnsi="Arial"/>
          <w:sz w:val="16"/>
          <w:szCs w:val="16"/>
          <w:color w:val="auto"/>
        </w:rPr>
        <w:t>U.S. Tax Compliance Certificate (For Foreign Lenders That Are Partnerships For U.S. Federal Income Tax Purposes)</w:t>
      </w:r>
    </w:p>
    <w:p>
      <w:pPr>
        <w:spacing w:after="0"/>
        <w:tabs>
          <w:tab w:leader="none" w:pos="940" w:val="left"/>
        </w:tabs>
        <w:rPr>
          <w:sz w:val="20"/>
          <w:szCs w:val="20"/>
          <w:color w:val="auto"/>
        </w:rPr>
      </w:pPr>
      <w:r>
        <w:rPr>
          <w:rFonts w:ascii="Arial" w:cs="Arial" w:eastAsia="Arial" w:hAnsi="Arial"/>
          <w:sz w:val="20"/>
          <w:szCs w:val="20"/>
          <w:color w:val="auto"/>
        </w:rPr>
        <w:t>Exhibit E</w:t>
      </w:r>
      <w:r>
        <w:rPr>
          <w:sz w:val="20"/>
          <w:szCs w:val="20"/>
          <w:color w:val="auto"/>
        </w:rPr>
        <w:tab/>
      </w:r>
      <w:r>
        <w:rPr>
          <w:rFonts w:ascii="Arial" w:cs="Arial" w:eastAsia="Arial" w:hAnsi="Arial"/>
          <w:sz w:val="18"/>
          <w:szCs w:val="18"/>
          <w:color w:val="auto"/>
        </w:rPr>
        <w:t>Compliance Certificate</w:t>
      </w:r>
    </w:p>
    <w:p>
      <w:pPr>
        <w:spacing w:after="0"/>
        <w:tabs>
          <w:tab w:leader="none" w:pos="92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6"/>
          <w:szCs w:val="16"/>
          <w:color w:val="auto"/>
        </w:rPr>
        <w:t>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080"/>
          </w:cols>
          <w:pgMar w:left="320" w:top="118" w:right="499" w:bottom="1440" w:gutter="0" w:footer="0" w:header="0"/>
        </w:sectPr>
      </w:pPr>
    </w:p>
    <w:bookmarkStart w:id="43" w:name="page44"/>
    <w:bookmarkEnd w:id="43"/>
    <w:p>
      <w:pPr>
        <w:jc w:val="both"/>
        <w:ind w:firstLine="648"/>
        <w:spacing w:after="0" w:line="269" w:lineRule="auto"/>
        <w:rPr>
          <w:sz w:val="20"/>
          <w:szCs w:val="20"/>
          <w:color w:val="auto"/>
        </w:rPr>
      </w:pPr>
      <w:r>
        <w:rPr>
          <w:rFonts w:ascii="Arial" w:cs="Arial" w:eastAsia="Arial" w:hAnsi="Arial"/>
          <w:sz w:val="19"/>
          <w:szCs w:val="19"/>
          <w:color w:val="auto"/>
        </w:rPr>
        <w:t>CREDIT AGREEMENT dated as of April 30, 2021 (as it may be amended or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among THE HONEST COMPANY, INC., a Delaware corporation, as a Borrower, each other Borrower party hereto, the other Loan Parties party hereto, the Lenders party hereto, and JPMORGAN CHASE BANK, N.A., as Administrative Agent.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obligated on an Account.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means, with respect to any Eurodollar Borrowing for any Interest Period or for any CBFR Borrowing, an interest rate per annum (rounded upwards, if necessary, to the next 1/16 of 1%) equal to (a) the LIBO Rate for such Interest Period multiplied by (b) the Statutory Reserve Rate.</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One Month LIBOR Rate</w:t>
      </w:r>
      <w:r>
        <w:rPr>
          <w:rFonts w:ascii="Arial" w:cs="Arial" w:eastAsia="Arial" w:hAnsi="Arial"/>
          <w:sz w:val="20"/>
          <w:szCs w:val="20"/>
          <w:color w:val="auto"/>
        </w:rPr>
        <w:t xml:space="preserve">” means, for any day, an interest rate per annum equal to the sum of (i) 2.50% plus (ii) the Adjusted LIBO Rate for a one-month interest period on such day (or if such day is not a Business Day,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the avoidance of doubt, the Adjusted LIBO Rate for any day shall be based on the LIBO Screen Rate at approximately 11:00 a.m. London time on such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LIBO Screen Rate at such time shall be less than zero, such rate shall be deemed to be zero for purposes of this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JPMorgan Chase Bank, N.A., in its capacity as administrative agent for the Lenders hereunder.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specified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Indemnitee</w:t>
      </w:r>
      <w:r>
        <w:rPr>
          <w:rFonts w:ascii="Arial" w:cs="Arial" w:eastAsia="Arial" w:hAnsi="Arial"/>
          <w:sz w:val="20"/>
          <w:szCs w:val="20"/>
          <w:color w:val="auto"/>
        </w:rPr>
        <w:t>” has the meaning assigned to it in Section 9.03(d).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Credit Exposure</w:t>
      </w:r>
      <w:r>
        <w:rPr>
          <w:rFonts w:ascii="Arial" w:cs="Arial" w:eastAsia="Arial" w:hAnsi="Arial"/>
          <w:sz w:val="20"/>
          <w:szCs w:val="20"/>
          <w:color w:val="auto"/>
        </w:rPr>
        <w:t>” means, at any time, the aggregate Credit Exposure of all the Lenders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Exposure</w:t>
      </w:r>
      <w:r>
        <w:rPr>
          <w:rFonts w:ascii="Arial" w:cs="Arial" w:eastAsia="Arial" w:hAnsi="Arial"/>
          <w:sz w:val="19"/>
          <w:szCs w:val="19"/>
          <w:color w:val="auto"/>
        </w:rPr>
        <w:t>” means, at any time, the aggregate Revolving Exposure of all the Lenders at such time.</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any Borrower or any Subsidiaries of any Borrower from time to time concerning or relating to bribery or corruption.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has the meaning assigned to it in Section 8.03(c).</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at any time with respect to any Lender, a percentage equal to a fraction the numerator of which is such Lender’s Revolving Commitment at such time and the denominator of which is the aggregate Revolving Commitments at such time (provided that, if the Revolving Commitments have terminated or expired, the Applicable Percentages shall be determined based upon such Lender’s share of the Aggregate Revolving Exposure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accordance with Section 2.20, so long as any Lender shall be a Defaulting Lender, such Defaulting Lender’s Commitment shall be disregarded in the calculations above.</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(i) with respect to Eurodollar Loans, 1.50%, (ii) with respect to CBFR Loans, (0.50)%, (iii) with respect to commitment fees pursuant to Section 2.12(a), 0.10% and (iv) with respect to Letter of Credit fees pursuant to Section 2.12(b), 1.40%.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has the meaning assigned to it in Section 8.03(a).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the term in Section 9.04(b).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JPMorgan Chase Bank, N.A., in its capacity as sole bookrunner and sole lead arranger hereunder.</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xml:space="preserve">” means, at any time, an amount equal to (a) the aggregate Revolving Commitments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(b) the Aggregate Revolving Exposure (calculated, with respect to any Defaulting Lender, as if such Defaulting Lender had funded its Applicable Percentage of all outstanding Borrowings).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Revolving Credit Maturity Date and the date of termination of the Revolving Commitments.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any tenor for such Benchmark that is then-removed from the definition of “Interest Period” pursuant to clause (g) of Section 2.14.</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w:t>
      </w:r>
      <w:r>
        <w:rPr>
          <w:rFonts w:ascii="Arial" w:cs="Arial" w:eastAsia="Arial" w:hAnsi="Arial"/>
          <w:sz w:val="20"/>
          <w:szCs w:val="20"/>
          <w:color w:val="auto"/>
        </w:rPr>
        <w:t>” means each and any of the following bank services provided to any Loan Party or any Subsidiary by Chase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 and cash pooling services).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Obligations</w:t>
      </w:r>
      <w:r>
        <w:rPr>
          <w:rFonts w:ascii="Arial" w:cs="Arial" w:eastAsia="Arial" w:hAnsi="Arial"/>
          <w:sz w:val="20"/>
          <w:szCs w:val="20"/>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means, initially, LIBO Rate; provided that if a Benchmark Transition Event, a Term SOFR Transition Event or an Early Opt-in Election, as applicable, and its related Benchmark Replacement Date have occurred with respect to LIBO Rate or the then-current Benchmark, then “Benchmark” means the applicable Benchmark Replacement to the extent that such Benchmark Replacement has replaced such prior benchmark rate pursuant to clause (c) or clause (d) of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6" w:name="page47"/>
    <w:bookmarkEnd w:id="46"/>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p>
    <w:p>
      <w:pPr>
        <w:spacing w:after="0" w:line="177"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provided that, in the case of clause (1), such Unadjusted Benchmark Replacement is displayed on a screen or other information service that publishes such rate from time to time as selected by the Administrative Agent in its reasonable discretion; provided further that, notwithstanding anything to the contrary in this Agreement or in any other Loan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7" w:lineRule="exact"/>
        <w:rPr>
          <w:sz w:val="20"/>
          <w:szCs w:val="20"/>
          <w:color w:val="auto"/>
        </w:rPr>
      </w:pPr>
    </w:p>
    <w:p>
      <w:pPr>
        <w:jc w:val="both"/>
        <w:ind w:right="20"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85" w:lineRule="exact"/>
        <w:rPr>
          <w:sz w:val="20"/>
          <w:szCs w:val="20"/>
          <w:color w:val="auto"/>
        </w:rPr>
      </w:pPr>
    </w:p>
    <w:p>
      <w:pPr>
        <w:ind w:left="660" w:firstLine="644"/>
        <w:spacing w:after="0" w:line="260" w:lineRule="auto"/>
        <w:tabs>
          <w:tab w:leader="none" w:pos="1608"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Administrative Agent:</w:t>
      </w:r>
    </w:p>
    <w:p>
      <w:pPr>
        <w:spacing w:after="0" w:line="176" w:lineRule="exact"/>
        <w:rPr>
          <w:rFonts w:ascii="Arial" w:cs="Arial" w:eastAsia="Arial" w:hAnsi="Arial"/>
          <w:sz w:val="20"/>
          <w:szCs w:val="20"/>
          <w:color w:val="auto"/>
        </w:rPr>
      </w:pPr>
    </w:p>
    <w:p>
      <w:pPr>
        <w:jc w:val="both"/>
        <w:ind w:left="1300" w:firstLine="652"/>
        <w:spacing w:after="0" w:line="263" w:lineRule="auto"/>
        <w:tabs>
          <w:tab w:leader="none" w:pos="2258"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6" w:lineRule="exact"/>
        <w:rPr>
          <w:rFonts w:ascii="Arial" w:cs="Arial" w:eastAsia="Arial" w:hAnsi="Arial"/>
          <w:sz w:val="19"/>
          <w:szCs w:val="19"/>
          <w:color w:val="auto"/>
        </w:rPr>
      </w:pPr>
    </w:p>
    <w:p>
      <w:pPr>
        <w:jc w:val="both"/>
        <w:ind w:left="1300" w:firstLine="652"/>
        <w:spacing w:after="0" w:line="250" w:lineRule="auto"/>
        <w:tabs>
          <w:tab w:leader="none" w:pos="2266"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7" w:name="page48"/>
    <w:bookmarkEnd w:id="47"/>
    <w:p>
      <w:pPr>
        <w:ind w:left="1300"/>
        <w:spacing w:after="0" w:line="260" w:lineRule="auto"/>
        <w:rPr>
          <w:sz w:val="20"/>
          <w:szCs w:val="20"/>
          <w:color w:val="auto"/>
        </w:rPr>
      </w:pPr>
      <w:r>
        <w:rPr>
          <w:rFonts w:ascii="Arial" w:cs="Arial" w:eastAsia="Arial" w:hAnsi="Arial"/>
          <w:sz w:val="20"/>
          <w:szCs w:val="20"/>
          <w:color w:val="auto"/>
        </w:rPr>
        <w:t>Definitions to be effective upon an index cessation event with respect to such Benchmark for the applicable Corresponding Tenor; and</w:t>
      </w:r>
    </w:p>
    <w:p>
      <w:pPr>
        <w:spacing w:after="0" w:line="177" w:lineRule="exact"/>
        <w:rPr>
          <w:sz w:val="20"/>
          <w:szCs w:val="20"/>
          <w:color w:val="auto"/>
        </w:rPr>
      </w:pPr>
    </w:p>
    <w:p>
      <w:pPr>
        <w:jc w:val="both"/>
        <w:ind w:left="660" w:firstLine="644"/>
        <w:spacing w:after="0" w:line="273" w:lineRule="auto"/>
        <w:tabs>
          <w:tab w:leader="none" w:pos="16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“CB Floating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 current Benchmark:</w:t>
      </w:r>
    </w:p>
    <w:p>
      <w:pPr>
        <w:spacing w:after="0" w:line="239" w:lineRule="exact"/>
        <w:rPr>
          <w:sz w:val="20"/>
          <w:szCs w:val="20"/>
          <w:color w:val="auto"/>
        </w:rPr>
      </w:pPr>
    </w:p>
    <w:p>
      <w:pPr>
        <w:jc w:val="both"/>
        <w:ind w:left="660" w:firstLine="644"/>
        <w:spacing w:after="0" w:line="246" w:lineRule="auto"/>
        <w:tabs>
          <w:tab w:leader="none" w:pos="1601"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91" w:lineRule="exact"/>
        <w:rPr>
          <w:rFonts w:ascii="Arial" w:cs="Arial" w:eastAsia="Arial" w:hAnsi="Arial"/>
          <w:sz w:val="20"/>
          <w:szCs w:val="20"/>
          <w:color w:val="auto"/>
        </w:rPr>
      </w:pPr>
    </w:p>
    <w:p>
      <w:pPr>
        <w:ind w:left="660" w:firstLine="644"/>
        <w:spacing w:after="0" w:line="260" w:lineRule="auto"/>
        <w:tabs>
          <w:tab w:leader="none" w:pos="1588"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612"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a Term SOFR Transition Event, the date that is thirty (30) days after the date a Term SOFR Notice is provided to the Lenders and the Borrower pursuant to Section 2.14(d);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8" w:name="page49"/>
    <w:bookmarkEnd w:id="48"/>
    <w:p>
      <w:pPr>
        <w:jc w:val="both"/>
        <w:ind w:left="660" w:firstLine="644"/>
        <w:spacing w:after="0" w:line="246" w:lineRule="auto"/>
        <w:tabs>
          <w:tab w:leader="none" w:pos="1592"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means the occurrence of one or more of the following events with respect to the then-current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jc w:val="both"/>
        <w:ind w:left="660" w:firstLine="644"/>
        <w:spacing w:after="0" w:line="244" w:lineRule="auto"/>
        <w:tabs>
          <w:tab w:leader="none" w:pos="15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4" w:lineRule="exact"/>
        <w:rPr>
          <w:rFonts w:ascii="Arial" w:cs="Arial" w:eastAsia="Arial" w:hAnsi="Arial"/>
          <w:sz w:val="20"/>
          <w:szCs w:val="20"/>
          <w:color w:val="auto"/>
        </w:rPr>
      </w:pPr>
    </w:p>
    <w:p>
      <w:pPr>
        <w:jc w:val="both"/>
        <w:ind w:left="660" w:firstLine="644"/>
        <w:spacing w:after="0" w:line="257" w:lineRule="auto"/>
        <w:tabs>
          <w:tab w:leader="none" w:pos="159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59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avoidance of doubt, a “</w:t>
      </w:r>
      <w:r>
        <w:rPr>
          <w:rFonts w:ascii="Arial" w:cs="Arial" w:eastAsia="Arial" w:hAnsi="Arial"/>
          <w:sz w:val="20"/>
          <w:szCs w:val="20"/>
          <w:u w:val="single" w:color="auto"/>
          <w:color w:val="auto"/>
        </w:rPr>
        <w:t>Benchmark Transition</w:t>
      </w:r>
      <w:r>
        <w:rPr>
          <w:rFonts w:ascii="Arial" w:cs="Arial" w:eastAsia="Arial" w:hAnsi="Arial"/>
          <w:sz w:val="20"/>
          <w:szCs w:val="20"/>
          <w:color w:val="auto"/>
        </w:rPr>
        <w:t xml:space="preserve">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means the period (if any) ( x) beginning at the time that a Benchmark Replacement Date pursuant to clauses (1) or (2) of that definition has occurred if, at such time, no Benchmark Replacement has replaced the then-current Benchmark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9"/>
          <w:szCs w:val="19"/>
          <w:color w:val="auto"/>
        </w:rPr>
        <w:t>and under any Loan Document in accordance with Section 2.14 and (y) ending at the time that a Benchmark Replacement has replaced the then-current Benchmark for all purposes hereunder and under any Loan Document in accordance with Section 2.14.</w:t>
      </w:r>
    </w:p>
    <w:p>
      <w:pPr>
        <w:spacing w:after="0" w:line="15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 ERISA,</w:t>
      </w:r>
    </w:p>
    <w:p>
      <w:pPr>
        <w:spacing w:after="0" w:line="39" w:lineRule="exact"/>
        <w:rPr>
          <w:sz w:val="20"/>
          <w:szCs w:val="20"/>
          <w:color w:val="auto"/>
        </w:rPr>
      </w:pPr>
    </w:p>
    <w:p>
      <w:pPr>
        <w:jc w:val="both"/>
        <w:ind w:firstLine="8"/>
        <w:spacing w:after="0" w:line="241" w:lineRule="auto"/>
        <w:tabs>
          <w:tab w:leader="none" w:pos="28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1841(k)) of such party.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Blocking Regulation</w:t>
      </w:r>
      <w:r>
        <w:rPr>
          <w:rFonts w:ascii="Arial" w:cs="Arial" w:eastAsia="Arial" w:hAnsi="Arial"/>
          <w:sz w:val="20"/>
          <w:szCs w:val="20"/>
          <w:color w:val="auto"/>
        </w:rPr>
        <w:t>” has the meaning assigned to it in Section 3.21.</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or “</w:t>
      </w:r>
      <w:r>
        <w:rPr>
          <w:rFonts w:ascii="Arial" w:cs="Arial" w:eastAsia="Arial" w:hAnsi="Arial"/>
          <w:sz w:val="20"/>
          <w:szCs w:val="20"/>
          <w:u w:val="single" w:color="auto"/>
          <w:color w:val="auto"/>
        </w:rPr>
        <w:t>Borrowers</w:t>
      </w:r>
      <w:r>
        <w:rPr>
          <w:rFonts w:ascii="Arial" w:cs="Arial" w:eastAsia="Arial" w:hAnsi="Arial"/>
          <w:sz w:val="20"/>
          <w:szCs w:val="20"/>
          <w:color w:val="auto"/>
        </w:rPr>
        <w:t>” means, individually or collectively, the Company, and any other Person who joins this Agreement as a Borrower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has the meaning assigned to such term in Section 11.01.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Revolving Loans of the same Type, made, converted or continued on the same date and, in the case of Eurodollar Loans, as to which a single Interest Period is in effect.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by the Borrower Representative for a Borrowing in accordance with Section 2.03, which shall be substantially in the form of Exhibit B-1 hereto or any other form approved by the Administrative Agent.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Restrictions</w:t>
      </w:r>
      <w:r>
        <w:rPr>
          <w:rFonts w:ascii="Arial" w:cs="Arial" w:eastAsia="Arial" w:hAnsi="Arial"/>
          <w:sz w:val="18"/>
          <w:szCs w:val="18"/>
          <w:color w:val="auto"/>
        </w:rPr>
        <w:t>” means any consensual encumbrance or restriction of the type described in clause (a) or (b) of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6.10.</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a Eurodollar Loan, the term “Business Day” shall also exclude any day on which banks are not open for general business in London.</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 Floating Rate</w:t>
      </w:r>
      <w:r>
        <w:rPr>
          <w:rFonts w:ascii="Arial" w:cs="Arial" w:eastAsia="Arial" w:hAnsi="Arial"/>
          <w:sz w:val="20"/>
          <w:szCs w:val="20"/>
          <w:color w:val="auto"/>
        </w:rPr>
        <w:t xml:space="preserve">” means the Prime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CB Floating Rate shall never be less than the Adjusted One Month LIBOR Rate on such day (or if such day is not a Business Day, the immediately preceding Business Day). Any change in the CB Floating Rate due to a change in the Prime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Rate or the Adjusted One Month LIBOR Rate shall be effective from and including the effective date of such change in the Prime Rate or the Adjusted One Month LIBOR Rate,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CBFR</w:t>
      </w:r>
      <w:r>
        <w:rPr>
          <w:rFonts w:ascii="Arial" w:cs="Arial" w:eastAsia="Arial" w:hAnsi="Arial"/>
          <w:sz w:val="20"/>
          <w:szCs w:val="20"/>
          <w:color w:val="auto"/>
        </w:rPr>
        <w:t>”, when used in reference to any Loan or Borrowing, refers to whether such Loan, or the Loans comprising such Borrowing, bear interest at a rate determined by reference to the CB Floating Rate.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CFC</w:t>
      </w:r>
      <w:r>
        <w:rPr>
          <w:rFonts w:ascii="Arial" w:cs="Arial" w:eastAsia="Arial" w:hAnsi="Arial"/>
          <w:sz w:val="19"/>
          <w:szCs w:val="19"/>
          <w:color w:val="auto"/>
        </w:rPr>
        <w:t xml:space="preserve">” means each direct and indirect Subsidiary of the Company (a) that is a “controlled foreign corporation” as defined in Section 957 of the Code, (b) that is a Subsidiary of a “controlled foreign corporation” as defined in Section 957 of the Code, or (c) substantially all of the assets of which are Equity Interests in one or more “controlled foreign corporations” as defined in Section 957 of the Code;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a CFC shall not include any Subsidiary as to which the owner of the Equity Interests in such Subsidiary would be entitled to a 100% dividends-received deduction under Section 245A of the Code.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on a fully diluted basis; (b) occupation at any time of a majority of the seats (other than vacant seats) on the board of directors of the Company by Persons who were not (i) directors of the Company on the date of this Agreement or nominated or appointed by the board of directors of the Company or (ii) appointed by directors so nominated or appointed; or (c) except as permitted by Section 6.03, the Company shall cease to own, free and clear of all Liens or other encumbrances, 100% of the outstanding Equity Interests of each of its Subsidiaries on a fully diluted basis.</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(or, with respect to any Lender, such later date on which such Lender becomes a party to this Agreement)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Chase</w:t>
      </w:r>
      <w:r>
        <w:rPr>
          <w:rFonts w:ascii="Arial" w:cs="Arial" w:eastAsia="Arial" w:hAnsi="Arial"/>
          <w:sz w:val="19"/>
          <w:szCs w:val="19"/>
          <w:color w:val="auto"/>
        </w:rPr>
        <w:t>” means JPMorgan Chase Bank, N.A., a national banking association, in its individual capacity, and its successors.</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 any Loan or Borrowing, refers to whether such Loan, or the Loans comprising such Borrowing, are Revolving Loans, (b) any Commitment, refers to a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Commitment, and (c) any Lender, refers to whether such Lender has a Loan or Commitment of a particular Class.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United States Internal Revenue Code of 1986, as amended from time to time.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The Collateral shall not include any Excluded Collateral.</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LC Exposure</w:t>
      </w:r>
      <w:r>
        <w:rPr>
          <w:rFonts w:ascii="Arial" w:cs="Arial" w:eastAsia="Arial" w:hAnsi="Arial"/>
          <w:sz w:val="20"/>
          <w:szCs w:val="20"/>
          <w:color w:val="auto"/>
        </w:rPr>
        <w:t xml:space="preserve">” means, at any time, the sum of (a) the aggregate undrawn amount of all outstanding commercial Letters of Credit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(b) 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with respect to each Lender, the sum of such Lender’s Revolving Commitment. The initial amount of each Lender’s Commitment is set forth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assigned to such term in Section 8.03(c).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The Honest Company, Inc., a Delaware corporation.</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any Person which is a direct competitor of the Company or its Subsidiaries if, at the time of a proposed assignment, the Administrative Agent and the assigning Lender have actual knowledge that such Person is a direct competitor of the Company 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in connection with any assignment or participation, the assignee or participant with respect to such proposed assignment or participation that is an investment bank, a commercial bank, a finance company, a fund, or other Person which merely has an economic interest in or is otherwise affiliated with any such direct competitor, and is not itself such a direct competitor of the Company or its Subsidiaries, shall not be deemed to be a direct competitor for the purposes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2" w:name="page53"/>
    <w:bookmarkEnd w:id="52"/>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of a Financial Officer of the Borrower Representative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215" w:lineRule="exact"/>
        <w:rPr>
          <w:rFonts w:ascii="Arial" w:cs="Arial" w:eastAsia="Arial" w:hAnsi="Arial"/>
          <w:sz w:val="20"/>
          <w:szCs w:val="20"/>
          <w:color w:val="auto"/>
        </w:rPr>
      </w:pPr>
    </w:p>
    <w:p>
      <w:pPr>
        <w:ind w:left="1100" w:hanging="444"/>
        <w:spacing w:after="0"/>
        <w:tabs>
          <w:tab w:leader="none" w:pos="11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215" w:lineRule="exact"/>
        <w:rPr>
          <w:rFonts w:ascii="Arial" w:cs="Arial" w:eastAsia="Arial" w:hAnsi="Arial"/>
          <w:sz w:val="20"/>
          <w:szCs w:val="20"/>
          <w:color w:val="auto"/>
        </w:rPr>
      </w:pPr>
    </w:p>
    <w:p>
      <w:pPr>
        <w:ind w:left="1160" w:hanging="504"/>
        <w:spacing w:after="0"/>
        <w:tabs>
          <w:tab w:leader="none" w:pos="11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has the meaning assigned to it in Section 9.21.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as to any Lender at any time such Lender’s Revolving Exposure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the Issuing Bank or any other Lender.</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3" w:name="page54"/>
    <w:bookmarkEnd w:id="53"/>
    <w:p>
      <w:pPr>
        <w:jc w:val="both"/>
        <w:spacing w:after="0" w:line="241" w:lineRule="auto"/>
        <w:rPr>
          <w:sz w:val="20"/>
          <w:szCs w:val="20"/>
          <w:color w:val="auto"/>
        </w:rPr>
      </w:pPr>
      <w:r>
        <w:rPr>
          <w:rFonts w:ascii="Arial" w:cs="Arial" w:eastAsia="Arial" w:hAnsi="Arial"/>
          <w:sz w:val="20"/>
          <w:szCs w:val="20"/>
          <w:color w:val="auto"/>
        </w:rPr>
        <w:t>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w:t>
      </w:r>
      <w:r>
        <w:rPr>
          <w:rFonts w:ascii="Arial" w:cs="Arial" w:eastAsia="Arial" w:hAnsi="Arial"/>
          <w:sz w:val="20"/>
          <w:szCs w:val="20"/>
          <w:u w:val="single" w:color="auto"/>
          <w:color w:val="auto"/>
        </w:rPr>
        <w:t>Schedule 3.06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has the meaning assigned to it in the definition of “Division.”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 Successor</w:t>
      </w:r>
      <w:r>
        <w:rPr>
          <w:rFonts w:ascii="Arial" w:cs="Arial" w:eastAsia="Arial" w:hAnsi="Arial"/>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shall mean each Subsidiary of a Borrower that is organized under the laws of the United States or any state thereof, or the District of Columbia.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Opt-in Election</w:t>
      </w:r>
      <w:r>
        <w:rPr>
          <w:rFonts w:ascii="Arial" w:cs="Arial" w:eastAsia="Arial" w:hAnsi="Arial"/>
          <w:sz w:val="20"/>
          <w:szCs w:val="20"/>
          <w:color w:val="auto"/>
        </w:rPr>
        <w:t>” means, if the then-current Benchmark is LIBO Rate, the occurrence of:</w:t>
      </w:r>
    </w:p>
    <w:p>
      <w:pPr>
        <w:spacing w:after="0" w:line="216" w:lineRule="exact"/>
        <w:rPr>
          <w:sz w:val="20"/>
          <w:szCs w:val="20"/>
          <w:color w:val="auto"/>
        </w:rPr>
      </w:pPr>
    </w:p>
    <w:p>
      <w:pPr>
        <w:jc w:val="both"/>
        <w:ind w:left="660" w:hanging="4"/>
        <w:spacing w:after="0" w:line="269" w:lineRule="auto"/>
        <w:tabs>
          <w:tab w:leader="none" w:pos="1152"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notification by the Administrative Agent to (or the request by the Borrower Representative to the Administrative Agent to notify) each of the other parties hereto that at least five currently outstanding dollar-denominated syndicated credit facilities at such time contain (as a result of amendment or as originally executed) a SOFR-based rate (including SOFR, a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4" w:name="page55"/>
    <w:bookmarkEnd w:id="54"/>
    <w:p>
      <w:pPr>
        <w:ind w:left="660"/>
        <w:spacing w:after="0" w:line="260" w:lineRule="auto"/>
        <w:rPr>
          <w:sz w:val="20"/>
          <w:szCs w:val="20"/>
          <w:color w:val="auto"/>
        </w:rPr>
      </w:pPr>
      <w:r>
        <w:rPr>
          <w:rFonts w:ascii="Arial" w:cs="Arial" w:eastAsia="Arial" w:hAnsi="Arial"/>
          <w:sz w:val="20"/>
          <w:szCs w:val="20"/>
          <w:color w:val="auto"/>
        </w:rPr>
        <w:t>SOFR or any other rate based upon SOFR) as a benchmark rate (and such syndicated credit facilities are identified in such notice and are publicly available for review), and</w:t>
      </w:r>
    </w:p>
    <w:p>
      <w:pPr>
        <w:spacing w:after="0" w:line="177" w:lineRule="exact"/>
        <w:rPr>
          <w:sz w:val="20"/>
          <w:szCs w:val="20"/>
          <w:color w:val="auto"/>
        </w:rPr>
      </w:pPr>
    </w:p>
    <w:p>
      <w:pPr>
        <w:ind w:left="660" w:hanging="4"/>
        <w:spacing w:after="0" w:line="260" w:lineRule="auto"/>
        <w:tabs>
          <w:tab w:leader="none" w:pos="113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joint election by the Administrative Agent and the Borrower Representative to trigger a fallback from LIBO Rate and the provision by the Administrative Agent of written notice of such election to the Lenders.</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xml:space="preserve">” means, for any period, Net Income for such period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(a) without duplication and to the extent deducted in determining Net Income for such period, the sum of (i) Interest Expense for such period, (ii) income tax expense for such period, (iii) all amounts attributable to depreciation and amortization expense for such period, (iv) non-cash stock-based compensation expenses for such period, plus cash withholding taxes paid on behalf of Nikolaos Vlahos pursuant to Section 18 of the Restricted Preferred Stock Award Agreement, (v) any non-cash losses on sales of fixed assets, non-cash losses on investments, write-downs of fixed or intangible assets or goodwill impairment charges (but excluding any non-cash charge that relates to the write-down or write-off of inventory), (vi) any extraordinary non-cash charges for such period, (vii) any other non-cash charges for such period, including realized non-cash foreign exchange losses and non-cash stock based compensation charges (but excluding any non-cash charge in respect of an item that was included in Net Income in a prior period and any non-cash charge that relates to the write-down or write-off of inventory), (viii) expenses, fees, costs, and charges incurred in connection with the Transactions in an aggregate amount not to exceed $300,000, (ix) fees, costs, and expenses that are actually incurred in connection with Permitted Acquisitions, investments, equity issuances (including secondary offerings), issuances of Indebtedness for borrowed money, dispositions or refinancing transactions and modifications of instruments (including any amortization or write-off of debt issuance or deferred financing costs, premiums, prepayment penalties, commissions, discounts, yield and other fees and charges), (x) non-recurring charges, costs, losses, fees and expenses directly incurred or paid directly as a result of discontinued operations or any sale or disposition of any asset of the Company or its Subsidiaries, to the extent factually supportable, (xi) expenses that have been reimbursed in cash by a third party (who is not an Affiliate of any Loan Party) during the same period pursuant to an indemnity or guaranty in favor of Company or its Subsidiaries to the extent such reimbursements do not increase Net Income, (xii) costs (including restructuring costs related to Acquisitions after the Effective Date), charges, accruals, reserves or expenses attributable to the undertaking and/or implementation of cost savings initiatives, operating expense reductions, integration, transition, facilities opening and pre-opening, business optimization and other restructuring and integration costs, charges accruals, reserves and expenses (including, without limitation, inventory optimization programs, software development costs, costs related to the closure or consolidation of facilities, stores and distribution centers, curtailments, costs related to entry into new markets, costs related to preopening and opening of stores, distribution centers or other facilities, consulting fees, signing costs, retention or completion bonuses, relocation expenses, severance payments, modifications to pension and post-retirement employee benefit plans and new systems design and implementation costs, information technology costs, website rebranding and redesign costs and project startup costs) incurred during such period, (xiii) one-time fees and expenses incurred in connection with an initial public offering of the Company (excluding any bonuses paid to employees or officers thereof in connection with such initial public offering) in an aggregate amount not to exceed $5,000,000 and so long as such fees are incurred prior to or within ninety (90) days following such initial public offering, (xiv) any costs incurred during such period with respect to liability, casualty events or business interruption, to the extent covered by insurance which has not been denied, but excluding any such costs to the extent indemnification payments, reimbursements or insurance proceeds were received in any subsequent period, (xv) expected cost savings, operating expense reductions, restructuring charges and expenses and synergies related to Acquisitions, divestitures, Dispositions, restructurings, cost savings initiatives, operating improvements and other similar initiatives projected by the Borrowers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5" w:name="page56"/>
    <w:bookmarkEnd w:id="55"/>
    <w:p>
      <w:pPr>
        <w:jc w:val="both"/>
        <w:spacing w:after="0" w:line="305" w:lineRule="auto"/>
        <w:rPr>
          <w:sz w:val="20"/>
          <w:szCs w:val="20"/>
          <w:color w:val="auto"/>
        </w:rPr>
      </w:pPr>
      <w:r>
        <w:rPr>
          <w:rFonts w:ascii="Arial" w:cs="Arial" w:eastAsia="Arial" w:hAnsi="Arial"/>
          <w:sz w:val="16"/>
          <w:szCs w:val="16"/>
          <w:color w:val="auto"/>
        </w:rPr>
        <w:t xml:space="preserve">to be realized as a result of any Disposition, restructuring activity, consolidation, integration, operational change, Permitted Acquisition or any other investment, in each case within the eighteen month period following the consummation thereof (or following the consummation of the squeeze-out merger in the case of an Acquisition structured as a two-step transaction) and such amounts are reasonably identifiable, reasonably attributable to the actions specified and reasonably anticipated to result from such actions, (xvi) net non-cash losses (including all fees, expenses and charges related thereto) on the retirement or extinguishment of Indebtedness, (xvii) fees, expenses and settlement costs expensed during such period that directly arise out of non-recurring litigation or settlement costs, fees or expenses in an aggregate amount not to exceed $3,000,000, (xviii) fees, costs, charges and expenses incurred during such period relating to any amendment, restatement, waiver, consent or other modification of this Agreement or the other Loan Documents, whether or not consummated, (xix) non-cash unrealized losses recognized during such period due to “mark-to-market” accounting in respect of Swap Agreements and (xx) bonuses and other incentive compensation paid to employees or officers of the Company, in connection with an initial public offering of the Company, in an aggregate amount not to exceed $20,000,000, so long as such bonus or other incentive compensation is paid prior to or within ninety (90) days following such initial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adjustments added back pursuant to the foregoing clauses (ix), (x), (xii), (xv), (xvii) and (xviii) shall not exceed the greater of (x) $5,000,000 and (y) twenty-five percent (25%) of EBITDA (calculated before giving effect to such adjustments), in any four fiscal quarter period,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without duplication and to the extent included in Net Income, (i) any cash payments made during such period in respect of non-cash charges described in clause (a)(v) taken in a prior period and</w:t>
      </w:r>
    </w:p>
    <w:p>
      <w:pPr>
        <w:spacing w:after="0" w:line="185" w:lineRule="exact"/>
        <w:rPr>
          <w:sz w:val="20"/>
          <w:szCs w:val="20"/>
          <w:color w:val="auto"/>
        </w:rPr>
      </w:pPr>
    </w:p>
    <w:p>
      <w:pPr>
        <w:ind w:firstLine="8"/>
        <w:spacing w:after="0" w:line="244" w:lineRule="auto"/>
        <w:tabs>
          <w:tab w:leader="none" w:pos="3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any extraordinary gains and any non-cash items of income for such period, all calculated for the Company and its Subsidiaries on a consolidated basis in accordance with GAAP.</w:t>
      </w:r>
    </w:p>
    <w:p>
      <w:pPr>
        <w:spacing w:after="0" w:line="19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the date on which the conditions specified in Section 4.01 are satisfied (or waived in accordance with Section 9.02).</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6" w:name="page57"/>
    <w:bookmarkEnd w:id="56"/>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System</w:t>
      </w:r>
      <w:r>
        <w:rPr>
          <w:rFonts w:ascii="Arial" w:cs="Arial" w:eastAsia="Arial" w:hAnsi="Arial"/>
          <w:sz w:val="18"/>
          <w:szCs w:val="18"/>
          <w:color w:val="auto"/>
        </w:rPr>
        <w:t>” means any electronic system, including e-mail, e-fax, web portal access for the Borrowers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laws,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Hazardous Material or (iv) health and safety matters.</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any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the rules and regulations promulgated thereunder.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7" w:name="page58"/>
    <w:bookmarkEnd w:id="5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when used in reference to any Loan or Borrowing, refers to whether such Loan, or the Loans comprising such Borrowing, bear interest at a rate determined by reference to the Adjusted LIBO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Collateral</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w:t>
      </w:r>
    </w:p>
    <w:p>
      <w:pPr>
        <w:spacing w:after="0" w:line="4" w:lineRule="exact"/>
        <w:rPr>
          <w:sz w:val="20"/>
          <w:szCs w:val="20"/>
          <w:color w:val="auto"/>
        </w:rPr>
      </w:pPr>
    </w:p>
    <w:p>
      <w:pPr>
        <w:jc w:val="both"/>
        <w:ind w:firstLine="8"/>
        <w:spacing w:after="0" w:line="274"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each letter of credit issued prior to the Effective Date by the Issuing Bank and listed on </w:t>
      </w:r>
      <w:r>
        <w:rPr>
          <w:rFonts w:ascii="Arial" w:cs="Arial" w:eastAsia="Arial" w:hAnsi="Arial"/>
          <w:sz w:val="18"/>
          <w:szCs w:val="18"/>
          <w:u w:val="single" w:color="auto"/>
          <w:color w:val="auto"/>
        </w:rPr>
        <w:t>Schedule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2.06</w:t>
      </w:r>
      <w:r>
        <w:rPr>
          <w:rFonts w:ascii="Arial" w:cs="Arial" w:eastAsia="Arial" w:hAnsi="Arial"/>
          <w:sz w:val="20"/>
          <w:szCs w:val="20"/>
          <w:color w:val="auto"/>
        </w:rPr>
        <w:t>.</w:t>
      </w:r>
    </w:p>
    <w:p>
      <w:pPr>
        <w:spacing w:after="0" w:line="20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calculated by the NYFRB based on such day’s federal funds transactions by depositary institutions, as determined in such manner as shall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0"/>
          <w:szCs w:val="20"/>
          <w:color w:val="auto"/>
        </w:rPr>
        <w:t>forth on the NYFRB’s Website from time to time, and published on the next succeeding Business Day by the NYFRB as the effective federal funds rate, provided that, if the Federal Funds Effective Rate as so determined would be less than zero, such rate shall be deemed to be zero for the purposes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Reserve Board</w:t>
      </w:r>
      <w:r>
        <w:rPr>
          <w:rFonts w:ascii="Arial" w:cs="Arial" w:eastAsia="Arial" w:hAnsi="Arial"/>
          <w:sz w:val="19"/>
          <w:szCs w:val="19"/>
          <w:color w:val="auto"/>
        </w:rPr>
        <w:t>” means the Board of Governors of the Federal Reserve System of the United States of America.</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a Borrower.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Fixtures</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has the meaning assigned to such term in Section 8.10.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LIBO Rate.</w:t>
      </w:r>
    </w:p>
    <w:p>
      <w:pPr>
        <w:spacing w:after="0" w:line="177"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a Borrower is a U.S. Person, a Lender (or if the Lender is a disregarded entity for U.S. federal income tax purposes, the Person treated as the owner of the assets of such Lender for U.S. federal income tax purposes) that is not a U.S. Person, and</w:t>
      </w:r>
    </w:p>
    <w:p>
      <w:pPr>
        <w:spacing w:after="0" w:line="1" w:lineRule="exact"/>
        <w:rPr>
          <w:sz w:val="20"/>
          <w:szCs w:val="20"/>
          <w:color w:val="auto"/>
        </w:rPr>
      </w:pPr>
    </w:p>
    <w:p>
      <w:pPr>
        <w:jc w:val="both"/>
        <w:ind w:firstLine="8"/>
        <w:spacing w:after="0" w:line="241" w:lineRule="auto"/>
        <w:tabs>
          <w:tab w:leader="none" w:pos="297" w:val="left"/>
        </w:tabs>
        <w:numPr>
          <w:ilvl w:val="0"/>
          <w:numId w:val="32"/>
        </w:numPr>
        <w:rPr>
          <w:rFonts w:ascii="Arial" w:cs="Arial" w:eastAsia="Arial" w:hAnsi="Arial"/>
          <w:sz w:val="20"/>
          <w:szCs w:val="20"/>
          <w:color w:val="auto"/>
        </w:rPr>
      </w:pPr>
      <w:r>
        <w:rPr>
          <w:rFonts w:ascii="Arial" w:cs="Arial" w:eastAsia="Arial" w:hAnsi="Arial"/>
          <w:sz w:val="20"/>
          <w:szCs w:val="20"/>
          <w:color w:val="auto"/>
        </w:rPr>
        <w:t>if a Borrower is not a U.S. Person, a Lender (or if the Lender is a disregarded entity for U.S. federal income tax purposes, the Person treated as the owner of the assets of such Lender for U.S. federal income tax purposes) that is resident or organized under the laws of a jurisdiction other than that in which such Borrower is resident for tax purposes.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shall mean each Subsidiary of a Borrower that is not a Domestic Subsidiary.</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 Holdco</w:t>
      </w:r>
      <w:r>
        <w:rPr>
          <w:rFonts w:ascii="Arial" w:cs="Arial" w:eastAsia="Arial" w:hAnsi="Arial"/>
          <w:sz w:val="19"/>
          <w:szCs w:val="19"/>
          <w:color w:val="auto"/>
        </w:rPr>
        <w:t>” means any Domestic Subsidiary, all the assets of which consist directly or indirectly of equity or equity and indebtedness of one or more CFCs (including other Foreign Subsidiary Holdcos), immaterial amounts of cash or cash equivalents and other immaterial assets. “</w:t>
      </w:r>
      <w:r>
        <w:rPr>
          <w:rFonts w:ascii="Arial" w:cs="Arial" w:eastAsia="Arial" w:hAnsi="Arial"/>
          <w:sz w:val="19"/>
          <w:szCs w:val="19"/>
          <w:u w:val="single" w:color="auto"/>
          <w:color w:val="auto"/>
        </w:rPr>
        <w:t>Funding Account</w:t>
      </w:r>
      <w:r>
        <w:rPr>
          <w:rFonts w:ascii="Arial" w:cs="Arial" w:eastAsia="Arial" w:hAnsi="Arial"/>
          <w:sz w:val="19"/>
          <w:szCs w:val="19"/>
          <w:color w:val="auto"/>
        </w:rPr>
        <w:t>” has the meaning assigned to such term in Section 4.01(h).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8"/>
          <w:szCs w:val="18"/>
          <w:color w:val="auto"/>
        </w:rPr>
        <w:t xml:space="preserve">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 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Borrower in good faith.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Obligations</w:t>
      </w:r>
      <w:r>
        <w:rPr>
          <w:rFonts w:ascii="Arial" w:cs="Arial" w:eastAsia="Arial" w:hAnsi="Arial"/>
          <w:sz w:val="20"/>
          <w:szCs w:val="20"/>
          <w:color w:val="auto"/>
        </w:rPr>
        <w:t>” has the meaning assigned to such term in Section 10.01.</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means all Loan Guarantors and the term “Guarantor” means each or any one of them individually. For the avoidance of doubt, no CFC shall be a Guarantor.</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IBA</w:t>
      </w:r>
      <w:r>
        <w:rPr>
          <w:rFonts w:ascii="Arial" w:cs="Arial" w:eastAsia="Arial" w:hAnsi="Arial"/>
          <w:sz w:val="20"/>
          <w:szCs w:val="20"/>
          <w:color w:val="auto"/>
        </w:rPr>
        <w:t>” has the meaning assigned to such term in Section 1.05.</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each Subsidiary of the Company designated by the Company from time to time as an “Immaterial Subsidiary” and that for the period of four consecutive fiscal quarters then ended, for which financial statements have been delivered pursuant to Section 5.01(a) or (b) (or, if prior to the date of the delivery of the first financial statements to be delivered pursuant to Section 5.01(a) or (b), the most recent financial statements referred to in Section 3.04(a)), represents, either individually or in the aggregate with each other Immaterial Subsidiary, more than (a) 10.0% of the consolidated total assets of the Company and its Subsidiaries or (b) 10.0% of the consolidated revenues of the Company and its Subsidiaries.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if and to the extent such obligation would appear as a liability upon the balance sheet of the specified Person in accordance with GAAP (excluding (i) accounts payable or other liability to trade creditors incurred in the ordinary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8"/>
          <w:szCs w:val="18"/>
          <w:color w:val="auto"/>
        </w:rPr>
        <w:t>business (ii) deferred compensation and severance, pension, health and welfare retirement and equivalent benefits to current or former employees, directors or managers of such Person and its Subsidiaries, and (iii) licenses entered into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provided that, if such Person has not assumed or otherwise become liable in respect of such Indebtedness, such obligations shall be deemed to be in an amount equal to the lesser of (i) the unpaid amount of such Indebtedness and (ii) fair market value of such property at the time of determination (in the Borrower’s good faith estimate),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other than the definition of Total Indebtedness, shall be valued at the maximum potential amount payable with respect to each such earn-out, and with respect to the definition of Total Indebtedness, shall be valued in accordance with GAAP) and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Representative to convert or continue a Borrowing in accordance with Section 2.08, which shall be substantially in the form of Exhibit B-2 hereto or any other form approved by the Administrative Agent.</w:t>
      </w:r>
    </w:p>
    <w:p>
      <w:pPr>
        <w:spacing w:after="0" w:line="13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with reference to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Company and its Subsidiaries on a consolidated basis for such period in accordance with GAAP.</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 with respect to any CBFR Loan, the first day of each calendar quarter and the Revolving Credit Maturity Date and (b) with respect to any Eurodollar Loan, the last day of each Interest Period applicable to the Borrowing of which such Loan is a part and, in the case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1" w:name="page62"/>
    <w:bookmarkEnd w:id="61"/>
    <w:p>
      <w:pPr>
        <w:jc w:val="both"/>
        <w:spacing w:after="0" w:line="316" w:lineRule="auto"/>
        <w:rPr>
          <w:sz w:val="20"/>
          <w:szCs w:val="20"/>
          <w:color w:val="auto"/>
        </w:rPr>
      </w:pPr>
      <w:r>
        <w:rPr>
          <w:rFonts w:ascii="Arial" w:cs="Arial" w:eastAsia="Arial" w:hAnsi="Arial"/>
          <w:sz w:val="18"/>
          <w:szCs w:val="18"/>
          <w:color w:val="auto"/>
        </w:rPr>
        <w:t>Eurodollar Borrowing with an Interest Period of more than three months’ duration, each day prior to the last day of such Interest Period that occurs at intervals of three months’ duration after the first day of such Interest Period and the Revolving Credit Maturity Date.</w:t>
      </w:r>
    </w:p>
    <w:p>
      <w:pPr>
        <w:spacing w:after="0" w:line="13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Eurodollar Borrowing, the period commencing on the date of such Eurodollar Borrowing and ending on the numerically corresponding day in the calendar month that is one, three or six months thereafter, as the Borrower Representative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in the case of a Revolving Borrowing, shall be the effective date of the most recent conversion or continuation of such Borrowing.</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provided that, if any Interpolated Rate shall be less than zero, such rate shall be deemed to be zero for purposes of this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individually and collectively, each of Chase,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 Sublimit</w:t>
      </w:r>
      <w:r>
        <w:rPr>
          <w:rFonts w:ascii="Arial" w:cs="Arial" w:eastAsia="Arial" w:hAnsi="Arial"/>
          <w:sz w:val="20"/>
          <w:szCs w:val="20"/>
          <w:color w:val="auto"/>
        </w:rPr>
        <w:t>” means, as of the Effective Date, (i) $10,000,000, in the case of Chase and (ii) such amount as shall be designated to the Administrative Agent and the Borrower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2" w:name="page63"/>
    <w:bookmarkEnd w:id="62"/>
    <w:p>
      <w:pPr>
        <w:jc w:val="both"/>
        <w:spacing w:after="0" w:line="260" w:lineRule="auto"/>
        <w:rPr>
          <w:sz w:val="20"/>
          <w:szCs w:val="20"/>
          <w:color w:val="auto"/>
        </w:rPr>
      </w:pPr>
      <w:r>
        <w:rPr>
          <w:rFonts w:ascii="Arial" w:cs="Arial" w:eastAsia="Arial" w:hAnsi="Arial"/>
          <w:sz w:val="20"/>
          <w:szCs w:val="20"/>
          <w:color w:val="auto"/>
        </w:rPr>
        <w:t xml:space="preserve">in writing by an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Issuing Bank shall be permitted at any time to increase or reduce its Issuing Bank Sublimit upon providing five (5) days’ prior written notice thereof to the Administrative Agent and the Borrowers.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in substantially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2.06(j).</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any payment made by an Issuing Bank pursuant to a Letter of Credit.</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Issuing Bank.</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Agreement</w:t>
      </w:r>
      <w:r>
        <w:rPr>
          <w:rFonts w:ascii="Arial" w:cs="Arial" w:eastAsia="Arial" w:hAnsi="Arial"/>
          <w:sz w:val="20"/>
          <w:szCs w:val="20"/>
          <w:color w:val="auto"/>
        </w:rPr>
        <w:t>” has the meaning assigned to it in Section 2.06(b).</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the letters of credit issued pursuant to this Agreement and shall include each Existing Letters of Credit, and the term “</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one of them or each of them singularly, as the context may require.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Rate</w:t>
      </w:r>
      <w:r>
        <w:rPr>
          <w:rFonts w:ascii="Arial" w:cs="Arial" w:eastAsia="Arial" w:hAnsi="Arial"/>
          <w:sz w:val="19"/>
          <w:szCs w:val="19"/>
          <w:color w:val="auto"/>
        </w:rPr>
        <w:t xml:space="preserve">” means, with respect to any Eurodollar Borrowing for any applicable Interest Period or for any CBFR Borrowing, the LIBO Screen Rate at approximately 11:00 a.m., London time, two (2) Business Days prior to the commencement of such Interest Period;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LIBO Screen Rate shall not be available at such time for such Interest Period (an “</w:t>
      </w:r>
      <w:r>
        <w:rPr>
          <w:rFonts w:ascii="Arial" w:cs="Arial" w:eastAsia="Arial" w:hAnsi="Arial"/>
          <w:sz w:val="19"/>
          <w:szCs w:val="19"/>
          <w:u w:val="single" w:color="auto"/>
          <w:color w:val="auto"/>
        </w:rPr>
        <w:t>Impacted Interest Period</w:t>
      </w:r>
      <w:r>
        <w:rPr>
          <w:rFonts w:ascii="Arial" w:cs="Arial" w:eastAsia="Arial" w:hAnsi="Arial"/>
          <w:sz w:val="19"/>
          <w:szCs w:val="19"/>
          <w:color w:val="auto"/>
        </w:rPr>
        <w:t>”), then the LIBO Rate shall be the Interpolated Rate, subject to Section 2.14 in the event that the Administrative Agent shall conclude that it shall not be possible to determine such Interpolated Rate (which conclusion shall be conclusive and binding absent manifest error). Notwithstanding the above, to the extent that “LIBO Rate” or “Adjusted LIBO Rate” is used in connection with an CBFR Borrowing, such rate shall be determined as modified by the definition of CB Floating Rate.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Eurodollar Borrowing for any Interest Period or for any CBFR Borrowing,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LIBO Screen Rate as so determined would be less than zero, such rate shall be deemed to be zero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3" w:name="page64"/>
    <w:bookmarkEnd w:id="63"/>
    <w:p>
      <w:pPr>
        <w:jc w:val="both"/>
        <w:spacing w:after="0" w:line="260" w:lineRule="auto"/>
        <w:rPr>
          <w:sz w:val="20"/>
          <w:szCs w:val="20"/>
          <w:color w:val="auto"/>
        </w:rPr>
      </w:pPr>
      <w:r>
        <w:rPr>
          <w:rFonts w:ascii="Arial" w:cs="Arial" w:eastAsia="Arial" w:hAnsi="Arial"/>
          <w:sz w:val="20"/>
          <w:szCs w:val="20"/>
          <w:color w:val="auto"/>
        </w:rPr>
        <w:t>purposes of this Agreement; provided further, that the foregoing shall not be applicable to determine the “Adjusted One Month LIBOR Rate” and the “CB Floating Rate”.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collectively, this Agreement, each promissory note issued pursuant to this Agreement, each Letter of Credit Agreement, each Collateral Document, each Compliance Certificate, the Loan Guaranty and each other agreement, instrument, document and certificate executed and delivered to, or in favor of, the Administrative Agent or any Lender and including each other pledge, power of attorney, consent, assignment, contract, notice, letter of credit agreement, letter of credit applications and any agreements between the Borrower Representative and the Issuing Bank regarding the Issuing Bank’s Issuing Bank Sublimit or the respective rights and obligations between the Borrower and the Issuing Bank in connection with the issuance of Letters of Credit, and each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means each Loan Party.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Guaranty</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the Borrowers’ Domestic Subsidiaries and any other Person who becomes a party to this Agreement pursuant to a Joinder Agreement and their respective successors and assigns, and the term “Loan Party” shall mean any one of them or all of them individually, as the context may require; provided, however, that no CFC shall be a Loan Party.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within the meaning of Regulations T, U and X, as applicable.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operations, or financial condition of the Company and its Subsidiaries taken as a whole, (b) the ability of any Loan Party to perform any of its Obligations, (c) the Collateral, or the Administrative Agent’s Liens (on behalf of itself and the other Secured Parties) on the Collateral or the priority of such Liens, or (d) the rights of or benefits available to the Administrative Agent, the Issuing Bank or the Lenders under any of the Loan Documents.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Subsidiaries</w:t>
      </w:r>
      <w:r>
        <w:rPr>
          <w:rFonts w:ascii="Arial" w:cs="Arial" w:eastAsia="Arial" w:hAnsi="Arial"/>
          <w:sz w:val="20"/>
          <w:szCs w:val="20"/>
          <w:color w:val="auto"/>
        </w:rPr>
        <w:t>” means each Domestic Subsidiary which is not an Immaterial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4" w:name="page65"/>
    <w:bookmarkEnd w:id="64"/>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Indebtedness</w:t>
      </w:r>
      <w:r>
        <w:rPr>
          <w:rFonts w:ascii="Arial" w:cs="Arial" w:eastAsia="Arial" w:hAnsi="Arial"/>
          <w:sz w:val="20"/>
          <w:szCs w:val="20"/>
          <w:color w:val="auto"/>
        </w:rPr>
        <w:t>” means Indebtedness (other than the Loans and Letters of Credit), or obligations in respect of one or more Swap Agreements, of any one or more of the Company and its Subsidiaries in an aggregate principal amount exceeding the greater of (x) $5,000,000 and (y) thirty-five percent (35%) of EBITDA. For purposes of determining Material Indebtedness, the “principal amount” of the obligations of a Borrower or any Subsidiary in respect of any Swap Agreement at any time shall be the maximum aggregate amount (giving effect to any netting agreements) that such Borrower or such Subsidiary would be required to pay if such Swap Agreement were terminated at such time.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Income</w:t>
      </w:r>
      <w:r>
        <w:rPr>
          <w:rFonts w:ascii="Arial" w:cs="Arial" w:eastAsia="Arial" w:hAnsi="Arial"/>
          <w:sz w:val="20"/>
          <w:szCs w:val="20"/>
          <w:color w:val="auto"/>
        </w:rPr>
        <w:t xml:space="preserve">” means, for any period, the consolidated net income (or loss) determined for the Company and its Subsidiaries, on a consolidated basis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(a) the income (or deficit) of any Person accrued prior to the date it becomes a Subsidiary or is merged into or consolidated with the Company or any Subsidiary, (b) the income (or deficit) of any Person (other than a Subsidiary) in which the Company or any Subsidiary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time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NYFRB’s Website</w:t>
      </w:r>
      <w:r>
        <w:rPr>
          <w:rFonts w:ascii="Arial" w:cs="Arial" w:eastAsia="Arial" w:hAnsi="Arial"/>
          <w:sz w:val="20"/>
          <w:szCs w:val="20"/>
          <w:color w:val="auto"/>
        </w:rPr>
        <w:t>” means the website of the NYFRB at http://www.newyorkfed.org, or any successor source.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has the meaning assigned to such term in Section 10.02.</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5" w:name="page66"/>
    <w:bookmarkEnd w:id="65"/>
    <w:p>
      <w:pPr>
        <w:jc w:val="both"/>
        <w:spacing w:after="0" w:line="244" w:lineRule="auto"/>
        <w:rPr>
          <w:sz w:val="20"/>
          <w:szCs w:val="20"/>
          <w:color w:val="auto"/>
        </w:rPr>
      </w:pPr>
      <w:r>
        <w:rPr>
          <w:rFonts w:ascii="Arial" w:cs="Arial" w:eastAsia="Arial" w:hAnsi="Arial"/>
          <w:sz w:val="20"/>
          <w:szCs w:val="20"/>
          <w:color w:val="auto"/>
        </w:rPr>
        <w:t>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provided that the definition of “Obligations” shall not create or include any guarantee by any Loan Party of any Excluded Swap Obligations of such Loan Party for purposes of determining any obligations of any Loan Party.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Off-Balance Sheet Liability</w:t>
      </w:r>
      <w:r>
        <w:rPr>
          <w:rFonts w:ascii="Arial" w:cs="Arial" w:eastAsia="Arial" w:hAnsi="Arial"/>
          <w:sz w:val="20"/>
          <w:szCs w:val="20"/>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at the request of the Borrower Representative).</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9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Paid in Full</w:t>
      </w:r>
      <w:r>
        <w:rPr>
          <w:rFonts w:ascii="Arial" w:cs="Arial" w:eastAsia="Arial" w:hAnsi="Arial"/>
          <w:sz w:val="20"/>
          <w:szCs w:val="20"/>
          <w:color w:val="auto"/>
        </w:rPr>
        <w:t>” or “</w:t>
      </w:r>
      <w:r>
        <w:rPr>
          <w:rFonts w:ascii="Arial" w:cs="Arial" w:eastAsia="Arial" w:hAnsi="Arial"/>
          <w:sz w:val="20"/>
          <w:szCs w:val="20"/>
          <w:u w:val="single" w:color="auto"/>
          <w:color w:val="auto"/>
        </w:rPr>
        <w:t>Payment in Full</w:t>
      </w:r>
      <w:r>
        <w:rPr>
          <w:rFonts w:ascii="Arial" w:cs="Arial" w:eastAsia="Arial" w:hAnsi="Arial"/>
          <w:sz w:val="20"/>
          <w:szCs w:val="20"/>
          <w:color w:val="auto"/>
        </w:rPr>
        <w:t>” means, (i) the indefeasible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103% of the LC Exposure as of the date of such payment), (iii) the indefeasible payment in full in cash of the accrued and unpaid fees, (iv)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6" w:name="page67"/>
    <w:bookmarkEnd w:id="66"/>
    <w:p>
      <w:pPr>
        <w:spacing w:after="0" w:line="260" w:lineRule="auto"/>
        <w:rPr>
          <w:sz w:val="20"/>
          <w:szCs w:val="20"/>
          <w:color w:val="auto"/>
        </w:rPr>
      </w:pPr>
      <w:r>
        <w:rPr>
          <w:rFonts w:ascii="Arial" w:cs="Arial" w:eastAsia="Arial" w:hAnsi="Arial"/>
          <w:sz w:val="20"/>
          <w:szCs w:val="20"/>
          <w:color w:val="auto"/>
        </w:rPr>
        <w:t>Obligations and the Banking Services Obligations or entering into other arrangements satisfactory to the Secured Parties counterparties thereto.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with respect to any Lender, any Person as to which such Lender is, directly or indirectly, a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9.04(c).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9.04(c).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has the meaning assigned to such term in Section 8.06(d).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has the meaning assigned to such term in Section 8.06(d).</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Loan Party in a transaction that satisfies each of the following requirements:</w:t>
      </w:r>
    </w:p>
    <w:p>
      <w:pPr>
        <w:spacing w:after="0" w:line="266"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such Acquisition is not a hostile or contested acquisition;</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44"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operations or activities that are reasonably complementary, ancillary, similar, related or incidental thereto or any business or activity that is a reasonable extension, development or expansion thereof or ancillary thereto; provided that a Loan Party may acquire a business outside of the U.S. or organized under non-U.S. laws as long as any such acquired Person becomes a wholly-owned Subsidiary of the Company and a Loan Party under this Agreement and the other Loan Documents;</w:t>
      </w:r>
    </w:p>
    <w:p>
      <w:pPr>
        <w:spacing w:after="0" w:line="192" w:lineRule="exact"/>
        <w:rPr>
          <w:rFonts w:ascii="Arial" w:cs="Arial" w:eastAsia="Arial" w:hAnsi="Arial"/>
          <w:sz w:val="20"/>
          <w:szCs w:val="20"/>
          <w:color w:val="auto"/>
        </w:rPr>
      </w:pPr>
    </w:p>
    <w:p>
      <w:pPr>
        <w:jc w:val="both"/>
        <w:ind w:left="660" w:firstLine="644"/>
        <w:spacing w:after="0" w:line="269" w:lineRule="auto"/>
        <w:tabs>
          <w:tab w:leader="none" w:pos="1946" w:val="left"/>
        </w:tabs>
        <w:numPr>
          <w:ilvl w:val="0"/>
          <w:numId w:val="33"/>
        </w:numPr>
        <w:rPr>
          <w:rFonts w:ascii="Arial" w:cs="Arial" w:eastAsia="Arial" w:hAnsi="Arial"/>
          <w:sz w:val="19"/>
          <w:szCs w:val="19"/>
          <w:color w:val="auto"/>
        </w:rPr>
      </w:pPr>
      <w:r>
        <w:rPr>
          <w:rFonts w:ascii="Arial" w:cs="Arial" w:eastAsia="Arial" w:hAnsi="Arial"/>
          <w:sz w:val="19"/>
          <w:szCs w:val="19"/>
          <w:color w:val="auto"/>
        </w:rPr>
        <w:t>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and no Default exists, will exist, or would result therefrom;</w:t>
      </w:r>
    </w:p>
    <w:p>
      <w:pPr>
        <w:spacing w:after="0" w:line="169" w:lineRule="exact"/>
        <w:rPr>
          <w:rFonts w:ascii="Arial" w:cs="Arial" w:eastAsia="Arial" w:hAnsi="Arial"/>
          <w:sz w:val="19"/>
          <w:szCs w:val="19"/>
          <w:color w:val="auto"/>
        </w:rPr>
      </w:pPr>
    </w:p>
    <w:p>
      <w:pPr>
        <w:jc w:val="both"/>
        <w:ind w:left="660" w:firstLine="644"/>
        <w:spacing w:after="0" w:line="269" w:lineRule="auto"/>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and statements of cash flow;</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9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if such Acquisition is an acquisition of the Equity Interests of a Person, such Acquisition is structured so that the acquired Person shall become a Wholly-Owned Subsidiary of a Borrower and a Loan Party to the extent required and pursuant to the terms of this Agreement;</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such Acquisition is an acquisition of assets, such Acquisition is structured so that a Borrower shall acquire such</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7" w:name="page68"/>
    <w:bookmarkEnd w:id="67"/>
    <w:p>
      <w:pPr>
        <w:ind w:left="1940" w:hanging="636"/>
        <w:spacing w:after="0"/>
        <w:tabs>
          <w:tab w:leader="none" w:pos="19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such Acquisition is an acquisition of Equity Interests, such Acquisition will not result in any violation of</w:t>
      </w:r>
    </w:p>
    <w:p>
      <w:pPr>
        <w:spacing w:after="0" w:line="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Regulation U;</w:t>
      </w:r>
    </w:p>
    <w:p>
      <w:pPr>
        <w:spacing w:after="0" w:line="199"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such Acquisition involves a merger or a consolidation involving a Borrower or any other Loan Party, such Borrower or such Loan Party, as applicable, shall be the surviving entity;</w:t>
      </w:r>
    </w:p>
    <w:p>
      <w:pPr>
        <w:spacing w:after="0" w:line="176" w:lineRule="exact"/>
        <w:rPr>
          <w:rFonts w:ascii="Arial" w:cs="Arial" w:eastAsia="Arial" w:hAnsi="Arial"/>
          <w:sz w:val="20"/>
          <w:szCs w:val="20"/>
          <w:color w:val="auto"/>
        </w:rPr>
      </w:pPr>
    </w:p>
    <w:p>
      <w:pPr>
        <w:ind w:left="660" w:firstLine="644"/>
        <w:spacing w:after="0" w:line="316" w:lineRule="auto"/>
        <w:tabs>
          <w:tab w:leader="none" w:pos="19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129" w:lineRule="exact"/>
        <w:rPr>
          <w:rFonts w:ascii="Arial" w:cs="Arial" w:eastAsia="Arial" w:hAnsi="Arial"/>
          <w:sz w:val="18"/>
          <w:szCs w:val="18"/>
          <w:color w:val="auto"/>
        </w:rPr>
      </w:pPr>
    </w:p>
    <w:p>
      <w:pPr>
        <w:jc w:val="both"/>
        <w:ind w:left="660" w:firstLine="644"/>
        <w:spacing w:after="0" w:line="291" w:lineRule="auto"/>
        <w:tabs>
          <w:tab w:leader="none" w:pos="19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an Acquisition of the Equity Interests of any Person, all Liens on property of such Person shall be terminated unless the Administrative Agent and the Lenders in their sole discretion consent otherwise, and in connection with an Acquisition of the assets of any Person, all Liens on such assets shall be terminated (except for Liens permitted under Section 6.02);</w:t>
      </w:r>
    </w:p>
    <w:p>
      <w:pPr>
        <w:spacing w:after="0" w:line="151" w:lineRule="exact"/>
        <w:rPr>
          <w:rFonts w:ascii="Arial" w:cs="Arial" w:eastAsia="Arial" w:hAnsi="Arial"/>
          <w:sz w:val="18"/>
          <w:szCs w:val="18"/>
          <w:color w:val="auto"/>
        </w:rPr>
      </w:pPr>
    </w:p>
    <w:p>
      <w:pPr>
        <w:ind w:left="660" w:firstLine="644"/>
        <w:spacing w:after="0" w:line="287" w:lineRule="auto"/>
        <w:tabs>
          <w:tab w:leader="none" w:pos="19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before and after giving effect to the completion of such Acquisition, the Total Net Leverage Ratio, on a pro forma basis, shall not exceed the applicable maximum Total Net Leverage Ratio permitted under Section 6.12 at such time.</w:t>
      </w:r>
    </w:p>
    <w:p>
      <w:pPr>
        <w:spacing w:after="0" w:line="152" w:lineRule="exact"/>
        <w:rPr>
          <w:rFonts w:ascii="Arial" w:cs="Arial" w:eastAsia="Arial" w:hAnsi="Arial"/>
          <w:sz w:val="19"/>
          <w:szCs w:val="19"/>
          <w:color w:val="auto"/>
        </w:rPr>
      </w:pPr>
    </w:p>
    <w:p>
      <w:pPr>
        <w:ind w:left="660" w:firstLine="644"/>
        <w:spacing w:after="0" w:line="260" w:lineRule="auto"/>
        <w:tabs>
          <w:tab w:leader="none" w:pos="1954" w:val="left"/>
        </w:tabs>
        <w:numPr>
          <w:ilvl w:val="0"/>
          <w:numId w:val="34"/>
        </w:numPr>
        <w:rPr>
          <w:rFonts w:ascii="Arial" w:cs="Arial" w:eastAsia="Arial" w:hAnsi="Arial"/>
          <w:sz w:val="20"/>
          <w:szCs w:val="20"/>
          <w:color w:val="auto"/>
        </w:rPr>
      </w:pPr>
      <w:r>
        <w:rPr>
          <w:rFonts w:ascii="Arial" w:cs="Arial" w:eastAsia="Arial" w:hAnsi="Arial"/>
          <w:sz w:val="20"/>
          <w:szCs w:val="20"/>
          <w:color w:val="auto"/>
        </w:rPr>
        <w:t>all actions required to be taken with respect to any newly acquired or formed Wholly-Owned Subsidiary of a Borrower or a Loan Party, as applicable, required under Section 5.14 shall have been taken; and</w:t>
      </w:r>
    </w:p>
    <w:p>
      <w:pPr>
        <w:spacing w:after="0" w:line="176" w:lineRule="exact"/>
        <w:rPr>
          <w:rFonts w:ascii="Arial" w:cs="Arial" w:eastAsia="Arial" w:hAnsi="Arial"/>
          <w:sz w:val="20"/>
          <w:szCs w:val="20"/>
          <w:color w:val="auto"/>
        </w:rPr>
      </w:pPr>
    </w:p>
    <w:p>
      <w:pPr>
        <w:jc w:val="both"/>
        <w:ind w:left="660" w:firstLine="644"/>
        <w:spacing w:after="0" w:line="269" w:lineRule="auto"/>
        <w:tabs>
          <w:tab w:leader="none" w:pos="1945"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Borrower Representative shall have delivered to the Administrative Agent (i) the substantially final form documentation, to the extent then available, relating to such Acquisition within 5 days prior to the consummation thereof, and (ii) the final executed material documentation relating to such Acquisition within 10 days following the consummation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Liens imposed by law for Taxes that are not yet due or are being contested in compliance with Section 5.04;</w:t>
      </w:r>
    </w:p>
    <w:p>
      <w:pPr>
        <w:spacing w:after="0" w:line="227" w:lineRule="exact"/>
        <w:rPr>
          <w:rFonts w:ascii="Arial" w:cs="Arial" w:eastAsia="Arial" w:hAnsi="Arial"/>
          <w:sz w:val="19"/>
          <w:szCs w:val="19"/>
          <w:color w:val="auto"/>
        </w:rPr>
      </w:pPr>
    </w:p>
    <w:p>
      <w:pPr>
        <w:jc w:val="both"/>
        <w:ind w:left="660" w:firstLine="644"/>
        <w:spacing w:after="0" w:line="250" w:lineRule="auto"/>
        <w:tabs>
          <w:tab w:leader="none" w:pos="1944"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carriers’, landlord’s,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85" w:lineRule="exact"/>
        <w:rPr>
          <w:rFonts w:ascii="Arial" w:cs="Arial" w:eastAsia="Arial" w:hAnsi="Arial"/>
          <w:sz w:val="20"/>
          <w:szCs w:val="20"/>
          <w:color w:val="auto"/>
        </w:rPr>
      </w:pPr>
    </w:p>
    <w:p>
      <w:pPr>
        <w:jc w:val="both"/>
        <w:ind w:left="660" w:firstLine="644"/>
        <w:spacing w:after="0" w:line="282" w:lineRule="auto"/>
        <w:tabs>
          <w:tab w:leader="none" w:pos="19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pledges and deposits (i) made in the ordinary course of business in compliance with workers’ compensation, unemployment insurance and other social security laws or regulations or employment laws or to secure other public, statutory or regulatory obligations and (ii) with respect to letters of credit, bank guarantees or similar instruments issued for the account of any Borrower or any Subsidiary in the ordinary course of business supporting obligations of the type set forth in clause (c)(i) above;</w:t>
      </w:r>
    </w:p>
    <w:p>
      <w:pPr>
        <w:spacing w:after="0" w:line="161" w:lineRule="exact"/>
        <w:rPr>
          <w:rFonts w:ascii="Arial" w:cs="Arial" w:eastAsia="Arial" w:hAnsi="Arial"/>
          <w:sz w:val="18"/>
          <w:szCs w:val="18"/>
          <w:color w:val="auto"/>
        </w:rPr>
      </w:pPr>
    </w:p>
    <w:p>
      <w:pPr>
        <w:ind w:left="660" w:firstLine="644"/>
        <w:spacing w:after="0" w:line="287" w:lineRule="auto"/>
        <w:tabs>
          <w:tab w:leader="none" w:pos="19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deposits to secure the performance of bids, trade contracts, leases, statutory obligations, surety and appeal bonds, performance bonds and other obligations of a like nature,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8" w:name="page69"/>
    <w:bookmarkEnd w:id="68"/>
    <w:p>
      <w:pPr>
        <w:ind w:left="1940" w:hanging="636"/>
        <w:spacing w:after="0"/>
        <w:tabs>
          <w:tab w:leader="none" w:pos="19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238" w:lineRule="exact"/>
        <w:rPr>
          <w:rFonts w:ascii="Arial" w:cs="Arial" w:eastAsia="Arial" w:hAnsi="Arial"/>
          <w:sz w:val="18"/>
          <w:szCs w:val="18"/>
          <w:color w:val="auto"/>
        </w:rPr>
      </w:pPr>
    </w:p>
    <w:p>
      <w:pPr>
        <w:jc w:val="both"/>
        <w:ind w:left="660" w:firstLine="644"/>
        <w:spacing w:after="0" w:line="269" w:lineRule="auto"/>
        <w:tabs>
          <w:tab w:leader="none" w:pos="1951" w:val="left"/>
        </w:tabs>
        <w:numPr>
          <w:ilvl w:val="0"/>
          <w:numId w:val="36"/>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Borrower or any Subsidiary;</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banker’s liens, rights of setoff or similar rights and remedies as to deposit accounts or other funds maintained with depository institutions and payment processors; provided that such deposit accounts or funds are not established or deposited for the purpose of providing collateral for any Indebtedness;</w:t>
      </w:r>
    </w:p>
    <w:p>
      <w:pPr>
        <w:spacing w:after="0" w:line="185"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interest or title of a licensor under any license or sublicense entered into by any Borrower or any Subsidiary as a licensee or sublicensee (i) existing on the date hereof or (ii) in the ordinary course of its business;</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954"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licenses, sublicenses, leases or subleases granted (i) between or among any of the Loan Parties or any of their Subsidiaries (or any combination thereof) or (ii) to other Persons permitted under Section 6.05;</w:t>
      </w:r>
    </w:p>
    <w:p>
      <w:pPr>
        <w:spacing w:after="0" w:line="176"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36"/>
        </w:numPr>
        <w:rPr>
          <w:rFonts w:ascii="Arial" w:cs="Arial" w:eastAsia="Arial" w:hAnsi="Arial"/>
          <w:sz w:val="20"/>
          <w:szCs w:val="20"/>
          <w:color w:val="auto"/>
        </w:rPr>
      </w:pPr>
      <w:r>
        <w:rPr>
          <w:rFonts w:ascii="Arial" w:cs="Arial" w:eastAsia="Arial" w:hAnsi="Arial"/>
          <w:sz w:val="20"/>
          <w:szCs w:val="20"/>
          <w:color w:val="auto"/>
        </w:rPr>
        <w:t>possessory Liens in favor of brokers and dealers arising in connection with the acquisition or disposition of Permitted Investments;</w:t>
      </w:r>
    </w:p>
    <w:p>
      <w:pPr>
        <w:spacing w:after="0" w:line="176"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jc w:val="both"/>
        <w:ind w:left="660" w:firstLine="644"/>
        <w:spacing w:after="0" w:line="269" w:lineRule="auto"/>
        <w:tabs>
          <w:tab w:leader="none" w:pos="1954" w:val="left"/>
        </w:tabs>
        <w:numPr>
          <w:ilvl w:val="0"/>
          <w:numId w:val="36"/>
        </w:numPr>
        <w:rPr>
          <w:rFonts w:ascii="Arial" w:cs="Arial" w:eastAsia="Arial" w:hAnsi="Arial"/>
          <w:sz w:val="19"/>
          <w:szCs w:val="19"/>
          <w:color w:val="auto"/>
        </w:rPr>
      </w:pPr>
      <w:r>
        <w:rPr>
          <w:rFonts w:ascii="Arial" w:cs="Arial" w:eastAsia="Arial" w:hAnsi="Arial"/>
          <w:sz w:val="19"/>
          <w:szCs w:val="19"/>
          <w:color w:val="auto"/>
        </w:rPr>
        <w:t>Liens or rights of setoff against credit balances of the Company or any Subsidiary with credit card issuers or credit card processors to secure obligations of the Company or such Subsidiary, as the case may be, to any such credit card issuer or credit card processor incurred in the ordinary course of business as a result of fees and chargebacks; and</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945" w:val="left"/>
        </w:tabs>
        <w:numPr>
          <w:ilvl w:val="0"/>
          <w:numId w:val="36"/>
        </w:numPr>
        <w:rPr>
          <w:rFonts w:ascii="Arial" w:cs="Arial" w:eastAsia="Arial" w:hAnsi="Arial"/>
          <w:sz w:val="20"/>
          <w:szCs w:val="20"/>
          <w:color w:val="auto"/>
        </w:rPr>
      </w:pPr>
      <w:r>
        <w:rPr>
          <w:rFonts w:ascii="Arial" w:cs="Arial" w:eastAsia="Arial" w:hAnsi="Arial"/>
          <w:sz w:val="20"/>
          <w:szCs w:val="20"/>
          <w:color w:val="auto"/>
        </w:rPr>
        <w:t>leases, licenses, subleases or sublicenses of real property or equipment granted to others in the ordinary course of business which do not (i) interfere in any material respect with the business of any Borrower and its Subsidiaries, taken as a whole, or (ii) secure any Indebtedness;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the term “Permitted Encumbrances” shall not include any Lien securing Indebtedness, except with respect to clause (e)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16" w:lineRule="exact"/>
        <w:rPr>
          <w:sz w:val="20"/>
          <w:szCs w:val="20"/>
          <w:color w:val="auto"/>
        </w:rPr>
      </w:pPr>
    </w:p>
    <w:p>
      <w:pPr>
        <w:jc w:val="both"/>
        <w:ind w:left="660" w:firstLine="644"/>
        <w:spacing w:after="0" w:line="250" w:lineRule="auto"/>
        <w:tabs>
          <w:tab w:leader="none" w:pos="1946" w:val="left"/>
        </w:tabs>
        <w:numPr>
          <w:ilvl w:val="0"/>
          <w:numId w:val="37"/>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69" w:name="page70"/>
    <w:bookmarkEnd w:id="69"/>
    <w:p>
      <w:pPr>
        <w:ind w:left="660" w:firstLine="644"/>
        <w:spacing w:after="0" w:line="26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46"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91"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38"/>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1"/>
          <w:numId w:val="38"/>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Securities and Exchange Commission Rule 2a-7 under the Investment Company Act of 1940, (ii) are rated AAA by S&amp;P and Aaa by Moody’s and (iii) have portfolio assets of at least $5,000,000,000; and</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951" w:val="left"/>
        </w:tabs>
        <w:numPr>
          <w:ilvl w:val="1"/>
          <w:numId w:val="38"/>
        </w:numPr>
        <w:rPr>
          <w:rFonts w:ascii="Arial" w:cs="Arial" w:eastAsia="Arial" w:hAnsi="Arial"/>
          <w:sz w:val="20"/>
          <w:szCs w:val="20"/>
          <w:color w:val="auto"/>
        </w:rPr>
      </w:pPr>
      <w:r>
        <w:rPr>
          <w:rFonts w:ascii="Arial" w:cs="Arial" w:eastAsia="Arial" w:hAnsi="Arial"/>
          <w:sz w:val="20"/>
          <w:szCs w:val="20"/>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and</w:t>
      </w:r>
    </w:p>
    <w:p>
      <w:pPr>
        <w:spacing w:after="0" w:line="191" w:lineRule="exact"/>
        <w:rPr>
          <w:rFonts w:ascii="Arial" w:cs="Arial" w:eastAsia="Arial" w:hAnsi="Arial"/>
          <w:sz w:val="20"/>
          <w:szCs w:val="20"/>
          <w:color w:val="auto"/>
        </w:rPr>
      </w:pPr>
    </w:p>
    <w:p>
      <w:pPr>
        <w:ind w:left="1940" w:hanging="636"/>
        <w:spacing w:after="0"/>
        <w:tabs>
          <w:tab w:leader="none" w:pos="19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investment funds investing substantially all of their assets in securities of the types described in clauses (a) through</w:t>
      </w:r>
    </w:p>
    <w:p>
      <w:pPr>
        <w:spacing w:after="0" w:line="38" w:lineRule="exact"/>
        <w:rPr>
          <w:rFonts w:ascii="Arial" w:cs="Arial" w:eastAsia="Arial" w:hAnsi="Arial"/>
          <w:sz w:val="18"/>
          <w:szCs w:val="18"/>
          <w:color w:val="auto"/>
        </w:rPr>
      </w:pPr>
    </w:p>
    <w:p>
      <w:pPr>
        <w:ind w:left="900" w:hanging="244"/>
        <w:spacing w:after="0"/>
        <w:tabs>
          <w:tab w:leader="none" w:pos="9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above.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means 29 CFR § 2510.3-101 et seq., as modified by Section 3(42) of ERISA, as amended from time to</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claim, litigation, investigation, action, suit, arbitration or administrative, judicial or regulatory action or proceeding in any jurisdiction.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has the meaning assigned to such term in Section 4.01(b).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0" w:name="page71"/>
    <w:bookmarkEnd w:id="70"/>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Public-Sider</w:t>
      </w:r>
      <w:r>
        <w:rPr>
          <w:rFonts w:ascii="Arial" w:cs="Arial" w:eastAsia="Arial" w:hAnsi="Arial"/>
          <w:sz w:val="19"/>
          <w:szCs w:val="19"/>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5390(c)(8)(D).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has the meaning assigned to it in Section 9.21.</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Real Property</w:t>
      </w:r>
      <w:r>
        <w:rPr>
          <w:rFonts w:ascii="Arial" w:cs="Arial" w:eastAsia="Arial" w:hAnsi="Arial"/>
          <w:sz w:val="19"/>
          <w:szCs w:val="19"/>
          <w:color w:val="auto"/>
        </w:rPr>
        <w:t>” means all real property that was, is now or may hereafter be owned, occupied or otherwise controlled by any Loan Party pursuant to any contract of sale, lease or other conveyance of any legal interest in any real property to any Loan Party.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 or any combination thereof (as the context requires).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Time</w:t>
      </w:r>
      <w:r>
        <w:rPr>
          <w:rFonts w:ascii="Arial" w:cs="Arial" w:eastAsia="Arial" w:hAnsi="Arial"/>
          <w:sz w:val="20"/>
          <w:szCs w:val="20"/>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Refinance Indebtedness</w:t>
      </w:r>
      <w:r>
        <w:rPr>
          <w:rFonts w:ascii="Arial" w:cs="Arial" w:eastAsia="Arial" w:hAnsi="Arial"/>
          <w:sz w:val="20"/>
          <w:szCs w:val="20"/>
          <w:color w:val="auto"/>
        </w:rPr>
        <w:t>” has the meaning assigned to such term in Section 6.01(f).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Federal Reserve Board, as in effect from time to time and all official rulings and interpretations thereunder or thereof.</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Federal Reserve Board, as in effect from time to time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Federal Reserve Board, as in effect from time to time and all official rulings and interpretations thereunder or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Federal Reserve Board, as in effect from time to time and all official rulings and interpretations thereunder or thereof.</w:t>
      </w:r>
    </w:p>
    <w:p>
      <w:pPr>
        <w:spacing w:after="0" w:line="1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1" w:name="page72"/>
    <w:bookmarkEnd w:id="71"/>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releasing, spilling, leaking, pumping, pouring, emitting, emptying, discharging, injecting, escaping, leaching, migrating, disposing, or dumping of any substance into the environment.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means the Federal Reserve Board and/or the NYFRB, or a committee officially endorsed or convened by the Federal Reserve Board and/or the NYFRB or, in each case, any successor thereto.</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subject to Section 2.20, at any time, Lenders having Credit Exposure and Unfunded Commitments representing more than 50% of the sum of the Aggregate Credit Exposure and Unfunded Commitments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as long as there are only two Lenders, Required Lenders shall mean both Lenders.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Requirement of Law</w:t>
      </w:r>
      <w:r>
        <w:rPr>
          <w:rFonts w:ascii="Arial" w:cs="Arial" w:eastAsia="Arial" w:hAnsi="Arial"/>
          <w:sz w:val="19"/>
          <w:szCs w:val="19"/>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president, Financial Officer or other executive officer of a Borrower.</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 in any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Preferred Stock Award Agreement</w:t>
      </w:r>
      <w:r>
        <w:rPr>
          <w:rFonts w:ascii="Arial" w:cs="Arial" w:eastAsia="Arial" w:hAnsi="Arial"/>
          <w:sz w:val="18"/>
          <w:szCs w:val="18"/>
          <w:color w:val="auto"/>
        </w:rPr>
        <w:t>” means that certain Restricted Preferred Stock Award Agreement dated as of April 26, 2017, as amended, by and between the Company and Nikolaos Vlahos, disclosed to the Administrative Agent prior to the Effective Date (or as amended thereafter, so long as each such amendment does not adversely impact the Administrative Agent or the Lenders).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Reuters</w:t>
      </w:r>
      <w:r>
        <w:rPr>
          <w:rFonts w:ascii="Arial" w:cs="Arial" w:eastAsia="Arial" w:hAnsi="Arial"/>
          <w:sz w:val="20"/>
          <w:szCs w:val="20"/>
          <w:color w:val="auto"/>
        </w:rPr>
        <w:t>” means, as applicable, Thomson Reuters Corp, Refinitiv, or any successor thereto.</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means Revolving Loans of the same Type, made, converted or continued on the same date and, in the case of Eurodollar Loans, as to which a single Interest Period is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2" w:name="page73"/>
    <w:bookmarkEnd w:id="72"/>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with respect to each Lender, the amount set forth on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The initial aggregate amount of the Lenders’ Revolving Commitments is $35,000,000.</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Maturity Date</w:t>
      </w:r>
      <w:r>
        <w:rPr>
          <w:rFonts w:ascii="Arial" w:cs="Arial" w:eastAsia="Arial" w:hAnsi="Arial"/>
          <w:sz w:val="20"/>
          <w:szCs w:val="20"/>
          <w:color w:val="auto"/>
        </w:rPr>
        <w:t>” means April 30, 2026 (if the same is a Business Day, or if not then the immediately next succeeding Business Day), or any earlier date on which the Revolving Commitments are reduced to zero or otherwise terminated pursuant to the terms 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means, with respect to any Lender, at any time, the sum of the aggregate outstanding principal amount of such Lender’s Revolving Loans and its LC Exposure at such time.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as of any date of determination, a Lender with a Revolving Commitment or, if the Revolving Commitments have terminated or expired, a Lender with Revolving Exposure.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 Loan made pursuant to Section 2.01.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Ratings Services, a Standard &amp; Poor’s Financial Services LLC business.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has the meaning assigned to such term in Section 6.06.</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Crimea, Cuba, Iran, North Korea and Syria).</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spacing w:after="0" w:line="39" w:lineRule="exact"/>
        <w:rPr>
          <w:sz w:val="20"/>
          <w:szCs w:val="20"/>
          <w:color w:val="auto"/>
        </w:rPr>
      </w:pPr>
    </w:p>
    <w:p>
      <w:pPr>
        <w:jc w:val="both"/>
        <w:ind w:firstLine="8"/>
        <w:spacing w:after="0" w:line="241" w:lineRule="auto"/>
        <w:tabs>
          <w:tab w:leader="none" w:pos="273"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 or other relevant sanctions authority.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of the U.S.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all Obligations, together with all (i) Banking Services Obligations and (ii) Swap Agreement Obligations owing to one or more Lenders or their respective Affiliates; provided, however, that the definition of “Secured Obligations” shall not create any guarantee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3" w:name="page74"/>
    <w:bookmarkEnd w:id="73"/>
    <w:p>
      <w:pPr>
        <w:jc w:val="both"/>
        <w:ind w:right="20"/>
        <w:spacing w:after="0" w:line="260" w:lineRule="auto"/>
        <w:rPr>
          <w:sz w:val="20"/>
          <w:szCs w:val="20"/>
          <w:color w:val="auto"/>
        </w:rPr>
      </w:pPr>
      <w:r>
        <w:rPr>
          <w:rFonts w:ascii="Arial" w:cs="Arial" w:eastAsia="Arial" w:hAnsi="Arial"/>
          <w:sz w:val="20"/>
          <w:szCs w:val="20"/>
          <w:color w:val="auto"/>
        </w:rPr>
        <w:t>Guarantor of (or grant of security interest by any Guarantor to support, as applicable) any Excluded Swap Obligations of such Guarantor for purposes of determining any obligations of any Guarantor.</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Lenders, (b) the Administrative Agent,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Standby LC Exposure</w:t>
      </w:r>
      <w:r>
        <w:rPr>
          <w:rFonts w:ascii="Arial" w:cs="Arial" w:eastAsia="Arial" w:hAnsi="Arial"/>
          <w:sz w:val="20"/>
          <w:szCs w:val="20"/>
          <w:color w:val="auto"/>
        </w:rPr>
        <w:t xml:space="preserve">” means, at any time, the sum of (a) the aggregate undrawn amount of all standby Letters of Credit outstanding at such time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(b) the aggregate amount of all LC Disbursements relating to standby Letters of Credit that have not yet been reimbursed by or on behalf of the Borrowers at such time. The Standby LC Exposure of any Revolving Lender at any time shall be its Applicable Percentage of the aggregate Standby LC Exposure at such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Statements</w:t>
      </w:r>
      <w:r>
        <w:rPr>
          <w:rFonts w:ascii="Arial" w:cs="Arial" w:eastAsia="Arial" w:hAnsi="Arial"/>
          <w:sz w:val="20"/>
          <w:szCs w:val="20"/>
          <w:color w:val="auto"/>
        </w:rPr>
        <w:t>” has the meaning assigned to such term in Section 2.18(f).</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Statutory Reserve Rate</w:t>
      </w:r>
      <w:r>
        <w:rPr>
          <w:rFonts w:ascii="Arial" w:cs="Arial" w:eastAsia="Arial" w:hAnsi="Arial"/>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“Eurocurrency liabilities” in Regulation D). Such reserve percentages shall include those imposed pursuant to Regulation D of the Federal Reserve Board. Eurodollar Loans shall be deemed to constitute eurocurrency funding and to be subject to such reserve requirements without benefit of or credit for proration, exemptions or offsets that may be available from time to time to any Lender under Regulation D of the Federal Reserve Board or any comparable regulation. The Statutory Reserve Rate shall be adjusted automatically on and as of the effective date of any change in any reserve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4" w:name="page75"/>
    <w:bookmarkEnd w:id="74"/>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of a Person means any Indebtedness of such Person, the payment of which is subordinated to payment of the Secured Obligations to the written satisfaction of the Administrative Agent.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with respect to any Person (the “</w:t>
      </w:r>
      <w:r>
        <w:rPr>
          <w:rFonts w:ascii="Arial" w:cs="Arial" w:eastAsia="Arial" w:hAnsi="Arial"/>
          <w:sz w:val="20"/>
          <w:szCs w:val="20"/>
          <w:u w:val="single" w:color="auto"/>
          <w:color w:val="auto"/>
        </w:rPr>
        <w:t>parent</w:t>
      </w:r>
      <w:r>
        <w:rPr>
          <w:rFonts w:ascii="Arial" w:cs="Arial" w:eastAsia="Arial" w:hAnsi="Arial"/>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direct or indirect subsidiary of the Company, any other Borrower or a Loan Party, as applicable.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assigned to it in Section 9.21.</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their Subsidiaries shall be a Swap Agreement.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 Obligations</w:t>
      </w:r>
      <w:r>
        <w:rPr>
          <w:rFonts w:ascii="Arial" w:cs="Arial" w:eastAsia="Arial" w:hAnsi="Arial"/>
          <w:sz w:val="20"/>
          <w:szCs w:val="20"/>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Swap Agreement permitted hereunder with a Lender or an Affiliate of a Lender, and (b) any cancellations, buy backs, reversals, terminations or assignments of any Swap Agreement transaction permitted hereunder with a Lender or an Affiliate of a Lender.</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for the applicable Corresponding Tenor as of the applicable Reference Time, the forward-looking term rate based on SOFR that has been selected or recommended by the Relevant Governmental Body.</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Notice</w:t>
      </w:r>
      <w:r>
        <w:rPr>
          <w:rFonts w:ascii="Arial" w:cs="Arial" w:eastAsia="Arial" w:hAnsi="Arial"/>
          <w:sz w:val="20"/>
          <w:szCs w:val="20"/>
          <w:color w:val="auto"/>
        </w:rPr>
        <w:t>” means a notification by the Administrative Agent to the Lenders and the Borrower Representative of the occurrence of a Term SOFR Transition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5" w:name="page76"/>
    <w:bookmarkEnd w:id="75"/>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Transition Event</w:t>
      </w:r>
      <w:r>
        <w:rPr>
          <w:rFonts w:ascii="Arial" w:cs="Arial" w:eastAsia="Arial" w:hAnsi="Arial"/>
          <w:sz w:val="20"/>
          <w:szCs w:val="20"/>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2.14 that is not Term SOFR.</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date and without duplication, the aggregate principal amount of debt constituting Indebtedness pursuant to clauses (a), (b), (c) and (f) of the definition of “Indebtedness”.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Net Leverage Ratio</w:t>
      </w:r>
      <w:r>
        <w:rPr>
          <w:rFonts w:ascii="Arial" w:cs="Arial" w:eastAsia="Arial" w:hAnsi="Arial"/>
          <w:sz w:val="19"/>
          <w:szCs w:val="19"/>
          <w:color w:val="auto"/>
        </w:rPr>
        <w:t xml:space="preserve">” means, on any date, the ratio of (a) the sum (but not less than zero) of (i) Total Indebtedness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Unrestricted Cash in an amount not to exceed $15,000,000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obligations under “build to suit” capital leases to (b) EBITDA for the period of four consecutive fiscal quarters ended on or most recently prior to such date.</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CB Floating Rate.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w:t>
      </w:r>
      <w:r>
        <w:rPr>
          <w:rFonts w:ascii="Arial" w:cs="Arial" w:eastAsia="Arial" w:hAnsi="Arial"/>
          <w:sz w:val="20"/>
          <w:szCs w:val="20"/>
          <w:color w:val="auto"/>
        </w:rPr>
        <w:t>” has the meaning assigned to it in Section 9.21.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2.17(f)(ii)(B)(3).</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Institutions</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6" w:name="page77"/>
    <w:bookmarkEnd w:id="76"/>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Commitment</w:t>
      </w:r>
      <w:r>
        <w:rPr>
          <w:rFonts w:ascii="Arial" w:cs="Arial" w:eastAsia="Arial" w:hAnsi="Arial"/>
          <w:sz w:val="20"/>
          <w:szCs w:val="20"/>
          <w:color w:val="auto"/>
        </w:rPr>
        <w:t>” means, with respect to each Lender, the Revolving Commitment of such Lender less its Revolving Exposure.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Unliquidated Obligations</w:t>
      </w:r>
      <w:r>
        <w:rPr>
          <w:rFonts w:ascii="Arial" w:cs="Arial" w:eastAsia="Arial" w:hAnsi="Arial"/>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as of any date of determination, that portion of the Company’s and its Subsidiaries’ aggregate cash and Permitted Investments that is held by the Loan Parties on deposit with one or more financial institutions in the U.S. and subject to a Lien in favor of the Administrative Agent and that is not encumbered by or subject to any other Lien, setoff (other than ordinary course setoff rights of a depository bank arising under a bank depository agreement for customary fees, charges and other account-related expenses due to such depository bank thereunder), counterclaim, recoupment, defense or other right in favor of any Person.</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USA PATRIOT Act</w:t>
      </w:r>
      <w:r>
        <w:rPr>
          <w:rFonts w:ascii="Arial" w:cs="Arial" w:eastAsia="Arial" w:hAnsi="Arial"/>
          <w:sz w:val="20"/>
          <w:szCs w:val="20"/>
          <w:color w:val="auto"/>
        </w:rPr>
        <w:t>” means the Uniting and Strengthening America by Providing Appropriate Tools Required to Intercept and Obstruct Terrorism Act of 2001.</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Loans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“Revolving Loan”) or by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Loan”)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Revolving Loan”). Borrowings also may be classified and referred to by Class (</w:t>
      </w:r>
      <w:r>
        <w:rPr>
          <w:rFonts w:ascii="Arial" w:cs="Arial" w:eastAsia="Arial" w:hAnsi="Arial"/>
          <w:sz w:val="20"/>
          <w:szCs w:val="20"/>
          <w:u w:val="single" w:color="auto"/>
          <w:color w:val="auto"/>
        </w:rPr>
        <w:t>e.g.</w:t>
      </w:r>
      <w:r>
        <w:rPr>
          <w:rFonts w:ascii="Arial" w:cs="Arial" w:eastAsia="Arial" w:hAnsi="Arial"/>
          <w:sz w:val="20"/>
          <w:szCs w:val="20"/>
          <w:color w:val="auto"/>
        </w:rPr>
        <w:t>, a “Revolving Borrowing”) or by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Borrowing”) or by Class and Type (</w:t>
      </w:r>
      <w:r>
        <w:rPr>
          <w:rFonts w:ascii="Arial" w:cs="Arial" w:eastAsia="Arial" w:hAnsi="Arial"/>
          <w:sz w:val="20"/>
          <w:szCs w:val="20"/>
          <w:u w:val="single" w:color="auto"/>
          <w:color w:val="auto"/>
        </w:rPr>
        <w:t>e.g.</w:t>
      </w:r>
      <w:r>
        <w:rPr>
          <w:rFonts w:ascii="Arial" w:cs="Arial" w:eastAsia="Arial" w:hAnsi="Arial"/>
          <w:sz w:val="20"/>
          <w:szCs w:val="20"/>
          <w:color w:val="auto"/>
        </w:rPr>
        <w:t>, a “Eurodollar Revolving Borrowing”).</w:t>
      </w:r>
    </w:p>
    <w:p>
      <w:pPr>
        <w:spacing w:after="0" w:line="19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77" w:name="page78"/>
    <w:bookmarkEnd w:id="77"/>
    <w:p>
      <w:pPr>
        <w:spacing w:after="0" w:line="195" w:lineRule="exact"/>
        <w:rPr>
          <w:sz w:val="20"/>
          <w:szCs w:val="20"/>
          <w:color w:val="auto"/>
        </w:rPr>
      </w:pPr>
    </w:p>
    <w:p>
      <w:pPr>
        <w:jc w:val="both"/>
        <w:ind w:firstLine="8"/>
        <w:spacing w:after="0" w:line="270" w:lineRule="auto"/>
        <w:tabs>
          <w:tab w:leader="none" w:pos="2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6"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w:t>
      </w:r>
    </w:p>
    <w:p>
      <w:pPr>
        <w:spacing w:after="0" w:line="7" w:lineRule="exact"/>
        <w:rPr>
          <w:sz w:val="20"/>
          <w:szCs w:val="20"/>
          <w:color w:val="auto"/>
        </w:rPr>
      </w:pPr>
    </w:p>
    <w:p>
      <w:pPr>
        <w:jc w:val="both"/>
        <w:ind w:firstLine="8"/>
        <w:spacing w:after="0" w:line="241" w:lineRule="auto"/>
        <w:tabs>
          <w:tab w:leader="none" w:pos="373" w:val="left"/>
        </w:tabs>
        <w:numPr>
          <w:ilvl w:val="0"/>
          <w:numId w:val="42"/>
        </w:numPr>
        <w:rPr>
          <w:rFonts w:ascii="Arial" w:cs="Arial" w:eastAsia="Arial" w:hAnsi="Arial"/>
          <w:sz w:val="20"/>
          <w:szCs w:val="20"/>
          <w:color w:val="auto"/>
        </w:rPr>
      </w:pPr>
      <w:r>
        <w:rPr>
          <w:rFonts w:ascii="Arial" w:cs="Arial" w:eastAsia="Arial" w:hAnsi="Arial"/>
          <w:sz w:val="20"/>
          <w:szCs w:val="20"/>
          <w:color w:val="auto"/>
        </w:rPr>
        <w:t>without giving effect to any treatment of Indebtedness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4" w:lineRule="exact"/>
        <w:rPr>
          <w:rFonts w:ascii="Arial" w:cs="Arial" w:eastAsia="Arial" w:hAnsi="Arial"/>
          <w:sz w:val="20"/>
          <w:szCs w:val="20"/>
          <w:color w:val="auto"/>
        </w:rPr>
      </w:pPr>
    </w:p>
    <w:p>
      <w:pPr>
        <w:jc w:val="both"/>
        <w:ind w:firstLine="656"/>
        <w:spacing w:after="0" w:line="260" w:lineRule="auto"/>
        <w:tabs>
          <w:tab w:leader="none" w:pos="1284"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shall not be considered a capital lease, and all calculations and deliverables under this Agreement or any other Loan Document shall be made or delivered, as applicable, in accordance therewith.</w:t>
      </w:r>
    </w:p>
    <w:p>
      <w:pPr>
        <w:spacing w:after="0" w:line="17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Interest Rates; LIBOR Notification</w:t>
      </w:r>
      <w:r>
        <w:rPr>
          <w:rFonts w:ascii="Arial" w:cs="Arial" w:eastAsia="Arial" w:hAnsi="Arial"/>
          <w:sz w:val="18"/>
          <w:szCs w:val="18"/>
          <w:color w:val="auto"/>
        </w:rPr>
        <w:t>.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w:t>
      </w:r>
      <w:r>
        <w:rPr>
          <w:rFonts w:ascii="Arial" w:cs="Arial" w:eastAsia="Arial" w:hAnsi="Arial"/>
          <w:sz w:val="18"/>
          <w:szCs w:val="18"/>
          <w:u w:val="single" w:color="auto"/>
          <w:color w:val="auto"/>
        </w:rPr>
        <w:t>IBA</w:t>
      </w:r>
      <w:r>
        <w:rPr>
          <w:rFonts w:ascii="Arial" w:cs="Arial" w:eastAsia="Arial" w:hAnsi="Arial"/>
          <w:sz w:val="18"/>
          <w:szCs w:val="18"/>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Section 2.14(c) and (d) provide the mechanism for determining an alternative rate of interest. The Administrative Agent will promptly notify the Borrower Representative, pursuant to Section 2.14(f),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2.14(c) or (d), whether upon the occurrence of a Benchmark Transition Event, a Term SOFR Transition Event or an Early Opt-in Election, and (ii) the implementation of any Benchmark Replacement Conforming Changes pursuant to Section 2.14(e)),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183"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20"/>
          <w:szCs w:val="20"/>
          <w:color w:val="auto"/>
        </w:rPr>
        <w:t xml:space="preserve">SECTION 1.06. </w:t>
      </w:r>
      <w:r>
        <w:rPr>
          <w:rFonts w:ascii="Arial" w:cs="Arial" w:eastAsia="Arial" w:hAnsi="Arial"/>
          <w:sz w:val="20"/>
          <w:szCs w:val="20"/>
          <w:u w:val="single" w:color="auto"/>
          <w:color w:val="auto"/>
        </w:rPr>
        <w:t>Pro Forma Adjustments for Acquisitions and Dispositions</w:t>
      </w:r>
      <w:r>
        <w:rPr>
          <w:rFonts w:ascii="Arial" w:cs="Arial" w:eastAsia="Arial" w:hAnsi="Arial"/>
          <w:sz w:val="20"/>
          <w:szCs w:val="20"/>
          <w:color w:val="auto"/>
        </w:rPr>
        <w:t>. To the extent a Borrower or any Subsidiary makes any acquisition permitted pursuant to Section 6.04 or Disposition outside the ordinary course of business permitted by Section 6.05 during the period of four fiscal quarters of the Company most recently ended, the Total Net Leverage Ratio shall be calculated after giving pro forma effect thereto (including pro forma adjustments arising out of events which are directly attributable to the acquisition or the Disposition, are factually supportable and are expected to have a continuing impact, in each case as determined on a basis consistent with Article 11 of Regulation S-X of the Securities Act of 1933, as amended, as interpreted by the SEC, and as certified by a Financial Officer of such Borrower), as if such acquisition or such Disposition (and any related incurrence, repayment or assumption of Indebtedness) had occurred in the first day of such four-quarter period.</w:t>
      </w:r>
    </w:p>
    <w:p>
      <w:pPr>
        <w:spacing w:after="0" w:line="197" w:lineRule="exact"/>
        <w:rPr>
          <w:sz w:val="20"/>
          <w:szCs w:val="20"/>
          <w:color w:val="auto"/>
        </w:rPr>
      </w:pPr>
    </w:p>
    <w:p>
      <w:pPr>
        <w:jc w:val="both"/>
        <w:ind w:firstLine="486"/>
        <w:spacing w:after="0" w:line="316"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Status of Obligations</w:t>
      </w:r>
      <w:r>
        <w:rPr>
          <w:rFonts w:ascii="Arial" w:cs="Arial" w:eastAsia="Arial" w:hAnsi="Arial"/>
          <w:sz w:val="16"/>
          <w:szCs w:val="16"/>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Letters of Credit</w:t>
      </w:r>
      <w:r>
        <w:rPr>
          <w:rFonts w:ascii="Arial" w:cs="Arial" w:eastAsia="Arial" w:hAnsi="Arial"/>
          <w:sz w:val="18"/>
          <w:szCs w:val="18"/>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spacing w:after="0" w:line="172" w:lineRule="exact"/>
        <w:rPr>
          <w:sz w:val="20"/>
          <w:szCs w:val="20"/>
          <w:color w:val="auto"/>
        </w:rPr>
      </w:pPr>
    </w:p>
    <w:p>
      <w:pPr>
        <w:jc w:val="both"/>
        <w:ind w:firstLine="486"/>
        <w:spacing w:after="0" w:line="260" w:lineRule="auto"/>
        <w:rPr>
          <w:sz w:val="20"/>
          <w:szCs w:val="20"/>
          <w:color w:val="auto"/>
        </w:rPr>
      </w:pPr>
      <w:r>
        <w:rPr>
          <w:rFonts w:ascii="Arial" w:cs="Arial" w:eastAsia="Arial" w:hAnsi="Arial"/>
          <w:sz w:val="19"/>
          <w:szCs w:val="19"/>
          <w:color w:val="auto"/>
        </w:rPr>
        <w:t xml:space="preserve">SECTION 1.09.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0"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Rounding</w:t>
      </w:r>
      <w:r>
        <w:rPr>
          <w:rFonts w:ascii="Arial" w:cs="Arial" w:eastAsia="Arial" w:hAnsi="Arial"/>
          <w:sz w:val="20"/>
          <w:szCs w:val="20"/>
          <w:color w:val="auto"/>
        </w:rPr>
        <w:t>.Any financial ratios required to be maintained by any Loan Party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16" w:lineRule="exact"/>
        <w:rPr>
          <w:sz w:val="20"/>
          <w:szCs w:val="20"/>
          <w:color w:val="auto"/>
        </w:rPr>
      </w:pPr>
    </w:p>
    <w:p>
      <w:pPr>
        <w:jc w:val="both"/>
        <w:ind w:firstLine="486"/>
        <w:spacing w:after="0" w:line="244"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Revolving Commitments.</w:t>
      </w:r>
      <w:r>
        <w:rPr>
          <w:rFonts w:ascii="Arial" w:cs="Arial" w:eastAsia="Arial" w:hAnsi="Arial"/>
          <w:sz w:val="20"/>
          <w:szCs w:val="20"/>
          <w:color w:val="auto"/>
        </w:rPr>
        <w:t xml:space="preserve"> Subject to the terms and conditions set forth herein, each Lender severally (and not jointly) agrees to make Revolving Loans in dollars to the Borrowers from time to time during the Availability Period in an aggregate principal amount that will not result (after giving effect to any application of proceeds of such Borrowing pursuant to Section 2.10(a)) in (i) such Lender’s Revolving Exposure exceeding such Lender’s Revolving Commitment or (ii) the Aggregate Revolving Exposure exceeding the aggregate Revolving Commitments. Within the foregoing limits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40"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subject to the terms and conditions set forth herein, the Borrowers may borrow, prepay and reborrow Revolving Loans.</w:t>
      </w:r>
    </w:p>
    <w:p>
      <w:pPr>
        <w:spacing w:after="0" w:line="216"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82" w:lineRule="auto"/>
        <w:tabs>
          <w:tab w:leader="none" w:pos="19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61" w:lineRule="exact"/>
        <w:rPr>
          <w:rFonts w:ascii="Arial" w:cs="Arial" w:eastAsia="Arial" w:hAnsi="Arial"/>
          <w:sz w:val="18"/>
          <w:szCs w:val="18"/>
          <w:color w:val="auto"/>
        </w:rPr>
      </w:pPr>
    </w:p>
    <w:p>
      <w:pPr>
        <w:jc w:val="both"/>
        <w:ind w:left="660" w:firstLine="644"/>
        <w:spacing w:after="0" w:line="257"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Subject to Section 2.14, each Revolving Borrowing shall be comprised entirely of CBFR Loans or Eurodollar Loans as the Borrower Representative may request in accordance 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Revolving Borrowings made on the Effective Date must be made as CBFR Borrowings but may be converted into Eurodollar Borrowings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Borrowers to repay such Loan in accordance with the terms of this Agreement.</w:t>
      </w:r>
    </w:p>
    <w:p>
      <w:pPr>
        <w:spacing w:after="0" w:line="184" w:lineRule="exact"/>
        <w:rPr>
          <w:rFonts w:ascii="Arial" w:cs="Arial" w:eastAsia="Arial" w:hAnsi="Arial"/>
          <w:sz w:val="19"/>
          <w:szCs w:val="19"/>
          <w:color w:val="auto"/>
        </w:rPr>
      </w:pPr>
    </w:p>
    <w:p>
      <w:pPr>
        <w:jc w:val="both"/>
        <w:ind w:left="660" w:firstLine="644"/>
        <w:spacing w:after="0" w:line="278" w:lineRule="auto"/>
        <w:tabs>
          <w:tab w:leader="none" w:pos="19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Revolving Borrowing, such Borrowing shall be in an aggregate amount that is an integral multiple of $100,000 and not less than $500,000. CBFR Revolving Borrowings may be in any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CBFR Revolving Borrowing may be in an aggregate amount that is equal to the entire unused balance of the total Revolving Commitments or that is required to finance the reimbursement of an LC Disbursement as contemplated by Section 2.06(e);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four (4) Eurodollar Borrowings outstanding.</w:t>
      </w:r>
    </w:p>
    <w:p>
      <w:pPr>
        <w:spacing w:after="0" w:line="164" w:lineRule="exact"/>
        <w:rPr>
          <w:rFonts w:ascii="Arial" w:cs="Arial" w:eastAsia="Arial" w:hAnsi="Arial"/>
          <w:sz w:val="18"/>
          <w:szCs w:val="18"/>
          <w:color w:val="auto"/>
        </w:rPr>
      </w:pPr>
    </w:p>
    <w:p>
      <w:pPr>
        <w:jc w:val="both"/>
        <w:ind w:left="660" w:firstLine="644"/>
        <w:spacing w:after="0" w:line="250" w:lineRule="auto"/>
        <w:tabs>
          <w:tab w:leader="none" w:pos="1944" w:val="left"/>
        </w:tabs>
        <w:numPr>
          <w:ilvl w:val="0"/>
          <w:numId w:val="43"/>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the Borrowers shall not be entitled to request, or to elect to convert or continue, any Borrowing if the Interest Period requested with respect thereto would end after the Revolving Credit Maturity Date.</w:t>
      </w:r>
    </w:p>
    <w:p>
      <w:pPr>
        <w:spacing w:after="0" w:line="18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(a) in the case of a Eurodollar Borrowing, not later than noon, Pacific time, three Business Days before the date of the proposed Borrowing or</w:t>
      </w:r>
    </w:p>
    <w:p>
      <w:pPr>
        <w:spacing w:after="0" w:line="3" w:lineRule="exact"/>
        <w:rPr>
          <w:sz w:val="20"/>
          <w:szCs w:val="20"/>
          <w:color w:val="auto"/>
        </w:rPr>
      </w:pPr>
    </w:p>
    <w:p>
      <w:pPr>
        <w:jc w:val="both"/>
        <w:ind w:firstLine="8"/>
        <w:spacing w:after="0" w:line="257" w:lineRule="auto"/>
        <w:tabs>
          <w:tab w:leader="none" w:pos="301"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 the case of an CBFR Borrowing, not later than noon, Pacific time, on the date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of an CBFR Revolving Borrowing to finance the reimbursement of an LC Disbursement as contemplated by Section 2.06(e) may be given not later than 9:00 a.m., Pacific time, on the date of the proposed Borrowing. Each such Borrowing Request shall be irrevocable. Each such Borrowing Request shall specify the following information in compliance with Section 2.01:</w:t>
      </w:r>
    </w:p>
    <w:p>
      <w:pPr>
        <w:spacing w:after="0" w:line="182" w:lineRule="exact"/>
        <w:rPr>
          <w:rFonts w:ascii="Arial" w:cs="Arial" w:eastAsia="Arial" w:hAnsi="Arial"/>
          <w:sz w:val="19"/>
          <w:szCs w:val="19"/>
          <w:color w:val="auto"/>
        </w:rPr>
      </w:pPr>
    </w:p>
    <w:p>
      <w:pPr>
        <w:ind w:left="660" w:firstLine="644"/>
        <w:spacing w:after="0" w:line="260" w:lineRule="auto"/>
        <w:tabs>
          <w:tab w:leader="none" w:pos="1946"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Class of Borrowing, the aggregate amount of the requested Borrowing, and a breakdown of the separate wires comprising such Borrowing;</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44"/>
        </w:numPr>
        <w:rPr>
          <w:rFonts w:ascii="Arial" w:cs="Arial" w:eastAsia="Arial" w:hAnsi="Arial"/>
          <w:sz w:val="20"/>
          <w:szCs w:val="20"/>
          <w:color w:val="auto"/>
        </w:rPr>
      </w:pPr>
      <w:r>
        <w:rPr>
          <w:rFonts w:ascii="Arial" w:cs="Arial" w:eastAsia="Arial" w:hAnsi="Arial"/>
          <w:sz w:val="20"/>
          <w:szCs w:val="20"/>
          <w:color w:val="auto"/>
        </w:rPr>
        <w:t>name of the applicable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1" w:name="page82"/>
    <w:bookmarkEnd w:id="81"/>
    <w:p>
      <w:pPr>
        <w:ind w:left="1940" w:hanging="636"/>
        <w:spacing w:after="0"/>
        <w:tabs>
          <w:tab w:leader="none" w:pos="19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whether such Borrowing is to be an CBFR Borrowing or a Eurodollar Borrowing; and</w:t>
      </w:r>
    </w:p>
    <w:p>
      <w:pPr>
        <w:spacing w:after="0" w:line="215" w:lineRule="exact"/>
        <w:rPr>
          <w:rFonts w:ascii="Arial" w:cs="Arial" w:eastAsia="Arial" w:hAnsi="Arial"/>
          <w:sz w:val="20"/>
          <w:szCs w:val="20"/>
          <w:color w:val="auto"/>
        </w:rPr>
      </w:pPr>
    </w:p>
    <w:p>
      <w:pPr>
        <w:ind w:left="660" w:firstLine="644"/>
        <w:spacing w:after="0" w:line="260" w:lineRule="auto"/>
        <w:tabs>
          <w:tab w:leader="none" w:pos="1946"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no election as to the Type of Borrowing is specified, then the requested Borrowing shall be an CBFR Borrowing. If no Interest Period is specified with respect to any requested Eurodollar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4"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u w:val="single" w:color="auto"/>
          <w:color w:val="auto"/>
        </w:rPr>
        <w:t>[Reserved]</w:t>
      </w:r>
    </w:p>
    <w:p>
      <w:pPr>
        <w:spacing w:after="0" w:line="216"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44" w:lineRule="auto"/>
        <w:tabs>
          <w:tab w:leader="none" w:pos="1946"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set forth herein, the Borrower Representative, on behalf of a Borrower, may request any Issuing Bank to issue Letters of Credit denominated in dollars as the applicant thereof for the support of the obligations of any Borrower or any Subsidiary thereof, in a form reasonably acceptable to such Issuing Bank, at any time and from time to time during the Availability Period, and such Issuing Bank may, but shall have no obligation, to issue such requested Letters of Credit pursuant to this Agreement.</w:t>
      </w:r>
    </w:p>
    <w:p>
      <w:pPr>
        <w:spacing w:after="0" w:line="194" w:lineRule="exact"/>
        <w:rPr>
          <w:rFonts w:ascii="Arial" w:cs="Arial" w:eastAsia="Arial" w:hAnsi="Arial"/>
          <w:sz w:val="20"/>
          <w:szCs w:val="20"/>
          <w:color w:val="auto"/>
        </w:rPr>
      </w:pPr>
    </w:p>
    <w:p>
      <w:pPr>
        <w:jc w:val="both"/>
        <w:ind w:left="660" w:firstLine="644"/>
        <w:spacing w:after="0" w:line="269" w:lineRule="auto"/>
        <w:tabs>
          <w:tab w:leader="none" w:pos="194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Extension; Certain Conditions</w:t>
      </w:r>
      <w:r>
        <w:rPr>
          <w:rFonts w:ascii="Arial" w:cs="Arial" w:eastAsia="Arial" w:hAnsi="Arial"/>
          <w:sz w:val="18"/>
          <w:szCs w:val="18"/>
          <w:color w:val="auto"/>
        </w:rPr>
        <w:t>. To request the issuance of a Letter of Credit (or the amendment or extension of an outstanding Letter of Credit), the Borrower Representative shall hand deliver or fax (or transmit through Electronic System, if arrangements for doing so have been approved by the respective Issuing Bank) to an Issuing Bank selected by it and to the Administrative Agent (reasonably in advance of the requested date of issuance, amendment or extension, but in any event no less than three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the aggregate LC Exposure shall not exceed $10,000,000, (i)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2" w:name="page83"/>
    <w:bookmarkEnd w:id="82"/>
    <w:p>
      <w:pPr>
        <w:jc w:val="both"/>
        <w:ind w:left="660"/>
        <w:spacing w:after="0" w:line="271" w:lineRule="auto"/>
        <w:rPr>
          <w:sz w:val="20"/>
          <w:szCs w:val="20"/>
          <w:color w:val="auto"/>
        </w:rPr>
      </w:pPr>
      <w:r>
        <w:rPr>
          <w:rFonts w:ascii="Arial" w:cs="Arial" w:eastAsia="Arial" w:hAnsi="Arial"/>
          <w:sz w:val="18"/>
          <w:szCs w:val="18"/>
          <w:color w:val="auto"/>
        </w:rPr>
        <w:t xml:space="preserve">Revolving Lender’s Revolving Exposure shall exceed its Revolving Commitment and (ii) the Aggregate Revolving Exposure shall not exceed the aggregate Revolving Commitments.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the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clause (i) of this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An Issuing Bank shall not be under any obligation to issue any Letter of Credit if:</w:t>
      </w:r>
    </w:p>
    <w:p>
      <w:pPr>
        <w:spacing w:after="0" w:line="216" w:lineRule="exact"/>
        <w:rPr>
          <w:sz w:val="20"/>
          <w:szCs w:val="20"/>
          <w:color w:val="auto"/>
        </w:rPr>
      </w:pPr>
    </w:p>
    <w:p>
      <w:pPr>
        <w:jc w:val="both"/>
        <w:ind w:left="1300" w:firstLine="328"/>
        <w:spacing w:after="0" w:line="273" w:lineRule="auto"/>
        <w:tabs>
          <w:tab w:leader="none" w:pos="194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68" w:lineRule="exact"/>
        <w:rPr>
          <w:rFonts w:ascii="Arial" w:cs="Arial" w:eastAsia="Arial" w:hAnsi="Arial"/>
          <w:sz w:val="18"/>
          <w:szCs w:val="18"/>
          <w:color w:val="auto"/>
        </w:rPr>
      </w:pPr>
    </w:p>
    <w:p>
      <w:pPr>
        <w:ind w:left="1300" w:right="20" w:firstLine="328"/>
        <w:spacing w:after="0" w:line="260" w:lineRule="auto"/>
        <w:tabs>
          <w:tab w:leader="none" w:pos="1947"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Issuing Bank applicable to letters of credit generally.</w:t>
      </w:r>
    </w:p>
    <w:p>
      <w:pPr>
        <w:spacing w:after="0" w:line="176" w:lineRule="exact"/>
        <w:rPr>
          <w:rFonts w:ascii="Arial" w:cs="Arial" w:eastAsia="Arial" w:hAnsi="Arial"/>
          <w:sz w:val="20"/>
          <w:szCs w:val="20"/>
          <w:color w:val="auto"/>
        </w:rPr>
      </w:pPr>
    </w:p>
    <w:p>
      <w:pPr>
        <w:jc w:val="both"/>
        <w:ind w:left="820" w:firstLine="484"/>
        <w:spacing w:after="0" w:line="244"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 (ii) the date that is five Business Days prior to the Revolving Credit Maturity Date.</w:t>
      </w:r>
    </w:p>
    <w:p>
      <w:pPr>
        <w:spacing w:after="0" w:line="194" w:lineRule="exact"/>
        <w:rPr>
          <w:rFonts w:ascii="Arial" w:cs="Arial" w:eastAsia="Arial" w:hAnsi="Arial"/>
          <w:sz w:val="20"/>
          <w:szCs w:val="20"/>
          <w:color w:val="auto"/>
        </w:rPr>
      </w:pPr>
    </w:p>
    <w:p>
      <w:pPr>
        <w:jc w:val="both"/>
        <w:ind w:left="820" w:firstLine="484"/>
        <w:spacing w:after="0" w:line="242" w:lineRule="auto"/>
        <w:tabs>
          <w:tab w:leader="none" w:pos="1942"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 (e) of this Section, 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3" w:name="page84"/>
    <w:bookmarkEnd w:id="83"/>
    <w:p>
      <w:pPr>
        <w:jc w:val="both"/>
        <w:ind w:left="820"/>
        <w:spacing w:after="0" w:line="278" w:lineRule="auto"/>
        <w:rPr>
          <w:sz w:val="20"/>
          <w:szCs w:val="20"/>
          <w:color w:val="auto"/>
        </w:rPr>
      </w:pPr>
      <w:r>
        <w:rPr>
          <w:rFonts w:ascii="Arial" w:cs="Arial" w:eastAsia="Arial" w:hAnsi="Arial"/>
          <w:sz w:val="18"/>
          <w:szCs w:val="18"/>
          <w:color w:val="auto"/>
        </w:rPr>
        <w:t>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65" w:lineRule="exact"/>
        <w:rPr>
          <w:sz w:val="20"/>
          <w:szCs w:val="20"/>
          <w:color w:val="auto"/>
        </w:rPr>
      </w:pPr>
    </w:p>
    <w:p>
      <w:pPr>
        <w:jc w:val="both"/>
        <w:ind w:left="820" w:firstLine="484"/>
        <w:spacing w:after="0" w:line="268" w:lineRule="auto"/>
        <w:tabs>
          <w:tab w:leader="none" w:pos="194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an Issuing Bank shall make any LC Disbursement in respect of a Letter of Credit, the Borrowers shall reimburse such LC Disbursement by paying to the Administrative Agent an amount equal to such LC Disbursement not later than 11:00 a.m., Pacific time, on (i) the Business Day that the Borrower Representative receives notice of such LC Disbursement, if such notice is received prior to 9:00 a.m., Pacific time, on the day of receipt, or (ii) the Business Day immediately following the day that the Borrower Representative receives such notice, if such notice is received after 9:00 a.m., Pacific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subject to the conditions to borrowing set forth herein, request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that such payment be financed with a CBFR Revolving Borrowing in an equivalent amount and, to the extent so financed, the Borrowers’ obligation to make such payment shall be discharged and replaced by the resulting CBFR Revolving Borrowing.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with respect to Loans made by such Lender (and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CBFR Revolving Loans as contemplated above) shall not constitute a Loan and shall not relieve the Borrowers of their obligation to reimburse such LC Disbursement.</w:t>
      </w:r>
    </w:p>
    <w:p>
      <w:pPr>
        <w:spacing w:after="0" w:line="183" w:lineRule="exact"/>
        <w:rPr>
          <w:rFonts w:ascii="Arial" w:cs="Arial" w:eastAsia="Arial" w:hAnsi="Arial"/>
          <w:sz w:val="18"/>
          <w:szCs w:val="18"/>
          <w:color w:val="auto"/>
        </w:rPr>
      </w:pPr>
    </w:p>
    <w:p>
      <w:pPr>
        <w:jc w:val="both"/>
        <w:ind w:left="820" w:firstLine="484"/>
        <w:spacing w:after="0" w:line="272" w:lineRule="auto"/>
        <w:tabs>
          <w:tab w:leader="none" w:pos="1949"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4" w:name="page85"/>
    <w:bookmarkEnd w:id="84"/>
    <w:p>
      <w:pPr>
        <w:jc w:val="both"/>
        <w:ind w:left="820"/>
        <w:spacing w:after="0" w:line="269" w:lineRule="auto"/>
        <w:rPr>
          <w:sz w:val="20"/>
          <w:szCs w:val="20"/>
          <w:color w:val="auto"/>
        </w:rPr>
      </w:pPr>
      <w:r>
        <w:rPr>
          <w:rFonts w:ascii="Arial" w:cs="Arial" w:eastAsia="Arial" w:hAnsi="Arial"/>
          <w:sz w:val="18"/>
          <w:szCs w:val="18"/>
          <w:color w:val="auto"/>
        </w:rPr>
        <w:t xml:space="preserve">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4" w:lineRule="exact"/>
        <w:rPr>
          <w:sz w:val="20"/>
          <w:szCs w:val="20"/>
          <w:color w:val="auto"/>
        </w:rPr>
      </w:pPr>
    </w:p>
    <w:p>
      <w:pPr>
        <w:jc w:val="both"/>
        <w:ind w:left="820" w:firstLine="484"/>
        <w:spacing w:after="0" w:line="257" w:lineRule="auto"/>
        <w:tabs>
          <w:tab w:leader="none" w:pos="194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Representative by telephone (confirmed by fax or through Electronic Systems) of such demand for payment if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Borrowers of their obligation to reimburse such Issuing Bank and the Revolving Lenders with respect to any such LC Disbursement.</w:t>
      </w:r>
    </w:p>
    <w:p>
      <w:pPr>
        <w:spacing w:after="0" w:line="184" w:lineRule="exact"/>
        <w:rPr>
          <w:rFonts w:ascii="Arial" w:cs="Arial" w:eastAsia="Arial" w:hAnsi="Arial"/>
          <w:sz w:val="19"/>
          <w:szCs w:val="19"/>
          <w:color w:val="auto"/>
        </w:rPr>
      </w:pPr>
    </w:p>
    <w:p>
      <w:pPr>
        <w:jc w:val="both"/>
        <w:ind w:left="820" w:firstLine="484"/>
        <w:spacing w:after="0" w:line="256" w:lineRule="auto"/>
        <w:tabs>
          <w:tab w:leader="none" w:pos="194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due and payable on the date when such reimbursement is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fail to reimburse such LC Disbursement when due pursuant to paragraph (e) of this Section, then </w:t>
      </w:r>
      <w:r>
        <w:rPr>
          <w:rFonts w:ascii="Arial" w:cs="Arial" w:eastAsia="Arial" w:hAnsi="Arial"/>
          <w:sz w:val="19"/>
          <w:szCs w:val="19"/>
          <w:u w:val="single" w:color="auto"/>
          <w:color w:val="auto"/>
        </w:rPr>
        <w:t>Section 2.13(c)</w:t>
      </w:r>
      <w:r>
        <w:rPr>
          <w:rFonts w:ascii="Arial" w:cs="Arial" w:eastAsia="Arial" w:hAnsi="Arial"/>
          <w:sz w:val="19"/>
          <w:szCs w:val="19"/>
          <w:color w:val="auto"/>
        </w:rPr>
        <w:t xml:space="preserve">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Replacement and Resignation of an Issuing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5" w:name="page86"/>
    <w:bookmarkEnd w:id="85"/>
    <w:p>
      <w:pPr>
        <w:jc w:val="both"/>
        <w:ind w:left="1300" w:firstLine="490"/>
        <w:spacing w:after="0" w:line="269" w:lineRule="auto"/>
        <w:tabs>
          <w:tab w:leader="none" w:pos="25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From and after the effective date of any such replacement, (i) the successor Issuing Bank shall have all the rights and obligations of an Issuing Bank under this Agreement with respect to Letters of Credit to be issued thereafter and</w:t>
      </w:r>
    </w:p>
    <w:p>
      <w:pPr>
        <w:spacing w:after="0" w:line="1" w:lineRule="exact"/>
        <w:rPr>
          <w:rFonts w:ascii="Arial" w:cs="Arial" w:eastAsia="Arial" w:hAnsi="Arial"/>
          <w:sz w:val="18"/>
          <w:szCs w:val="18"/>
          <w:color w:val="auto"/>
        </w:rPr>
      </w:pPr>
    </w:p>
    <w:p>
      <w:pPr>
        <w:jc w:val="both"/>
        <w:ind w:left="1300" w:firstLine="4"/>
        <w:spacing w:after="0"/>
        <w:tabs>
          <w:tab w:leader="none" w:pos="1597"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7" w:lineRule="exact"/>
        <w:rPr>
          <w:rFonts w:ascii="Arial" w:cs="Arial" w:eastAsia="Arial" w:hAnsi="Arial"/>
          <w:sz w:val="20"/>
          <w:szCs w:val="20"/>
          <w:color w:val="auto"/>
        </w:rPr>
      </w:pPr>
    </w:p>
    <w:p>
      <w:pPr>
        <w:jc w:val="both"/>
        <w:ind w:left="1300" w:firstLine="490"/>
        <w:spacing w:after="0" w:line="291" w:lineRule="auto"/>
        <w:tabs>
          <w:tab w:leader="none" w:pos="2595"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Subject to the appointment and acceptance of a successor Issuing Bank, any Issuing Bank may resign as an Issuing Bank at any time upon thirty days’ prior written notice to the Administrative Agent, the Borrower Representative and the Lenders, in which case, such resigning Issuing Bank shall be replaced in accordance with </w:t>
      </w:r>
      <w:r>
        <w:rPr>
          <w:rFonts w:ascii="Arial" w:cs="Arial" w:eastAsia="Arial" w:hAnsi="Arial"/>
          <w:sz w:val="18"/>
          <w:szCs w:val="18"/>
          <w:u w:val="single" w:color="auto"/>
          <w:color w:val="auto"/>
        </w:rPr>
        <w:t>Section 2.06(i)(i)</w:t>
      </w:r>
      <w:r>
        <w:rPr>
          <w:rFonts w:ascii="Arial" w:cs="Arial" w:eastAsia="Arial" w:hAnsi="Arial"/>
          <w:sz w:val="18"/>
          <w:szCs w:val="18"/>
          <w:color w:val="auto"/>
        </w:rPr>
        <w:t xml:space="preserve"> above.</w:t>
      </w:r>
    </w:p>
    <w:p>
      <w:pPr>
        <w:spacing w:after="0" w:line="152" w:lineRule="exact"/>
        <w:rPr>
          <w:sz w:val="20"/>
          <w:szCs w:val="20"/>
          <w:color w:val="auto"/>
        </w:rPr>
      </w:pPr>
    </w:p>
    <w:p>
      <w:pPr>
        <w:jc w:val="both"/>
        <w:ind w:left="820" w:firstLine="484"/>
        <w:spacing w:after="0" w:line="268" w:lineRule="auto"/>
        <w:tabs>
          <w:tab w:leader="none" w:pos="19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103% of the amount of the LC Exposure as of such date plus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The Borrowers also shall deposit cash collateral in accordance with this paragraph as and to the extent required by Sections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103%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moneys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6" w:name="page87"/>
    <w:bookmarkEnd w:id="86"/>
    <w:p>
      <w:pPr>
        <w:jc w:val="both"/>
        <w:ind w:left="820"/>
        <w:spacing w:after="0" w:line="257" w:lineRule="auto"/>
        <w:rPr>
          <w:sz w:val="20"/>
          <w:szCs w:val="20"/>
          <w:color w:val="auto"/>
        </w:rPr>
      </w:pPr>
      <w:r>
        <w:rPr>
          <w:rFonts w:ascii="Arial" w:cs="Arial" w:eastAsia="Arial" w:hAnsi="Arial"/>
          <w:sz w:val="19"/>
          <w:szCs w:val="19"/>
          <w:color w:val="auto"/>
        </w:rPr>
        <w:t>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80" w:lineRule="exact"/>
        <w:rPr>
          <w:sz w:val="20"/>
          <w:szCs w:val="20"/>
          <w:color w:val="auto"/>
        </w:rPr>
      </w:pPr>
    </w:p>
    <w:p>
      <w:pPr>
        <w:jc w:val="both"/>
        <w:ind w:left="820" w:firstLine="484"/>
        <w:spacing w:after="0" w:line="271" w:lineRule="auto"/>
        <w:tabs>
          <w:tab w:leader="none" w:pos="194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Account of Subsidiaries</w:t>
      </w:r>
      <w:r>
        <w:rPr>
          <w:rFonts w:ascii="Arial" w:cs="Arial" w:eastAsia="Arial" w:hAnsi="Arial"/>
          <w:sz w:val="18"/>
          <w:szCs w:val="18"/>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Borrowers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such Borrower, and that such Borrower’s business derives substantial benefits from the businesses of such Subsidiaries.</w:t>
      </w:r>
    </w:p>
    <w:p>
      <w:pPr>
        <w:spacing w:after="0" w:line="173" w:lineRule="exact"/>
        <w:rPr>
          <w:rFonts w:ascii="Arial" w:cs="Arial" w:eastAsia="Arial" w:hAnsi="Arial"/>
          <w:sz w:val="18"/>
          <w:szCs w:val="18"/>
          <w:color w:val="auto"/>
        </w:rPr>
      </w:pPr>
    </w:p>
    <w:p>
      <w:pPr>
        <w:jc w:val="both"/>
        <w:ind w:left="820" w:firstLine="484"/>
        <w:spacing w:after="0" w:line="250" w:lineRule="auto"/>
        <w:tabs>
          <w:tab w:leader="none" w:pos="1952"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Existing Letters of Credit. All Existing Letters of Credit shall be deemed to have been issued pursuant to this Agreement and from and after the Effective Date shall be subject to and governed by the terms and conditions of this Agreement, including without limitation Section 2.12(b).</w:t>
      </w:r>
    </w:p>
    <w:p>
      <w:pPr>
        <w:spacing w:after="0" w:line="186"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8"/>
          <w:szCs w:val="18"/>
          <w:u w:val="single" w:color="auto"/>
          <w:color w:val="auto"/>
        </w:rPr>
        <w:t>Funding of Borrowings.</w:t>
      </w:r>
    </w:p>
    <w:p>
      <w:pPr>
        <w:spacing w:after="0" w:line="216" w:lineRule="exact"/>
        <w:rPr>
          <w:sz w:val="20"/>
          <w:szCs w:val="20"/>
          <w:color w:val="auto"/>
        </w:rPr>
      </w:pPr>
    </w:p>
    <w:p>
      <w:pPr>
        <w:jc w:val="both"/>
        <w:ind w:left="820" w:firstLine="484"/>
        <w:spacing w:after="0" w:line="274" w:lineRule="auto"/>
        <w:tabs>
          <w:tab w:leader="none" w:pos="19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such Lender hereunder on the proposed date thereof solely by wire transfer of immediately available funds by (i) 1:00 p.m., Pacific time, in the case of Eurodollar Loans and (ii) 3:00 p.m., Pacific time, in the case of CBFR Loans, to the account of the Administrative Agent most recently designated by it for such purpose by notice to the Lenders in an amount equal to such Lender’s Applicable Percentage. The Administrative Agent will make such Loans available to the Borrower Representative by promptly crediting the funds so received in the aforesaid account of the Administrative Agent to the Funding Account(s);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CBFR Revolving Loans made to finance the reimbursement of an LC Disbursement as provided in Section 2.06(e) shall be remitted by the Administrative Agent to the Issuing Bank.</w:t>
      </w:r>
    </w:p>
    <w:p>
      <w:pPr>
        <w:spacing w:after="0" w:line="168" w:lineRule="exact"/>
        <w:rPr>
          <w:rFonts w:ascii="Arial" w:cs="Arial" w:eastAsia="Arial" w:hAnsi="Arial"/>
          <w:sz w:val="18"/>
          <w:szCs w:val="18"/>
          <w:color w:val="auto"/>
        </w:rPr>
      </w:pPr>
    </w:p>
    <w:p>
      <w:pPr>
        <w:jc w:val="both"/>
        <w:ind w:left="820" w:firstLine="484"/>
        <w:spacing w:after="0" w:line="269" w:lineRule="auto"/>
        <w:tabs>
          <w:tab w:leader="none" w:pos="1942" w:val="left"/>
        </w:tabs>
        <w:numPr>
          <w:ilvl w:val="0"/>
          <w:numId w:val="55"/>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7" w:name="page88"/>
    <w:bookmarkEnd w:id="87"/>
    <w:p>
      <w:pPr>
        <w:jc w:val="both"/>
        <w:ind w:left="820"/>
        <w:spacing w:after="0" w:line="255" w:lineRule="auto"/>
        <w:rPr>
          <w:sz w:val="20"/>
          <w:szCs w:val="20"/>
          <w:color w:val="auto"/>
        </w:rPr>
      </w:pPr>
      <w:r>
        <w:rPr>
          <w:rFonts w:ascii="Arial" w:cs="Arial" w:eastAsia="Arial" w:hAnsi="Arial"/>
          <w:sz w:val="19"/>
          <w:szCs w:val="19"/>
          <w:color w:val="auto"/>
        </w:rPr>
        <w:t>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Borrowers, the interest rate applicable to CBFR Revolving Loans. If such Lender pays such amount to the Administrative Agent, then such amount shall constitute such Lender’s Loan included in such Borrowing; provided, that any interest received from the Borrowers by the Administrative Agent during the period beginning when Administrative Agent funded the Borrowing until such Lender pays such amount shall be solely for the account of the Administrative Agent.</w:t>
      </w:r>
    </w:p>
    <w:p>
      <w:pPr>
        <w:spacing w:after="0" w:line="187"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Interest Elections</w:t>
      </w:r>
      <w:r>
        <w:rPr>
          <w:rFonts w:ascii="Arial" w:cs="Arial" w:eastAsia="Arial" w:hAnsi="Arial"/>
          <w:sz w:val="18"/>
          <w:szCs w:val="18"/>
          <w:color w:val="auto"/>
        </w:rPr>
        <w:t>.</w:t>
      </w:r>
    </w:p>
    <w:p>
      <w:pPr>
        <w:spacing w:after="0" w:line="216" w:lineRule="exact"/>
        <w:rPr>
          <w:sz w:val="20"/>
          <w:szCs w:val="20"/>
          <w:color w:val="auto"/>
        </w:rPr>
      </w:pPr>
    </w:p>
    <w:p>
      <w:pPr>
        <w:jc w:val="both"/>
        <w:ind w:left="820" w:firstLine="484"/>
        <w:spacing w:after="0" w:line="243"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Each Borrowing initially shall be of the Type specified in the applicable Borrowing Request and, in the case of a Eurodollar Borrowing, shall have an initial Interest Period as specified in such Borrowing Request. Thereafter, the Borrower Representative may elect to convert such Borrowing to a different Type or to continue such Borrowing and, in the case of a Eurodollar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92" w:lineRule="exact"/>
        <w:rPr>
          <w:rFonts w:ascii="Arial" w:cs="Arial" w:eastAsia="Arial" w:hAnsi="Arial"/>
          <w:sz w:val="20"/>
          <w:szCs w:val="20"/>
          <w:color w:val="auto"/>
        </w:rPr>
      </w:pPr>
    </w:p>
    <w:p>
      <w:pPr>
        <w:jc w:val="both"/>
        <w:ind w:left="820" w:firstLine="484"/>
        <w:spacing w:after="0" w:line="243" w:lineRule="auto"/>
        <w:tabs>
          <w:tab w:leader="none" w:pos="1942" w:val="left"/>
        </w:tabs>
        <w:numPr>
          <w:ilvl w:val="0"/>
          <w:numId w:val="56"/>
        </w:numPr>
        <w:rPr>
          <w:rFonts w:ascii="Arial" w:cs="Arial" w:eastAsia="Arial" w:hAnsi="Arial"/>
          <w:sz w:val="20"/>
          <w:szCs w:val="20"/>
          <w:color w:val="auto"/>
        </w:rPr>
      </w:pPr>
      <w:r>
        <w:rPr>
          <w:rFonts w:ascii="Arial" w:cs="Arial" w:eastAsia="Arial" w:hAnsi="Arial"/>
          <w:sz w:val="20"/>
          <w:szCs w:val="20"/>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Interest Election Request shall be irrevocable.</w:t>
      </w:r>
    </w:p>
    <w:p>
      <w:pPr>
        <w:spacing w:after="0" w:line="195" w:lineRule="exact"/>
        <w:rPr>
          <w:rFonts w:ascii="Arial" w:cs="Arial" w:eastAsia="Arial" w:hAnsi="Arial"/>
          <w:sz w:val="20"/>
          <w:szCs w:val="20"/>
          <w:color w:val="auto"/>
        </w:rPr>
      </w:pPr>
    </w:p>
    <w:p>
      <w:pPr>
        <w:ind w:left="820" w:right="20" w:firstLine="484"/>
        <w:spacing w:after="0" w:line="260"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Each Interest Election Request (including requests submitted through Electronic System) shall specify the following information in compliance with Section 2.02:</w:t>
      </w:r>
    </w:p>
    <w:p>
      <w:pPr>
        <w:spacing w:after="0" w:line="176" w:lineRule="exact"/>
        <w:rPr>
          <w:rFonts w:ascii="Arial" w:cs="Arial" w:eastAsia="Arial" w:hAnsi="Arial"/>
          <w:sz w:val="20"/>
          <w:szCs w:val="20"/>
          <w:color w:val="auto"/>
        </w:rPr>
      </w:pPr>
    </w:p>
    <w:p>
      <w:pPr>
        <w:jc w:val="both"/>
        <w:ind w:left="980" w:firstLine="648"/>
        <w:spacing w:after="0" w:line="246" w:lineRule="auto"/>
        <w:tabs>
          <w:tab w:leader="none" w:pos="195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91" w:lineRule="exact"/>
        <w:rPr>
          <w:rFonts w:ascii="Arial" w:cs="Arial" w:eastAsia="Arial" w:hAnsi="Arial"/>
          <w:sz w:val="20"/>
          <w:szCs w:val="20"/>
          <w:color w:val="auto"/>
        </w:rPr>
      </w:pPr>
    </w:p>
    <w:p>
      <w:pPr>
        <w:ind w:left="1960" w:hanging="332"/>
        <w:spacing w:after="0"/>
        <w:tabs>
          <w:tab w:leader="none" w:pos="19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8" w:name="page89"/>
    <w:bookmarkEnd w:id="88"/>
    <w:p>
      <w:pPr>
        <w:ind w:left="1960" w:hanging="332"/>
        <w:spacing w:after="0"/>
        <w:tabs>
          <w:tab w:leader="none" w:pos="19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whether the resulting Borrowing is to be an CBFR Borrowing or a Eurodollar Borrowing; and</w:t>
      </w:r>
    </w:p>
    <w:p>
      <w:pPr>
        <w:spacing w:after="0" w:line="215" w:lineRule="exact"/>
        <w:rPr>
          <w:rFonts w:ascii="Arial" w:cs="Arial" w:eastAsia="Arial" w:hAnsi="Arial"/>
          <w:sz w:val="20"/>
          <w:szCs w:val="20"/>
          <w:color w:val="auto"/>
        </w:rPr>
      </w:pPr>
    </w:p>
    <w:p>
      <w:pPr>
        <w:ind w:left="980" w:firstLine="648"/>
        <w:spacing w:after="0" w:line="260" w:lineRule="auto"/>
        <w:tabs>
          <w:tab w:leader="none" w:pos="1941"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Borrowers shall be deemed to have selected an Interest Period of one month’s duration.</w:t>
      </w:r>
    </w:p>
    <w:p>
      <w:pPr>
        <w:spacing w:after="0" w:line="177" w:lineRule="exact"/>
        <w:rPr>
          <w:sz w:val="20"/>
          <w:szCs w:val="20"/>
          <w:color w:val="auto"/>
        </w:rPr>
      </w:pPr>
    </w:p>
    <w:p>
      <w:pPr>
        <w:ind w:left="980" w:right="20" w:firstLine="324"/>
        <w:spacing w:after="0" w:line="260" w:lineRule="auto"/>
        <w:tabs>
          <w:tab w:leader="none" w:pos="1940" w:val="left"/>
        </w:tabs>
        <w:numPr>
          <w:ilvl w:val="0"/>
          <w:numId w:val="58"/>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applicable Class of the details thereof and of such Lender’s portion of each resulting Borrowing.</w:t>
      </w:r>
    </w:p>
    <w:p>
      <w:pPr>
        <w:spacing w:after="0" w:line="176" w:lineRule="exact"/>
        <w:rPr>
          <w:rFonts w:ascii="Arial" w:cs="Arial" w:eastAsia="Arial" w:hAnsi="Arial"/>
          <w:sz w:val="20"/>
          <w:szCs w:val="20"/>
          <w:color w:val="auto"/>
        </w:rPr>
      </w:pPr>
    </w:p>
    <w:p>
      <w:pPr>
        <w:jc w:val="both"/>
        <w:ind w:left="980" w:firstLine="324"/>
        <w:spacing w:after="0" w:line="274" w:lineRule="auto"/>
        <w:tabs>
          <w:tab w:leader="none" w:pos="194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CBFR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Eurodollar Borrowing and (ii) unless repaid, each Eurodollar Borrowing shall be converted to an CBFR Borrowing at the end of the Interest Period applicable thereto.</w:t>
      </w:r>
    </w:p>
    <w:p>
      <w:pPr>
        <w:spacing w:after="0" w:line="168"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16" w:lineRule="exact"/>
        <w:rPr>
          <w:sz w:val="20"/>
          <w:szCs w:val="20"/>
          <w:color w:val="auto"/>
        </w:rPr>
      </w:pPr>
    </w:p>
    <w:p>
      <w:pPr>
        <w:ind w:left="1940" w:hanging="636"/>
        <w:spacing w:after="0"/>
        <w:tabs>
          <w:tab w:leader="none" w:pos="19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Unless previously terminated, all the Revolving Commitments shall terminate on the Revolving Credit Maturity</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ind w:left="1940" w:hanging="636"/>
        <w:spacing w:after="0"/>
        <w:tabs>
          <w:tab w:leader="none" w:pos="19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Borrowers may at any time terminate the Revolving Commitments upon the Payment in Full of the Secured</w:t>
      </w:r>
    </w:p>
    <w:p>
      <w:pPr>
        <w:spacing w:after="0" w:line="3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20"/>
          <w:szCs w:val="20"/>
          <w:color w:val="auto"/>
        </w:rPr>
        <w:t>Obligations.</w:t>
      </w:r>
    </w:p>
    <w:p>
      <w:pPr>
        <w:spacing w:after="0" w:line="199" w:lineRule="exact"/>
        <w:rPr>
          <w:rFonts w:ascii="Arial" w:cs="Arial" w:eastAsia="Arial" w:hAnsi="Arial"/>
          <w:sz w:val="18"/>
          <w:szCs w:val="18"/>
          <w:color w:val="auto"/>
        </w:rPr>
      </w:pPr>
    </w:p>
    <w:p>
      <w:pPr>
        <w:jc w:val="both"/>
        <w:ind w:left="820" w:firstLine="484"/>
        <w:spacing w:after="0" w:line="278" w:lineRule="auto"/>
        <w:tabs>
          <w:tab w:leader="none" w:pos="19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Borrowers may from time to time reduce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each reduction of the Revolving Commitments shall be in an amount that is an integral multiple of $100,000 and not less than $500,000 and (ii) the Borrowers shall not terminate or reduce the Revolving Commitments if, after giving effect to any concurrent prepayment of the Revolving Loans in accordance with Section 2.11, (A) any Lender’s Revolving Exposure would exceed such Lender’s Revolving Commitment or (B) the Aggregate Revolving Exposure would exceed the aggregate Revolving Commitments.</w:t>
      </w:r>
    </w:p>
    <w:p>
      <w:pPr>
        <w:spacing w:after="0" w:line="164" w:lineRule="exact"/>
        <w:rPr>
          <w:rFonts w:ascii="Arial" w:cs="Arial" w:eastAsia="Arial" w:hAnsi="Arial"/>
          <w:sz w:val="18"/>
          <w:szCs w:val="18"/>
          <w:color w:val="auto"/>
        </w:rPr>
      </w:pPr>
    </w:p>
    <w:p>
      <w:pPr>
        <w:jc w:val="both"/>
        <w:ind w:left="820" w:firstLine="484"/>
        <w:spacing w:after="0" w:line="257" w:lineRule="auto"/>
        <w:tabs>
          <w:tab w:leader="none" w:pos="194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The Borrower Representative shall notify the Administrative Agent of any election to terminate or reduce the Revolving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the Revolving Commitments delivered by the Borrower Representative may state that such notice is conditioned upon the effectiveness of other credit facilities, in which case such notice may be revoked by the Borrower Representative (by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89" w:name="page90"/>
    <w:bookmarkEnd w:id="89"/>
    <w:p>
      <w:pPr>
        <w:ind w:left="820"/>
        <w:spacing w:after="0" w:line="260" w:lineRule="auto"/>
        <w:rPr>
          <w:sz w:val="20"/>
          <w:szCs w:val="20"/>
          <w:color w:val="auto"/>
        </w:rPr>
      </w:pPr>
      <w:r>
        <w:rPr>
          <w:rFonts w:ascii="Arial" w:cs="Arial" w:eastAsia="Arial" w:hAnsi="Arial"/>
          <w:sz w:val="20"/>
          <w:szCs w:val="20"/>
          <w:color w:val="auto"/>
        </w:rPr>
        <w:t>to the Administrative Agent on or prior to the specified effective date) if such condition is not satisfied. Any termination or reduction of the Revolving Commitments shall be permanent.</w:t>
      </w:r>
    </w:p>
    <w:p>
      <w:pPr>
        <w:spacing w:after="0" w:line="177"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Repayment and Amortization of Loans; Evidence of Debt</w:t>
      </w:r>
      <w:r>
        <w:rPr>
          <w:rFonts w:ascii="Arial" w:cs="Arial" w:eastAsia="Arial" w:hAnsi="Arial"/>
          <w:sz w:val="18"/>
          <w:szCs w:val="18"/>
          <w:color w:val="auto"/>
        </w:rPr>
        <w:t>.</w:t>
      </w:r>
    </w:p>
    <w:p>
      <w:pPr>
        <w:spacing w:after="0" w:line="216" w:lineRule="exact"/>
        <w:rPr>
          <w:sz w:val="20"/>
          <w:szCs w:val="20"/>
          <w:color w:val="auto"/>
        </w:rPr>
      </w:pPr>
    </w:p>
    <w:p>
      <w:pPr>
        <w:ind w:left="820" w:right="20" w:firstLine="484"/>
        <w:spacing w:after="0" w:line="260" w:lineRule="auto"/>
        <w:tabs>
          <w:tab w:leader="none" w:pos="1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Borrowers hereby unconditionally promise to pay to the Administrative Agent for the account of each Revolving Lender the then unpaid principal amount of each Revolving Loan on the Revolving Credit Maturity Date.</w:t>
      </w:r>
    </w:p>
    <w:p>
      <w:pPr>
        <w:spacing w:after="0" w:line="176" w:lineRule="exact"/>
        <w:rPr>
          <w:rFonts w:ascii="Arial" w:cs="Arial" w:eastAsia="Arial" w:hAnsi="Arial"/>
          <w:sz w:val="20"/>
          <w:szCs w:val="20"/>
          <w:color w:val="auto"/>
        </w:rPr>
      </w:pPr>
    </w:p>
    <w:p>
      <w:pPr>
        <w:jc w:val="both"/>
        <w:ind w:left="820" w:firstLine="484"/>
        <w:spacing w:after="0" w:line="250" w:lineRule="auto"/>
        <w:tabs>
          <w:tab w:leader="none" w:pos="1942"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5" w:lineRule="exact"/>
        <w:rPr>
          <w:rFonts w:ascii="Arial" w:cs="Arial" w:eastAsia="Arial" w:hAnsi="Arial"/>
          <w:sz w:val="20"/>
          <w:szCs w:val="20"/>
          <w:color w:val="auto"/>
        </w:rPr>
      </w:pPr>
    </w:p>
    <w:p>
      <w:pPr>
        <w:jc w:val="both"/>
        <w:ind w:left="820" w:firstLine="484"/>
        <w:spacing w:after="0" w:line="263" w:lineRule="auto"/>
        <w:tabs>
          <w:tab w:leader="none" w:pos="194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if any,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6" w:lineRule="exact"/>
        <w:rPr>
          <w:rFonts w:ascii="Arial" w:cs="Arial" w:eastAsia="Arial" w:hAnsi="Arial"/>
          <w:sz w:val="19"/>
          <w:szCs w:val="19"/>
          <w:color w:val="auto"/>
        </w:rPr>
      </w:pPr>
    </w:p>
    <w:p>
      <w:pPr>
        <w:jc w:val="both"/>
        <w:ind w:left="820" w:firstLine="484"/>
        <w:spacing w:after="0" w:line="243" w:lineRule="auto"/>
        <w:tabs>
          <w:tab w:leader="none" w:pos="1942"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 For the avoidance of doubt, in the event of any conflict between the accounts maintained pursuant to this Section 2.10 and the Register maintained in accordance with Section 9.04(b)(iv), the Register shall control.</w:t>
      </w:r>
    </w:p>
    <w:p>
      <w:pPr>
        <w:spacing w:after="0" w:line="195" w:lineRule="exact"/>
        <w:rPr>
          <w:rFonts w:ascii="Arial" w:cs="Arial" w:eastAsia="Arial" w:hAnsi="Arial"/>
          <w:sz w:val="20"/>
          <w:szCs w:val="20"/>
          <w:color w:val="auto"/>
        </w:rPr>
      </w:pPr>
    </w:p>
    <w:p>
      <w:pPr>
        <w:jc w:val="both"/>
        <w:ind w:left="820" w:firstLine="484"/>
        <w:spacing w:after="0" w:line="244" w:lineRule="auto"/>
        <w:tabs>
          <w:tab w:leader="none" w:pos="1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94"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216" w:lineRule="exact"/>
        <w:rPr>
          <w:sz w:val="20"/>
          <w:szCs w:val="20"/>
          <w:color w:val="auto"/>
        </w:rPr>
      </w:pPr>
    </w:p>
    <w:p>
      <w:pPr>
        <w:jc w:val="both"/>
        <w:ind w:left="980" w:firstLine="324"/>
        <w:spacing w:after="0" w:line="250" w:lineRule="auto"/>
        <w:tabs>
          <w:tab w:leader="none" w:pos="1942"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Borrowers shall have the right at any time and from time to time to prepay any Borrowing in whole or in part, subject to prior notice in accordance with paragraph (c) of this Section and, if applicable, payment of any break funding expenses under Section 2.16.</w:t>
      </w:r>
    </w:p>
    <w:p>
      <w:pPr>
        <w:spacing w:after="0" w:line="185" w:lineRule="exact"/>
        <w:rPr>
          <w:rFonts w:ascii="Arial" w:cs="Arial" w:eastAsia="Arial" w:hAnsi="Arial"/>
          <w:sz w:val="20"/>
          <w:szCs w:val="20"/>
          <w:color w:val="auto"/>
        </w:rPr>
      </w:pPr>
    </w:p>
    <w:p>
      <w:pPr>
        <w:jc w:val="both"/>
        <w:ind w:left="980" w:firstLine="324"/>
        <w:spacing w:after="0" w:line="246" w:lineRule="auto"/>
        <w:tabs>
          <w:tab w:leader="none" w:pos="19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 the event and on such occasion that the Aggregate Revolving Exposure exceeds the aggregate Revolving Commitments, the Borrowers shall prepay the Revolving Loans, LC Exposure (or, if no such Borrowings are outstanding, deposit cash collateral in the LC Collateral Account in an aggregate amount equal to such excess, in accordance with Section 2.06(j)).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0" w:name="page91"/>
    <w:bookmarkEnd w:id="90"/>
    <w:p>
      <w:pPr>
        <w:jc w:val="both"/>
        <w:ind w:left="980" w:firstLine="324"/>
        <w:spacing w:after="0" w:line="270" w:lineRule="auto"/>
        <w:tabs>
          <w:tab w:leader="none" w:pos="19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Borrower Representative shall notify the Administrative Agent by telephone (confirmed by fax) or through Electronic System, if arrangements for doing so have been approved by the Administrative Agent, of any prepayment under this Section: (i) in the case of prepayment of a Eurodollar Borrowing, not later than 10:00 a.m., Pacific time, three (3) Business Days before the date of prepayment or (ii) in the case of prepayment of an CBFR Borrowing, not later than 10:00 a.m., Pacific time, on the date of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the Administrative Agent shall advise the Lenders of the contents thereof. Each partial prepayment of any Revolving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2.13 and (ii) break funding payments pursuant to Section 2.16.</w:t>
      </w:r>
    </w:p>
    <w:p>
      <w:pPr>
        <w:spacing w:after="0" w:line="172"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216" w:lineRule="exact"/>
        <w:rPr>
          <w:sz w:val="20"/>
          <w:szCs w:val="20"/>
          <w:color w:val="auto"/>
        </w:rPr>
      </w:pPr>
    </w:p>
    <w:p>
      <w:pPr>
        <w:jc w:val="both"/>
        <w:ind w:left="980" w:firstLine="324"/>
        <w:spacing w:after="0" w:line="256" w:lineRule="auto"/>
        <w:tabs>
          <w:tab w:leader="none" w:pos="1942"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Borrowers agree to pay to the Administrative Agent a commitment fee for the account of each Revolving Lender, which shall accrue at the Applicable Rate on the daily amount of the undrawn portion of the Revolving Commitment of such Lender during the period from and including the Effective Date to but excluding the date on which the Lenders’ Revolving Commitments terminate; it being understood that the LC Exposure of a Lender shall be included in the drawn portion of the Revolving Commitment of such Lender for purposes of calculating the commitment fee. Accrued commitment fees shall be payable in arrears on the third Business Day following such last day of March, June, September and December of each year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4" w:lineRule="exact"/>
        <w:rPr>
          <w:rFonts w:ascii="Arial" w:cs="Arial" w:eastAsia="Arial" w:hAnsi="Arial"/>
          <w:sz w:val="19"/>
          <w:szCs w:val="19"/>
          <w:color w:val="auto"/>
        </w:rPr>
      </w:pPr>
    </w:p>
    <w:p>
      <w:pPr>
        <w:jc w:val="both"/>
        <w:ind w:left="980" w:firstLine="324"/>
        <w:spacing w:after="0" w:line="271" w:lineRule="auto"/>
        <w:tabs>
          <w:tab w:leader="none" w:pos="19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Borrowers agree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Applicable Rate, during the period from and including the Effective Date to but excluding the later of the date on which such Lender’s Revolving Commitment terminates and the date on which such Lender ceases to have any LC Exposure, and (ii) to the Issuing Bank for its own account a fronting fee with respect to each Letter of Credit issued by such Issuing Bank, which shall accrue at the rate or rates per annum separately agreed upon between the Borrowers and the Issuing Bank on the daily maximum amount then available to be drawn under such Letter of Credit,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or extension of any Letter of Credit and other processing fees, and other standard costs and charges, of such Issuing Bank relating to Letters of Credit as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1" w:name="page92"/>
    <w:bookmarkEnd w:id="91"/>
    <w:p>
      <w:pPr>
        <w:jc w:val="both"/>
        <w:ind w:left="980"/>
        <w:spacing w:after="0" w:line="257" w:lineRule="auto"/>
        <w:rPr>
          <w:sz w:val="20"/>
          <w:szCs w:val="20"/>
          <w:color w:val="auto"/>
        </w:rPr>
      </w:pPr>
      <w:r>
        <w:rPr>
          <w:rFonts w:ascii="Arial" w:cs="Arial" w:eastAsia="Arial" w:hAnsi="Arial"/>
          <w:sz w:val="19"/>
          <w:szCs w:val="19"/>
          <w:color w:val="auto"/>
        </w:rPr>
        <w:t>Participation fees and fronting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5" w:lineRule="exact"/>
        <w:rPr>
          <w:sz w:val="20"/>
          <w:szCs w:val="20"/>
          <w:color w:val="auto"/>
        </w:rPr>
      </w:pPr>
    </w:p>
    <w:p>
      <w:pPr>
        <w:ind w:left="980" w:firstLine="324"/>
        <w:spacing w:after="0" w:line="260" w:lineRule="auto"/>
        <w:tabs>
          <w:tab w:leader="none" w:pos="1942"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its own account, fees payable in the amounts and at the times separately agreed upon between the Borrowers and the Administrative Agent.</w:t>
      </w:r>
    </w:p>
    <w:p>
      <w:pPr>
        <w:spacing w:after="0" w:line="176" w:lineRule="exact"/>
        <w:rPr>
          <w:rFonts w:ascii="Arial" w:cs="Arial" w:eastAsia="Arial" w:hAnsi="Arial"/>
          <w:sz w:val="20"/>
          <w:szCs w:val="20"/>
          <w:color w:val="auto"/>
        </w:rPr>
      </w:pPr>
    </w:p>
    <w:p>
      <w:pPr>
        <w:jc w:val="both"/>
        <w:ind w:left="980" w:firstLine="324"/>
        <w:spacing w:after="0" w:line="269" w:lineRule="auto"/>
        <w:tabs>
          <w:tab w:leader="none" w:pos="19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All fees payable hereunder shall be paid on the dates due, in dollars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70"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16" w:lineRule="exact"/>
        <w:rPr>
          <w:sz w:val="20"/>
          <w:szCs w:val="20"/>
          <w:color w:val="auto"/>
        </w:rPr>
      </w:pPr>
    </w:p>
    <w:p>
      <w:pPr>
        <w:ind w:left="1940" w:hanging="636"/>
        <w:spacing w:after="0"/>
        <w:tabs>
          <w:tab w:leader="none" w:pos="19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Loans comprising each CBFR Borrowing shall bear interest at the CB Floating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238" w:lineRule="exact"/>
        <w:rPr>
          <w:rFonts w:ascii="Arial" w:cs="Arial" w:eastAsia="Arial" w:hAnsi="Arial"/>
          <w:sz w:val="18"/>
          <w:szCs w:val="18"/>
          <w:color w:val="auto"/>
        </w:rPr>
      </w:pPr>
    </w:p>
    <w:p>
      <w:pPr>
        <w:ind w:left="660" w:firstLine="644"/>
        <w:spacing w:after="0" w:line="260" w:lineRule="auto"/>
        <w:tabs>
          <w:tab w:leader="none" w:pos="1944"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The Loans comprising each Eurodollar Borrowing shall bear interest at the Adjusted LIBO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76" w:lineRule="exact"/>
        <w:rPr>
          <w:rFonts w:ascii="Arial" w:cs="Arial" w:eastAsia="Arial" w:hAnsi="Arial"/>
          <w:sz w:val="20"/>
          <w:szCs w:val="20"/>
          <w:color w:val="auto"/>
        </w:rPr>
      </w:pPr>
    </w:p>
    <w:p>
      <w:pPr>
        <w:jc w:val="both"/>
        <w:ind w:left="660" w:firstLine="644"/>
        <w:spacing w:after="0" w:line="276" w:lineRule="auto"/>
        <w:tabs>
          <w:tab w:leader="none" w:pos="19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64" w:lineRule="exact"/>
        <w:rPr>
          <w:rFonts w:ascii="Arial" w:cs="Arial" w:eastAsia="Arial" w:hAnsi="Arial"/>
          <w:sz w:val="18"/>
          <w:szCs w:val="18"/>
          <w:color w:val="auto"/>
        </w:rPr>
      </w:pPr>
    </w:p>
    <w:p>
      <w:pPr>
        <w:jc w:val="both"/>
        <w:ind w:left="660" w:firstLine="644"/>
        <w:spacing w:after="0" w:line="274" w:lineRule="auto"/>
        <w:tabs>
          <w:tab w:leader="none" w:pos="194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CBFR Loans, accrued through the last day of the prior calendar month) shall be payable in arrears on each Interest Payment Date for such Loan and, in the case of Revolving Loans,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shall be payable on demand, (ii) in the event of any repayment or prepayment of any Loan (other than a prepayment of an CBFR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8" w:lineRule="exact"/>
        <w:rPr>
          <w:rFonts w:ascii="Arial" w:cs="Arial" w:eastAsia="Arial" w:hAnsi="Arial"/>
          <w:sz w:val="18"/>
          <w:szCs w:val="18"/>
          <w:color w:val="auto"/>
        </w:rPr>
      </w:pPr>
    </w:p>
    <w:p>
      <w:pPr>
        <w:ind w:left="660" w:firstLine="644"/>
        <w:spacing w:after="0" w:line="260" w:lineRule="auto"/>
        <w:tabs>
          <w:tab w:leader="none" w:pos="1946" w:val="left"/>
        </w:tabs>
        <w:numPr>
          <w:ilvl w:val="0"/>
          <w:numId w:val="66"/>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CB Floating Rate shall be computed on the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2" w:name="page93"/>
    <w:bookmarkEnd w:id="92"/>
    <w:p>
      <w:pPr>
        <w:jc w:val="both"/>
        <w:ind w:left="660"/>
        <w:spacing w:after="0" w:line="269" w:lineRule="auto"/>
        <w:rPr>
          <w:sz w:val="20"/>
          <w:szCs w:val="20"/>
          <w:color w:val="auto"/>
        </w:rPr>
      </w:pPr>
      <w:r>
        <w:rPr>
          <w:rFonts w:ascii="Arial" w:cs="Arial" w:eastAsia="Arial" w:hAnsi="Arial"/>
          <w:sz w:val="19"/>
          <w:szCs w:val="19"/>
          <w:color w:val="auto"/>
        </w:rPr>
        <w:t>of a year of 365 days (or 366 days in a leap year), and, in each case, shall be payable for the actual number of days elapsed (including the first day but excluding the last day). The applicable CB Floating Rate, Adjusted LIBO Rate or LIBO Rate shall be determined by the Administrative Agent, and such determination shall be conclusive absent manifest error.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SECTION 2.14.</w:t>
      </w:r>
      <w:r>
        <w:rPr>
          <w:rFonts w:ascii="Arial" w:cs="Arial" w:eastAsia="Arial" w:hAnsi="Arial"/>
          <w:sz w:val="20"/>
          <w:szCs w:val="20"/>
          <w:u w:val="single" w:color="auto"/>
          <w:color w:val="auto"/>
        </w:rPr>
        <w:t>Alternate Rate of Interest; Illegality</w:t>
      </w:r>
      <w:r>
        <w:rPr>
          <w:rFonts w:ascii="Arial" w:cs="Arial" w:eastAsia="Arial" w:hAnsi="Arial"/>
          <w:sz w:val="20"/>
          <w:szCs w:val="20"/>
          <w:color w:val="auto"/>
        </w:rPr>
        <w:t>.</w:t>
      </w:r>
    </w:p>
    <w:p>
      <w:pPr>
        <w:spacing w:after="0" w:line="243" w:lineRule="exact"/>
        <w:rPr>
          <w:sz w:val="20"/>
          <w:szCs w:val="20"/>
          <w:color w:val="auto"/>
        </w:rPr>
      </w:pPr>
    </w:p>
    <w:p>
      <w:pPr>
        <w:ind w:left="740" w:firstLine="564"/>
        <w:spacing w:after="0" w:line="260" w:lineRule="auto"/>
        <w:tabs>
          <w:tab w:leader="none" w:pos="1945" w:val="left"/>
        </w:tabs>
        <w:numPr>
          <w:ilvl w:val="0"/>
          <w:numId w:val="67"/>
        </w:numPr>
        <w:rPr>
          <w:rFonts w:ascii="Arial" w:cs="Arial" w:eastAsia="Arial" w:hAnsi="Arial"/>
          <w:sz w:val="20"/>
          <w:szCs w:val="20"/>
          <w:color w:val="auto"/>
        </w:rPr>
      </w:pPr>
      <w:r>
        <w:rPr>
          <w:rFonts w:ascii="Arial" w:cs="Arial" w:eastAsia="Arial" w:hAnsi="Arial"/>
          <w:sz w:val="20"/>
          <w:szCs w:val="20"/>
          <w:color w:val="auto"/>
        </w:rPr>
        <w:t>Subject to clauses (c), (d), (e), (f), (g) and (h) of this Section 2.14, if prior to the commencement of any Interest Period for a Eurodollar Borrowing:</w:t>
      </w:r>
    </w:p>
    <w:p>
      <w:pPr>
        <w:spacing w:after="0" w:line="176" w:lineRule="exact"/>
        <w:rPr>
          <w:rFonts w:ascii="Arial" w:cs="Arial" w:eastAsia="Arial" w:hAnsi="Arial"/>
          <w:sz w:val="20"/>
          <w:szCs w:val="20"/>
          <w:color w:val="auto"/>
        </w:rPr>
      </w:pPr>
    </w:p>
    <w:p>
      <w:pPr>
        <w:jc w:val="both"/>
        <w:ind w:left="1300" w:firstLine="328"/>
        <w:spacing w:after="0" w:line="244" w:lineRule="auto"/>
        <w:tabs>
          <w:tab w:leader="none" w:pos="1946"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provided that no Benchmark Transition Event shall have occurred at such time; or</w:t>
      </w:r>
    </w:p>
    <w:p>
      <w:pPr>
        <w:spacing w:after="0" w:line="194" w:lineRule="exact"/>
        <w:rPr>
          <w:rFonts w:ascii="Arial" w:cs="Arial" w:eastAsia="Arial" w:hAnsi="Arial"/>
          <w:sz w:val="20"/>
          <w:szCs w:val="20"/>
          <w:color w:val="auto"/>
        </w:rPr>
      </w:pPr>
    </w:p>
    <w:p>
      <w:pPr>
        <w:jc w:val="both"/>
        <w:ind w:left="1300" w:firstLine="328"/>
        <w:spacing w:after="0" w:line="250" w:lineRule="auto"/>
        <w:tabs>
          <w:tab w:leader="none" w:pos="1947" w:val="left"/>
        </w:tabs>
        <w:numPr>
          <w:ilvl w:val="1"/>
          <w:numId w:val="67"/>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Loan) included in such Borrowing for such Interest Period;</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then the Administrative Agent shall give notice thereof to the Borrower Representative and the Lenders through Electronic System as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as promptly as practicable thereafter and, until the Administrative Agent notifies the Borrower Representative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 CBFR Borrowing on the last day of the then current Interest Period applicable thereto, and (B) if any Borrowing Request requests a Eurodollar Borrowing, such Borrowing shall be made as a CBFR Borrowing.</w:t>
      </w:r>
    </w:p>
    <w:p>
      <w:pPr>
        <w:spacing w:after="0" w:line="165" w:lineRule="exact"/>
        <w:rPr>
          <w:sz w:val="20"/>
          <w:szCs w:val="20"/>
          <w:color w:val="auto"/>
        </w:rPr>
      </w:pPr>
    </w:p>
    <w:p>
      <w:pPr>
        <w:jc w:val="both"/>
        <w:ind w:left="660" w:firstLine="644"/>
        <w:spacing w:after="0" w:line="255"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Representative through the Administrative Agent, any obligations of such Lender to make, maintain, fund or continue Eurodollar Loans or to convert CBFR Borrowings to Eurodollar Borrowings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prepay or convert all Eurodollar Borrowings of such Lender to CBFR Borrowings, either on the last day of the Interest Period therefor, if such Lender may lawfully continue to maintain such Eurodollar Borrowings to such day, or immediately, if such Lender may not lawfully continue to maintain such Loans. Upon any such prepayment or conversion, the Borrowers will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3" w:name="page94"/>
    <w:bookmarkEnd w:id="93"/>
    <w:p>
      <w:pPr>
        <w:jc w:val="both"/>
        <w:ind w:left="660" w:firstLine="644"/>
        <w:spacing w:after="0" w:line="254" w:lineRule="auto"/>
        <w:tabs>
          <w:tab w:leader="none" w:pos="19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(and any Swap Agreement shall be deemed not to be a “Loan Document” for purposes of this Section 2.14),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1" w:lineRule="exact"/>
        <w:rPr>
          <w:rFonts w:ascii="Arial" w:cs="Arial" w:eastAsia="Arial" w:hAnsi="Arial"/>
          <w:sz w:val="19"/>
          <w:szCs w:val="19"/>
          <w:color w:val="auto"/>
        </w:rPr>
      </w:pPr>
    </w:p>
    <w:p>
      <w:pPr>
        <w:jc w:val="both"/>
        <w:ind w:left="660" w:firstLine="644"/>
        <w:spacing w:after="0" w:line="273" w:lineRule="auto"/>
        <w:tabs>
          <w:tab w:leader="none" w:pos="19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(d) shall not be effective unless the Administrative Agent has delivered to the Lenders and the Borrower Representative a Term SOFR Notice. For the avoidance of doubt, the Administrative Agent shall not be required to deliver a Term SOFR Notice after a Term SOFR Transition Event and may do so in its sole discretion.</w:t>
      </w:r>
    </w:p>
    <w:p>
      <w:pPr>
        <w:spacing w:after="0" w:line="168" w:lineRule="exact"/>
        <w:rPr>
          <w:rFonts w:ascii="Arial" w:cs="Arial" w:eastAsia="Arial" w:hAnsi="Arial"/>
          <w:sz w:val="18"/>
          <w:szCs w:val="18"/>
          <w:color w:val="auto"/>
        </w:rPr>
      </w:pPr>
    </w:p>
    <w:p>
      <w:pPr>
        <w:jc w:val="both"/>
        <w:ind w:left="660" w:firstLine="644"/>
        <w:spacing w:after="0" w:line="263" w:lineRule="auto"/>
        <w:tabs>
          <w:tab w:leader="none" w:pos="19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6" w:lineRule="exact"/>
        <w:rPr>
          <w:rFonts w:ascii="Arial" w:cs="Arial" w:eastAsia="Arial" w:hAnsi="Arial"/>
          <w:sz w:val="19"/>
          <w:szCs w:val="19"/>
          <w:color w:val="auto"/>
        </w:rPr>
      </w:pPr>
    </w:p>
    <w:p>
      <w:pPr>
        <w:jc w:val="both"/>
        <w:ind w:left="660" w:firstLine="644"/>
        <w:spacing w:after="0" w:line="273" w:lineRule="auto"/>
        <w:tabs>
          <w:tab w:leader="none" w:pos="195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Borrower Representative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4" w:name="page95"/>
    <w:bookmarkEnd w:id="94"/>
    <w:p>
      <w:pPr>
        <w:ind w:left="660"/>
        <w:spacing w:after="0" w:line="260" w:lineRule="auto"/>
        <w:rPr>
          <w:sz w:val="20"/>
          <w:szCs w:val="20"/>
          <w:color w:val="auto"/>
        </w:rPr>
      </w:pPr>
      <w:r>
        <w:rPr>
          <w:rFonts w:ascii="Arial" w:cs="Arial" w:eastAsia="Arial" w:hAnsi="Arial"/>
          <w:sz w:val="20"/>
          <w:szCs w:val="20"/>
          <w:color w:val="auto"/>
        </w:rPr>
        <w:t>error and may be made in its or their sole discretion and without consent from any other party to this Agreement or any other Loan Document, except, in each case, as expressly required pursuant to this Section 2.14.</w:t>
      </w:r>
    </w:p>
    <w:p>
      <w:pPr>
        <w:spacing w:after="0" w:line="177" w:lineRule="exact"/>
        <w:rPr>
          <w:sz w:val="20"/>
          <w:szCs w:val="20"/>
          <w:color w:val="auto"/>
        </w:rPr>
      </w:pPr>
    </w:p>
    <w:p>
      <w:pPr>
        <w:jc w:val="both"/>
        <w:ind w:left="660" w:firstLine="644"/>
        <w:spacing w:after="0" w:line="271" w:lineRule="auto"/>
        <w:tabs>
          <w:tab w:leader="none" w:pos="1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9" w:lineRule="exact"/>
        <w:rPr>
          <w:rFonts w:ascii="Arial" w:cs="Arial" w:eastAsia="Arial" w:hAnsi="Arial"/>
          <w:sz w:val="18"/>
          <w:szCs w:val="18"/>
          <w:color w:val="auto"/>
        </w:rPr>
      </w:pPr>
    </w:p>
    <w:p>
      <w:pPr>
        <w:jc w:val="both"/>
        <w:ind w:left="660" w:firstLine="644"/>
        <w:spacing w:after="0" w:line="276" w:lineRule="auto"/>
        <w:tabs>
          <w:tab w:leader="none" w:pos="20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Borrowers may revoke any request for a Eurodollar Borrowing of, conversion to or continuation of Eurodollar Loans to be made, converted or continued during any Benchmark Unavailability Period and, failing that, the Borrowers will be deemed to have converted any such request into a request for a Borrowing of or conversion to CBFR Loans. During any Benchmark Unavailability Period or at any time that a tenor for the then-current Benchmark is not an Available Tenor, the component of CBFR based upon the then-current Benchmark or such tenor for such Benchmark, as applicable, will not be used in any determination of CBFR.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2.15 </w:t>
      </w:r>
      <w:r>
        <w:rPr>
          <w:rFonts w:ascii="Arial" w:cs="Arial" w:eastAsia="Arial" w:hAnsi="Arial"/>
          <w:sz w:val="20"/>
          <w:szCs w:val="20"/>
          <w:u w:val="single" w:color="auto"/>
          <w:color w:val="auto"/>
        </w:rPr>
        <w:t>Increased Costs</w:t>
      </w:r>
      <w:r>
        <w:rPr>
          <w:rFonts w:ascii="Arial" w:cs="Arial" w:eastAsia="Arial" w:hAnsi="Arial"/>
          <w:sz w:val="20"/>
          <w:szCs w:val="20"/>
          <w:color w:val="auto"/>
        </w:rPr>
        <w:t>. (a) If any Change in Law shall:</w:t>
      </w:r>
    </w:p>
    <w:p>
      <w:pPr>
        <w:spacing w:after="0" w:line="216" w:lineRule="exact"/>
        <w:rPr>
          <w:sz w:val="20"/>
          <w:szCs w:val="20"/>
          <w:color w:val="auto"/>
        </w:rPr>
      </w:pPr>
    </w:p>
    <w:p>
      <w:pPr>
        <w:jc w:val="both"/>
        <w:ind w:left="1300" w:firstLine="328"/>
        <w:spacing w:after="0" w:line="246" w:lineRule="auto"/>
        <w:tabs>
          <w:tab w:leader="none" w:pos="1946" w:val="left"/>
        </w:tabs>
        <w:numPr>
          <w:ilvl w:val="0"/>
          <w:numId w:val="71"/>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 or</w:t>
      </w:r>
    </w:p>
    <w:p>
      <w:pPr>
        <w:spacing w:after="0" w:line="191" w:lineRule="exact"/>
        <w:rPr>
          <w:sz w:val="20"/>
          <w:szCs w:val="20"/>
          <w:color w:val="auto"/>
        </w:rPr>
      </w:pPr>
    </w:p>
    <w:p>
      <w:pPr>
        <w:jc w:val="both"/>
        <w:ind w:left="1300" w:firstLine="311"/>
        <w:spacing w:after="0" w:line="316" w:lineRule="auto"/>
        <w:tabs>
          <w:tab w:leader="none" w:pos="191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29" w:lineRule="exact"/>
        <w:rPr>
          <w:rFonts w:ascii="Arial" w:cs="Arial" w:eastAsia="Arial" w:hAnsi="Arial"/>
          <w:sz w:val="18"/>
          <w:szCs w:val="18"/>
          <w:color w:val="auto"/>
        </w:rPr>
      </w:pPr>
    </w:p>
    <w:p>
      <w:pPr>
        <w:jc w:val="both"/>
        <w:ind w:left="1300" w:firstLine="256"/>
        <w:spacing w:after="0" w:line="269" w:lineRule="auto"/>
        <w:tabs>
          <w:tab w:leader="none" w:pos="1899" w:val="left"/>
        </w:tabs>
        <w:numPr>
          <w:ilvl w:val="0"/>
          <w:numId w:val="72"/>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and the result of any of the foregoing shall be to increase the cost to such Lender or such other Recipient of making, continuing, converting into or maintaining any Loan (or of maintaining its obligation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5" w:name="page96"/>
    <w:bookmarkEnd w:id="95"/>
    <w:p>
      <w:pPr>
        <w:jc w:val="both"/>
        <w:spacing w:after="0" w:line="278" w:lineRule="auto"/>
        <w:rPr>
          <w:sz w:val="20"/>
          <w:szCs w:val="20"/>
          <w:color w:val="auto"/>
        </w:rPr>
      </w:pPr>
      <w:r>
        <w:rPr>
          <w:rFonts w:ascii="Arial" w:cs="Arial" w:eastAsia="Arial" w:hAnsi="Arial"/>
          <w:sz w:val="18"/>
          <w:szCs w:val="18"/>
          <w:color w:val="auto"/>
        </w:rPr>
        <w:t>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upon request of such Lender, Issuing bank or other Recipient,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65" w:lineRule="exact"/>
        <w:rPr>
          <w:sz w:val="20"/>
          <w:szCs w:val="20"/>
          <w:color w:val="auto"/>
        </w:rPr>
      </w:pPr>
    </w:p>
    <w:p>
      <w:pPr>
        <w:jc w:val="both"/>
        <w:ind w:left="660" w:firstLine="644"/>
        <w:spacing w:after="0" w:line="272" w:lineRule="auto"/>
        <w:tabs>
          <w:tab w:leader="none" w:pos="19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70" w:lineRule="exact"/>
        <w:rPr>
          <w:rFonts w:ascii="Arial" w:cs="Arial" w:eastAsia="Arial" w:hAnsi="Arial"/>
          <w:sz w:val="18"/>
          <w:szCs w:val="18"/>
          <w:color w:val="auto"/>
        </w:rPr>
      </w:pPr>
    </w:p>
    <w:p>
      <w:pPr>
        <w:jc w:val="both"/>
        <w:ind w:left="660" w:firstLine="644"/>
        <w:spacing w:after="0" w:line="282" w:lineRule="auto"/>
        <w:tabs>
          <w:tab w:leader="none" w:pos="19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61" w:lineRule="exact"/>
        <w:rPr>
          <w:rFonts w:ascii="Arial" w:cs="Arial" w:eastAsia="Arial" w:hAnsi="Arial"/>
          <w:sz w:val="18"/>
          <w:szCs w:val="18"/>
          <w:color w:val="auto"/>
        </w:rPr>
      </w:pPr>
    </w:p>
    <w:p>
      <w:pPr>
        <w:jc w:val="both"/>
        <w:ind w:left="660" w:firstLine="644"/>
        <w:spacing w:after="0" w:line="274" w:lineRule="auto"/>
        <w:tabs>
          <w:tab w:leader="none" w:pos="19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6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SECTION 2.16.</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2.09(d) and is revoked in accordance therewith), or (d) the assignment of any Eurodollar Loan other than on the last day of the Interest Period applicable thereto as a result of a request by the Borrower Representative pursuant to Section 2.19 or 9.02(d), then, in any such event, the Borrowers shall compensate each Lender for the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6" w:name="page97"/>
    <w:bookmarkEnd w:id="96"/>
    <w:p>
      <w:pPr>
        <w:jc w:val="both"/>
        <w:spacing w:after="0" w:line="271" w:lineRule="auto"/>
        <w:rPr>
          <w:sz w:val="20"/>
          <w:szCs w:val="20"/>
          <w:color w:val="auto"/>
        </w:rPr>
      </w:pPr>
      <w:r>
        <w:rPr>
          <w:rFonts w:ascii="Arial" w:cs="Arial" w:eastAsia="Arial" w:hAnsi="Arial"/>
          <w:sz w:val="18"/>
          <w:szCs w:val="18"/>
          <w:color w:val="auto"/>
        </w:rPr>
        <w:t>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2.17.</w:t>
      </w:r>
      <w:r>
        <w:rPr>
          <w:rFonts w:ascii="Arial" w:cs="Arial" w:eastAsia="Arial" w:hAnsi="Arial"/>
          <w:sz w:val="20"/>
          <w:szCs w:val="20"/>
          <w:u w:val="single" w:color="auto"/>
          <w:color w:val="auto"/>
        </w:rPr>
        <w:t>Withholding of Taxes; Gross-Up</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6" w:lineRule="auto"/>
        <w:tabs>
          <w:tab w:leader="none" w:pos="194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84" w:lineRule="exact"/>
        <w:rPr>
          <w:rFonts w:ascii="Arial" w:cs="Arial" w:eastAsia="Arial" w:hAnsi="Arial"/>
          <w:sz w:val="19"/>
          <w:szCs w:val="19"/>
          <w:color w:val="auto"/>
        </w:rPr>
      </w:pPr>
    </w:p>
    <w:p>
      <w:pPr>
        <w:ind w:left="660" w:firstLine="644"/>
        <w:spacing w:after="0" w:line="287" w:lineRule="auto"/>
        <w:tabs>
          <w:tab w:leader="none" w:pos="194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Loan Parties</w:t>
      </w:r>
      <w:r>
        <w:rPr>
          <w:rFonts w:ascii="Arial" w:cs="Arial" w:eastAsia="Arial" w:hAnsi="Arial"/>
          <w:sz w:val="19"/>
          <w:szCs w:val="19"/>
          <w:color w:val="auto"/>
        </w:rPr>
        <w:t>. The Loan Parties shall timely pay to the relevant Governmental Authority in accordance with applicable law, or at the option of the Administrative Agent timely reimburse it for, Other Taxes.</w:t>
      </w:r>
    </w:p>
    <w:p>
      <w:pPr>
        <w:spacing w:after="0" w:line="152" w:lineRule="exact"/>
        <w:rPr>
          <w:rFonts w:ascii="Arial" w:cs="Arial" w:eastAsia="Arial" w:hAnsi="Arial"/>
          <w:sz w:val="19"/>
          <w:szCs w:val="19"/>
          <w:color w:val="auto"/>
        </w:rPr>
      </w:pPr>
    </w:p>
    <w:p>
      <w:pPr>
        <w:jc w:val="both"/>
        <w:ind w:left="660" w:firstLine="644"/>
        <w:spacing w:after="0" w:line="246" w:lineRule="auto"/>
        <w:tabs>
          <w:tab w:leader="none" w:pos="194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Evidence of Payment</w:t>
      </w:r>
      <w:r>
        <w:rPr>
          <w:rFonts w:ascii="Arial" w:cs="Arial" w:eastAsia="Arial" w:hAnsi="Arial"/>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1" w:lineRule="exact"/>
        <w:rPr>
          <w:rFonts w:ascii="Arial" w:cs="Arial" w:eastAsia="Arial" w:hAnsi="Arial"/>
          <w:sz w:val="20"/>
          <w:szCs w:val="20"/>
          <w:color w:val="auto"/>
        </w:rPr>
      </w:pPr>
    </w:p>
    <w:p>
      <w:pPr>
        <w:jc w:val="both"/>
        <w:ind w:left="660" w:firstLine="644"/>
        <w:spacing w:after="0" w:line="274" w:lineRule="auto"/>
        <w:tabs>
          <w:tab w:leader="none" w:pos="19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7" w:name="page98"/>
    <w:bookmarkEnd w:id="97"/>
    <w:p>
      <w:pPr>
        <w:jc w:val="both"/>
        <w:ind w:left="660" w:firstLine="644"/>
        <w:spacing w:after="0" w:line="271" w:lineRule="auto"/>
        <w:tabs>
          <w:tab w:leader="none" w:pos="1946"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69" w:lineRule="exact"/>
        <w:rPr>
          <w:rFonts w:ascii="Arial" w:cs="Arial" w:eastAsia="Arial" w:hAnsi="Arial"/>
          <w:sz w:val="18"/>
          <w:szCs w:val="18"/>
          <w:color w:val="auto"/>
        </w:rPr>
      </w:pPr>
    </w:p>
    <w:p>
      <w:pPr>
        <w:ind w:left="1940" w:hanging="636"/>
        <w:spacing w:after="0"/>
        <w:tabs>
          <w:tab w:leader="none" w:pos="1940" w:val="left"/>
        </w:tabs>
        <w:numPr>
          <w:ilvl w:val="1"/>
          <w:numId w:val="75"/>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5" w:lineRule="auto"/>
        <w:tabs>
          <w:tab w:leader="none" w:pos="2594" w:val="left"/>
        </w:tabs>
        <w:numPr>
          <w:ilvl w:val="2"/>
          <w:numId w:val="75"/>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 (ii)(A),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9"/>
          <w:szCs w:val="19"/>
          <w:color w:val="auto"/>
        </w:rPr>
      </w:pPr>
    </w:p>
    <w:p>
      <w:pPr>
        <w:ind w:left="2600" w:hanging="648"/>
        <w:spacing w:after="0"/>
        <w:tabs>
          <w:tab w:leader="none" w:pos="2600" w:val="left"/>
        </w:tabs>
        <w:numPr>
          <w:ilvl w:val="2"/>
          <w:numId w:val="75"/>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any Borrower is a U.S. Person,</w:t>
      </w:r>
    </w:p>
    <w:p>
      <w:pPr>
        <w:spacing w:after="0" w:line="215" w:lineRule="exact"/>
        <w:rPr>
          <w:rFonts w:ascii="Arial" w:cs="Arial" w:eastAsia="Arial" w:hAnsi="Arial"/>
          <w:sz w:val="20"/>
          <w:szCs w:val="20"/>
          <w:color w:val="auto"/>
        </w:rPr>
      </w:pPr>
    </w:p>
    <w:p>
      <w:pPr>
        <w:jc w:val="both"/>
        <w:ind w:firstLine="656"/>
        <w:spacing w:after="0" w:line="260" w:lineRule="auto"/>
        <w:tabs>
          <w:tab w:leader="none" w:pos="1158"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Lender (or, if the Lender is a disregarded entity for U.S. federal income Tax purposes, the Person treated as the owner of the assets of such Lender for U.S. federal income Tax purposes) that is a U.S. Person shall deliver to each of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8" w:name="page99"/>
    <w:bookmarkEnd w:id="98"/>
    <w:p>
      <w:pPr>
        <w:jc w:val="both"/>
        <w:ind w:firstLine="656"/>
        <w:spacing w:after="0" w:line="246" w:lineRule="auto"/>
        <w:tabs>
          <w:tab w:leader="none" w:pos="1168"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each of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91" w:lineRule="exact"/>
        <w:rPr>
          <w:rFonts w:ascii="Arial" w:cs="Arial" w:eastAsia="Arial" w:hAnsi="Arial"/>
          <w:sz w:val="20"/>
          <w:szCs w:val="20"/>
          <w:color w:val="auto"/>
        </w:rPr>
      </w:pPr>
    </w:p>
    <w:p>
      <w:pPr>
        <w:jc w:val="both"/>
        <w:ind w:left="660" w:firstLine="644"/>
        <w:spacing w:after="0" w:line="259" w:lineRule="auto"/>
        <w:tabs>
          <w:tab w:leader="none" w:pos="1777"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an executed copy of IRS Form W-8BEN or IRS Form W-8BEN-E (or any successor thereto),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78" w:lineRule="exact"/>
        <w:rPr>
          <w:rFonts w:ascii="Arial" w:cs="Arial" w:eastAsia="Arial" w:hAnsi="Arial"/>
          <w:sz w:val="19"/>
          <w:szCs w:val="19"/>
          <w:color w:val="auto"/>
        </w:rPr>
      </w:pPr>
    </w:p>
    <w:p>
      <w:pPr>
        <w:ind w:left="660" w:firstLine="644"/>
        <w:spacing w:after="0" w:line="260" w:lineRule="auto"/>
        <w:tabs>
          <w:tab w:leader="none" w:pos="1746"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 (or any successor thereto);</w:t>
      </w:r>
    </w:p>
    <w:p>
      <w:pPr>
        <w:spacing w:after="0" w:line="177" w:lineRule="exact"/>
        <w:rPr>
          <w:sz w:val="20"/>
          <w:szCs w:val="20"/>
          <w:color w:val="auto"/>
        </w:rPr>
      </w:pPr>
    </w:p>
    <w:p>
      <w:pPr>
        <w:ind w:left="1120" w:hanging="464"/>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w:t>
      </w:r>
    </w:p>
    <w:p>
      <w:pPr>
        <w:spacing w:after="0" w:line="38"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8"/>
          <w:szCs w:val="18"/>
          <w:color w:val="auto"/>
        </w:rPr>
        <w:t>(x) a certificate substantially in the form of Exhibit D-1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an executed copy of IRS Form W-8BEN or IRS Form W-8BEN-E (or any successor thereto), as applicable; or</w:t>
      </w:r>
    </w:p>
    <w:p>
      <w:pPr>
        <w:spacing w:after="0" w:line="165" w:lineRule="exact"/>
        <w:rPr>
          <w:rFonts w:ascii="Arial" w:cs="Arial" w:eastAsia="Arial" w:hAnsi="Arial"/>
          <w:sz w:val="18"/>
          <w:szCs w:val="18"/>
          <w:color w:val="auto"/>
        </w:rPr>
      </w:pPr>
    </w:p>
    <w:p>
      <w:pPr>
        <w:jc w:val="both"/>
        <w:ind w:left="660" w:firstLine="644"/>
        <w:spacing w:after="0" w:line="276" w:lineRule="auto"/>
        <w:tabs>
          <w:tab w:leader="none" w:pos="17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an executed copy of IRS Form W-8IMY (or any successor thereto), accompanied by IRS Form W-8ECI, IRS Form W-8BEN or IRS Form W-8BEN-E, as applicable, a U.S. Tax Compliance Certificate substantially in the form of Exhibit D-2 or Exhibit D-3,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D-4 on behalf of each such direct and indirect partner;</w:t>
      </w:r>
    </w:p>
    <w:p>
      <w:pPr>
        <w:spacing w:after="0" w:line="165" w:lineRule="exact"/>
        <w:rPr>
          <w:sz w:val="20"/>
          <w:szCs w:val="20"/>
          <w:color w:val="auto"/>
        </w:rPr>
      </w:pPr>
    </w:p>
    <w:p>
      <w:pPr>
        <w:jc w:val="both"/>
        <w:ind w:firstLine="656"/>
        <w:spacing w:after="0" w:line="316" w:lineRule="auto"/>
        <w:tabs>
          <w:tab w:leader="none" w:pos="116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each of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Representative or the Administrative Agent to determine the withholding or deduction required to be made; and</w:t>
      </w:r>
    </w:p>
    <w:p>
      <w:pPr>
        <w:spacing w:after="0" w:line="139" w:lineRule="exact"/>
        <w:rPr>
          <w:rFonts w:ascii="Arial" w:cs="Arial" w:eastAsia="Arial" w:hAnsi="Arial"/>
          <w:sz w:val="16"/>
          <w:szCs w:val="16"/>
          <w:color w:val="auto"/>
        </w:rPr>
      </w:pPr>
    </w:p>
    <w:p>
      <w:pPr>
        <w:ind w:right="20" w:firstLine="656"/>
        <w:spacing w:after="0" w:line="260" w:lineRule="auto"/>
        <w:tabs>
          <w:tab w:leader="none" w:pos="1222" w:val="left"/>
        </w:tabs>
        <w:numPr>
          <w:ilvl w:val="0"/>
          <w:numId w:val="79"/>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9"/>
          <w:szCs w:val="19"/>
          <w:color w:val="auto"/>
        </w:rPr>
        <w:t>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86" w:lineRule="exact"/>
        <w:rPr>
          <w:sz w:val="20"/>
          <w:szCs w:val="20"/>
          <w:color w:val="auto"/>
        </w:rPr>
      </w:pPr>
    </w:p>
    <w:p>
      <w:pPr>
        <w:jc w:val="both"/>
        <w:ind w:left="660" w:firstLine="644"/>
        <w:spacing w:after="0" w:line="254"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90" w:lineRule="exact"/>
        <w:rPr>
          <w:rFonts w:ascii="Arial" w:cs="Arial" w:eastAsia="Arial" w:hAnsi="Arial"/>
          <w:sz w:val="19"/>
          <w:szCs w:val="19"/>
          <w:color w:val="auto"/>
        </w:rPr>
      </w:pPr>
    </w:p>
    <w:p>
      <w:pPr>
        <w:jc w:val="both"/>
        <w:ind w:left="660" w:firstLine="644"/>
        <w:spacing w:after="0" w:line="270" w:lineRule="auto"/>
        <w:tabs>
          <w:tab w:leader="none" w:pos="1944"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Status of Administrative Agent.</w:t>
      </w:r>
      <w:r>
        <w:rPr>
          <w:rFonts w:ascii="Arial" w:cs="Arial" w:eastAsia="Arial" w:hAnsi="Arial"/>
          <w:sz w:val="18"/>
          <w:szCs w:val="18"/>
          <w:color w:val="auto"/>
        </w:rPr>
        <w:t xml:space="preserve"> If the Administrative Agent is a U.S. Person, then, upon the written request of the Borrower Representative, it shall provide the Borrower Representative with a properly completed and duly executed copy of IRS Form W-9 confirming that the Administrative Agent is exempt from U.S. federal backup withholding. If the Administrative Agent is not a U.S. Person, then, upon the written request of the Borrower Representative, it shall provide the Borrower Representative with,</w:t>
      </w:r>
    </w:p>
    <w:p>
      <w:pPr>
        <w:spacing w:after="0" w:line="2" w:lineRule="exact"/>
        <w:rPr>
          <w:rFonts w:ascii="Arial" w:cs="Arial" w:eastAsia="Arial" w:hAnsi="Arial"/>
          <w:sz w:val="18"/>
          <w:szCs w:val="18"/>
          <w:color w:val="auto"/>
        </w:rPr>
      </w:pPr>
    </w:p>
    <w:p>
      <w:pPr>
        <w:jc w:val="both"/>
        <w:ind w:left="660" w:hanging="4"/>
        <w:spacing w:after="0" w:line="276" w:lineRule="auto"/>
        <w:tabs>
          <w:tab w:leader="none" w:pos="918"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with respect to payments made to the Administrative Agent for its own account, a properly completed and duly executed IRS Form W-8ECI (or other applicable IRS Form W-8), and (ii) with respect to payments made to the Administrative Agent on behalf of any Lender, a properly completed and duly executed IRS Form W-8IMY (accompanied by any required certification documents from each beneficial owner, as applicable) confirming that it is entitled to receive such payments without U.S. federal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0" w:name="page101"/>
    <w:bookmarkEnd w:id="100"/>
    <w:p>
      <w:pPr>
        <w:jc w:val="both"/>
        <w:ind w:left="660" w:firstLine="644"/>
        <w:spacing w:after="0" w:line="246" w:lineRule="auto"/>
        <w:tabs>
          <w:tab w:leader="none" w:pos="195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91"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the avoidance of doubt, for purposes of this Section 2.17, the term “Lender” includes any Issuing Bank and the term “applicable law” includes FATCA.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2.18.</w:t>
      </w:r>
      <w:r>
        <w:rPr>
          <w:rFonts w:ascii="Arial" w:cs="Arial" w:eastAsia="Arial" w:hAnsi="Arial"/>
          <w:sz w:val="20"/>
          <w:szCs w:val="20"/>
          <w:u w:val="single" w:color="auto"/>
          <w:color w:val="auto"/>
        </w:rPr>
        <w:t>Payments Generally; Allocation of Proceeds; Sharing of Setoffs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0" w:lineRule="auto"/>
        <w:tabs>
          <w:tab w:leader="none" w:pos="1946"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Borrowers shall make each payment or prepayment required to be made by it hereunder (whether of principal, interest, fees or reimbursement of LC Disbursements, or of amounts payable under Sections 2.15, 2.16 or 2.17, or otherwise) prior to 2:00 p.m., Pacific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Chicago, Illinois, except payments to be made directly to the Issuing Bank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75" w:lineRule="exact"/>
        <w:rPr>
          <w:rFonts w:ascii="Arial" w:cs="Arial" w:eastAsia="Arial" w:hAnsi="Arial"/>
          <w:sz w:val="18"/>
          <w:szCs w:val="18"/>
          <w:color w:val="auto"/>
        </w:rPr>
      </w:pPr>
    </w:p>
    <w:p>
      <w:pPr>
        <w:jc w:val="both"/>
        <w:ind w:left="660" w:firstLine="644"/>
        <w:spacing w:after="0" w:line="267" w:lineRule="auto"/>
        <w:tabs>
          <w:tab w:leader="none" w:pos="1944"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Borrowers), or (B) a mandatory prepayment (which shall be applied in accordance with Section 2.11) or (ii) after an Event of Default has occurred and is continuing and the Administrative Agent so elects or the Required Lenders so direct, shall be applied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then due to the Administrative Agent and the Issuing Bank from the Borrowers (other than in connection with Banking Services Obligations or Swap Agreement Obligations),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then due and payable on the Loans ratably,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prepay principal on the Loans and unreimbursed LC Disbursements to pay an amount to the Administrative Agent equal to one hundred three percent (103%) of the aggregate LC Exposure, to be held as cash collateral for such Obligations, and to pay any amounts owing in respect of Swap Agreement Obligations and Banking Services Obligations up to and including the amount most recently provided to the Administrative Agent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22, ratably and fifth, to the payment of any other Secured Obligation due to the Administrative Agent or any Lender from the Borrowers or any other Loan Party</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to the contrary contained in this Agreement, unless so directed by the Borrower Representative, or unless a Default is in existence, neither the Administrative Agent nor any Lender shall apply any payment which it receives to any Eurodollar Loan of a Class, except</w:t>
      </w:r>
    </w:p>
    <w:p>
      <w:pPr>
        <w:spacing w:after="0" w:line="4" w:lineRule="exact"/>
        <w:rPr>
          <w:rFonts w:ascii="Arial" w:cs="Arial" w:eastAsia="Arial" w:hAnsi="Arial"/>
          <w:sz w:val="18"/>
          <w:szCs w:val="18"/>
          <w:color w:val="auto"/>
        </w:rPr>
      </w:pPr>
    </w:p>
    <w:p>
      <w:pPr>
        <w:ind w:left="900" w:hanging="244"/>
        <w:spacing w:after="0"/>
        <w:tabs>
          <w:tab w:leader="none" w:pos="9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on the expiration date of the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1" w:name="page102"/>
    <w:bookmarkEnd w:id="101"/>
    <w:p>
      <w:pPr>
        <w:jc w:val="both"/>
        <w:ind w:left="660"/>
        <w:spacing w:after="0" w:line="246" w:lineRule="auto"/>
        <w:rPr>
          <w:sz w:val="20"/>
          <w:szCs w:val="20"/>
          <w:color w:val="auto"/>
        </w:rPr>
      </w:pPr>
      <w:r>
        <w:rPr>
          <w:rFonts w:ascii="Arial" w:cs="Arial" w:eastAsia="Arial" w:hAnsi="Arial"/>
          <w:sz w:val="20"/>
          <w:szCs w:val="20"/>
          <w:color w:val="auto"/>
        </w:rPr>
        <w:t>applicable thereto, or (ii)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the foregoing, Secured Obligations arising under Banking Services Obligations or Swap Agreement Obligations shall be excluded from the application described above and paid in clause fifth if the Administrative Agent has not received written notice thereof, together with such supporting documentation as the Administrative Agent may have reasonably requested from the applicable provider of such Banking Services or Swap Agreements.</w:t>
      </w:r>
    </w:p>
    <w:p>
      <w:pPr>
        <w:spacing w:after="0" w:line="191" w:lineRule="exact"/>
        <w:rPr>
          <w:sz w:val="20"/>
          <w:szCs w:val="20"/>
          <w:color w:val="auto"/>
        </w:rPr>
      </w:pPr>
    </w:p>
    <w:p>
      <w:pPr>
        <w:jc w:val="both"/>
        <w:ind w:left="660" w:firstLine="644"/>
        <w:spacing w:after="0" w:line="255" w:lineRule="auto"/>
        <w:tabs>
          <w:tab w:leader="none" w:pos="1946" w:val="left"/>
        </w:tabs>
        <w:numPr>
          <w:ilvl w:val="0"/>
          <w:numId w:val="85"/>
        </w:numPr>
        <w:rPr>
          <w:rFonts w:ascii="Arial" w:cs="Arial" w:eastAsia="Arial" w:hAnsi="Arial"/>
          <w:sz w:val="19"/>
          <w:szCs w:val="19"/>
          <w:color w:val="auto"/>
        </w:rPr>
      </w:pPr>
      <w:r>
        <w:rPr>
          <w:rFonts w:ascii="Arial" w:cs="Arial" w:eastAsia="Arial" w:hAnsi="Arial"/>
          <w:sz w:val="19"/>
          <w:szCs w:val="19"/>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2.05 or a deemed request as provided in this Section or may be deducted from any deposit account of the Borrowers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 that all such amounts charged shall constitute Loans, and that all such Borrowings shall be deemed to have been requested pursuant to Sections 2.03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86" w:lineRule="exact"/>
        <w:rPr>
          <w:rFonts w:ascii="Arial" w:cs="Arial" w:eastAsia="Arial" w:hAnsi="Arial"/>
          <w:sz w:val="19"/>
          <w:szCs w:val="19"/>
          <w:color w:val="auto"/>
        </w:rPr>
      </w:pPr>
    </w:p>
    <w:p>
      <w:pPr>
        <w:jc w:val="both"/>
        <w:ind w:left="660" w:firstLine="644"/>
        <w:spacing w:after="0" w:line="269" w:lineRule="auto"/>
        <w:tabs>
          <w:tab w:leader="none" w:pos="194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similarly situated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2" w:name="page103"/>
    <w:bookmarkEnd w:id="102"/>
    <w:p>
      <w:pPr>
        <w:jc w:val="both"/>
        <w:ind w:left="660" w:firstLine="644"/>
        <w:spacing w:after="0" w:line="255" w:lineRule="auto"/>
        <w:tabs>
          <w:tab w:leader="none" w:pos="1946" w:val="left"/>
        </w:tabs>
        <w:numPr>
          <w:ilvl w:val="0"/>
          <w:numId w:val="86"/>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2.11(c)),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86" w:lineRule="exact"/>
        <w:rPr>
          <w:rFonts w:ascii="Arial" w:cs="Arial" w:eastAsia="Arial" w:hAnsi="Arial"/>
          <w:sz w:val="19"/>
          <w:szCs w:val="19"/>
          <w:color w:val="auto"/>
        </w:rPr>
      </w:pPr>
    </w:p>
    <w:p>
      <w:pPr>
        <w:jc w:val="both"/>
        <w:ind w:left="660" w:firstLine="644"/>
        <w:spacing w:after="0" w:line="242" w:lineRule="auto"/>
        <w:tabs>
          <w:tab w:leader="none" w:pos="1951"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Administrative Agent may from time to time provide the Borrowers with account statements or invoices with respect to any of the Secured Obligations (the “</w:t>
      </w:r>
      <w:r>
        <w:rPr>
          <w:rFonts w:ascii="Arial" w:cs="Arial" w:eastAsia="Arial" w:hAnsi="Arial"/>
          <w:sz w:val="20"/>
          <w:szCs w:val="20"/>
          <w:u w:val="single" w:color="auto"/>
          <w:color w:val="auto"/>
        </w:rPr>
        <w:t>Statements</w:t>
      </w:r>
      <w:r>
        <w:rPr>
          <w:rFonts w:ascii="Arial" w:cs="Arial" w:eastAsia="Arial" w:hAnsi="Arial"/>
          <w:sz w:val="20"/>
          <w:szCs w:val="20"/>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2.19.</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3" w:lineRule="auto"/>
        <w:tabs>
          <w:tab w:leader="none" w:pos="1946"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or requires the Borrowers to pay any Indemnified Taxes or additional amounts to any Lender or any Governmental Authority for the account of any Lender pursuant to Section 2.17, then such Lender shall (at the request of Borrower Representative)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8"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any Lender requests compensation under Section 2.15, or if the Borrowers are required to pay any Indemnified Taxes or additional amounts to any Lender or any Governmental Authority for the account of any Lender pursuant to Section 2.17 and, in each case, such Lender has declined or is unable to designate a different lending office in accordance with paragraph (a) of this Section, or if any Lender is a Defaulting Lender, then the Borrowers may, at their sole expense and effort, upon notice to such Lender and the Administrative Agent, require such Lender to assign and delegate, without recourse (in accordance with and subject to the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3" w:name="page104"/>
    <w:bookmarkEnd w:id="103"/>
    <w:p>
      <w:pPr>
        <w:jc w:val="both"/>
        <w:ind w:left="660"/>
        <w:spacing w:after="0" w:line="304" w:lineRule="auto"/>
        <w:rPr>
          <w:sz w:val="20"/>
          <w:szCs w:val="20"/>
          <w:color w:val="auto"/>
        </w:rPr>
      </w:pPr>
      <w:r>
        <w:rPr>
          <w:rFonts w:ascii="Arial" w:cs="Arial" w:eastAsia="Arial" w:hAnsi="Arial"/>
          <w:sz w:val="16"/>
          <w:szCs w:val="16"/>
          <w:color w:val="auto"/>
        </w:rPr>
        <w:t xml:space="preserve">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(i)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2.20.</w:t>
      </w:r>
      <w:r>
        <w:rPr>
          <w:rFonts w:ascii="Arial" w:cs="Arial" w:eastAsia="Arial" w:hAnsi="Arial"/>
          <w:sz w:val="20"/>
          <w:szCs w:val="20"/>
          <w:u w:val="single" w:color="auto"/>
          <w:color w:val="auto"/>
        </w:rPr>
        <w:t>Defaulting Lenders</w:t>
      </w:r>
      <w:r>
        <w:rPr>
          <w:rFonts w:ascii="Arial" w:cs="Arial" w:eastAsia="Arial" w:hAnsi="Arial"/>
          <w:sz w:val="20"/>
          <w:szCs w:val="20"/>
          <w:color w:val="auto"/>
        </w:rPr>
        <w:t>.</w:t>
      </w: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Notwithstanding any provision of this Agreement to the contrary, if any Lender becomes a Defaulting Lender, then the following provisions shall apply for so long as such Lender is a Defaulting Lender:</w:t>
      </w:r>
    </w:p>
    <w:p>
      <w:pPr>
        <w:spacing w:after="0" w:line="177" w:lineRule="exact"/>
        <w:rPr>
          <w:sz w:val="20"/>
          <w:szCs w:val="20"/>
          <w:color w:val="auto"/>
        </w:rPr>
      </w:pPr>
    </w:p>
    <w:p>
      <w:pPr>
        <w:ind w:left="660" w:firstLine="644"/>
        <w:spacing w:after="0" w:line="260" w:lineRule="auto"/>
        <w:tabs>
          <w:tab w:leader="none" w:pos="1946" w:val="left"/>
        </w:tabs>
        <w:numPr>
          <w:ilvl w:val="0"/>
          <w:numId w:val="88"/>
        </w:numPr>
        <w:rPr>
          <w:rFonts w:ascii="Arial" w:cs="Arial" w:eastAsia="Arial" w:hAnsi="Arial"/>
          <w:sz w:val="20"/>
          <w:szCs w:val="20"/>
          <w:color w:val="auto"/>
        </w:rPr>
      </w:pPr>
      <w:r>
        <w:rPr>
          <w:rFonts w:ascii="Arial" w:cs="Arial" w:eastAsia="Arial" w:hAnsi="Arial"/>
          <w:sz w:val="20"/>
          <w:szCs w:val="20"/>
          <w:color w:val="auto"/>
        </w:rPr>
        <w:t>fees shall cease to accrue on the unfunded portion of the Revolving Commitment of such Defaulting Lender pursuant to Section 2.12(a);</w:t>
      </w:r>
    </w:p>
    <w:p>
      <w:pPr>
        <w:spacing w:after="0" w:line="176" w:lineRule="exact"/>
        <w:rPr>
          <w:rFonts w:ascii="Arial" w:cs="Arial" w:eastAsia="Arial" w:hAnsi="Arial"/>
          <w:sz w:val="20"/>
          <w:szCs w:val="20"/>
          <w:color w:val="auto"/>
        </w:rPr>
      </w:pPr>
    </w:p>
    <w:p>
      <w:pPr>
        <w:jc w:val="both"/>
        <w:ind w:left="660" w:firstLine="644"/>
        <w:spacing w:after="0" w:line="255" w:lineRule="auto"/>
        <w:tabs>
          <w:tab w:leader="none" w:pos="19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payment on a pro rata basis of any amounts owing by such Defaulting Lender to any Issuing Bank hereunder;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cash collateralize the Issuing Banks’ LC Exposure with respect to such Defaulting Lender in accordance with this Section;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u w:val="single" w:color="auto"/>
          <w:color w:val="auto"/>
        </w:rPr>
        <w:t>fifth</w:t>
      </w:r>
      <w:r>
        <w:rPr>
          <w:rFonts w:ascii="Arial" w:cs="Arial" w:eastAsia="Arial" w:hAnsi="Arial"/>
          <w:sz w:val="19"/>
          <w:szCs w:val="19"/>
          <w:color w:val="auto"/>
        </w:rPr>
        <w:t>, if so determined by the Administrative Agent and the Borrower Representative, to be held in a deposit account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4" w:name="page105"/>
    <w:bookmarkEnd w:id="104"/>
    <w:p>
      <w:pPr>
        <w:jc w:val="both"/>
        <w:ind w:left="660"/>
        <w:spacing w:after="0" w:line="269" w:lineRule="auto"/>
        <w:rPr>
          <w:sz w:val="20"/>
          <w:szCs w:val="20"/>
          <w:color w:val="auto"/>
        </w:rPr>
      </w:pPr>
      <w:r>
        <w:rPr>
          <w:rFonts w:ascii="Arial" w:cs="Arial" w:eastAsia="Arial" w:hAnsi="Arial"/>
          <w:sz w:val="18"/>
          <w:szCs w:val="18"/>
          <w:color w:val="auto"/>
        </w:rPr>
        <w:t xml:space="preserve">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Issuing Banks as a result of any judgment of a court of competent jurisdiction obtained by any Lender, the Issuing Banks against such Defaulting Lender as a result of such Defaulting Lender’s breach of its obligations under this Agreement or under any other Loan Document;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or under any other Loan Document; and </w:t>
      </w:r>
      <w:r>
        <w:rPr>
          <w:rFonts w:ascii="Arial" w:cs="Arial" w:eastAsia="Arial" w:hAnsi="Arial"/>
          <w:sz w:val="18"/>
          <w:szCs w:val="18"/>
          <w:u w:val="single" w:color="auto"/>
          <w:color w:val="auto"/>
        </w:rPr>
        <w:t>eighth</w:t>
      </w:r>
      <w:r>
        <w:rPr>
          <w:rFonts w:ascii="Arial" w:cs="Arial" w:eastAsia="Arial" w:hAnsi="Arial"/>
          <w:sz w:val="18"/>
          <w:szCs w:val="18"/>
          <w:color w:val="auto"/>
        </w:rPr>
        <w:t>,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1" w:lineRule="exact"/>
        <w:rPr>
          <w:sz w:val="20"/>
          <w:szCs w:val="20"/>
          <w:color w:val="auto"/>
        </w:rPr>
      </w:pPr>
    </w:p>
    <w:p>
      <w:pPr>
        <w:jc w:val="both"/>
        <w:ind w:left="660" w:firstLine="644"/>
        <w:spacing w:after="0" w:line="243" w:lineRule="auto"/>
        <w:tabs>
          <w:tab w:leader="none" w:pos="1946" w:val="left"/>
        </w:tabs>
        <w:numPr>
          <w:ilvl w:val="0"/>
          <w:numId w:val="89"/>
        </w:numPr>
        <w:rPr>
          <w:rFonts w:ascii="Arial" w:cs="Arial" w:eastAsia="Arial" w:hAnsi="Arial"/>
          <w:sz w:val="20"/>
          <w:szCs w:val="20"/>
          <w:color w:val="auto"/>
        </w:rPr>
      </w:pPr>
      <w:r>
        <w:rPr>
          <w:rFonts w:ascii="Arial" w:cs="Arial" w:eastAsia="Arial" w:hAnsi="Arial"/>
          <w:sz w:val="20"/>
          <w:szCs w:val="20"/>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or under any other Loan Document; provided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95" w:lineRule="exact"/>
        <w:rPr>
          <w:rFonts w:ascii="Arial" w:cs="Arial" w:eastAsia="Arial" w:hAnsi="Arial"/>
          <w:sz w:val="20"/>
          <w:szCs w:val="20"/>
          <w:color w:val="auto"/>
        </w:rPr>
      </w:pPr>
    </w:p>
    <w:p>
      <w:pPr>
        <w:ind w:left="1940" w:hanging="636"/>
        <w:spacing w:after="0"/>
        <w:tabs>
          <w:tab w:leader="none" w:pos="19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any LC Exposure exists at the time such Lender becomes a Defaulting Lender then:</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4" w:val="left"/>
        </w:tabs>
        <w:numPr>
          <w:ilvl w:val="1"/>
          <w:numId w:val="89"/>
        </w:numPr>
        <w:rPr>
          <w:rFonts w:ascii="Arial" w:cs="Arial" w:eastAsia="Arial" w:hAnsi="Arial"/>
          <w:sz w:val="20"/>
          <w:szCs w:val="20"/>
          <w:color w:val="auto"/>
        </w:rPr>
      </w:pPr>
      <w:r>
        <w:rPr>
          <w:rFonts w:ascii="Arial" w:cs="Arial" w:eastAsia="Arial" w:hAnsi="Arial"/>
          <w:sz w:val="20"/>
          <w:szCs w:val="20"/>
          <w:color w:val="auto"/>
        </w:rPr>
        <w:t>all or any part of the LC Exposure of such Defaulting Lender shall be reallocated among the non-Defaulting Lenders in accordance with their respective Applicable Percentages but only (x) to the extent that such reallocation does not, as to any non-Defaulting Lender, cause such non-Defaulting Lender’s Revolving Exposure to exceed its Revolving Commitment;</w:t>
      </w:r>
    </w:p>
    <w:p>
      <w:pPr>
        <w:spacing w:after="0" w:line="191" w:lineRule="exact"/>
        <w:rPr>
          <w:rFonts w:ascii="Arial" w:cs="Arial" w:eastAsia="Arial" w:hAnsi="Arial"/>
          <w:sz w:val="20"/>
          <w:szCs w:val="20"/>
          <w:color w:val="auto"/>
        </w:rPr>
      </w:pPr>
    </w:p>
    <w:p>
      <w:pPr>
        <w:jc w:val="both"/>
        <w:ind w:left="1300" w:firstLine="652"/>
        <w:spacing w:after="0" w:line="246" w:lineRule="auto"/>
        <w:tabs>
          <w:tab w:leader="none" w:pos="2595" w:val="left"/>
        </w:tabs>
        <w:numPr>
          <w:ilvl w:val="1"/>
          <w:numId w:val="89"/>
        </w:numPr>
        <w:rPr>
          <w:rFonts w:ascii="Arial" w:cs="Arial" w:eastAsia="Arial" w:hAnsi="Arial"/>
          <w:sz w:val="20"/>
          <w:szCs w:val="20"/>
          <w:color w:val="auto"/>
        </w:rPr>
      </w:pPr>
      <w:r>
        <w:rPr>
          <w:rFonts w:ascii="Arial" w:cs="Arial" w:eastAsia="Arial" w:hAnsi="Arial"/>
          <w:sz w:val="20"/>
          <w:szCs w:val="20"/>
          <w:color w:val="auto"/>
        </w:rPr>
        <w:t>if the reallocation described in clause (i) above cannot, or can only partially, be effected, the Borrowers shall within one (1) Business Day following notice by the Administrative Agent (cash collateralize, for the benefit of the Issuing Bank, the Borrowers’ obligations corresponding to such Defaulting Lender’s LC Exposure (after giving effect to any partial reallocation pursuant to clause (i) above)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5" w:name="page106"/>
    <w:bookmarkEnd w:id="105"/>
    <w:p>
      <w:pPr>
        <w:ind w:left="1300"/>
        <w:spacing w:after="0"/>
        <w:rPr>
          <w:sz w:val="20"/>
          <w:szCs w:val="20"/>
          <w:color w:val="auto"/>
        </w:rPr>
      </w:pPr>
      <w:r>
        <w:rPr>
          <w:rFonts w:ascii="Arial" w:cs="Arial" w:eastAsia="Arial" w:hAnsi="Arial"/>
          <w:sz w:val="20"/>
          <w:szCs w:val="20"/>
          <w:color w:val="auto"/>
        </w:rPr>
        <w:t>the procedures set forth in Section 2.06(j) for so long as such LC Exposure is outstanding;</w:t>
      </w:r>
    </w:p>
    <w:p>
      <w:pPr>
        <w:spacing w:after="0" w:line="216" w:lineRule="exact"/>
        <w:rPr>
          <w:sz w:val="20"/>
          <w:szCs w:val="20"/>
          <w:color w:val="auto"/>
        </w:rPr>
      </w:pPr>
    </w:p>
    <w:p>
      <w:pPr>
        <w:ind w:left="2600" w:hanging="648"/>
        <w:spacing w:after="0"/>
        <w:tabs>
          <w:tab w:leader="none" w:pos="26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the Borrowers cash collateralize any portion of such Defaulting Lender’s LC Exposure pursuant to clause</w:t>
      </w:r>
    </w:p>
    <w:p>
      <w:pPr>
        <w:spacing w:after="0" w:line="38" w:lineRule="exact"/>
        <w:rPr>
          <w:rFonts w:ascii="Arial" w:cs="Arial" w:eastAsia="Arial" w:hAnsi="Arial"/>
          <w:sz w:val="18"/>
          <w:szCs w:val="18"/>
          <w:color w:val="auto"/>
        </w:rPr>
      </w:pPr>
    </w:p>
    <w:p>
      <w:pPr>
        <w:jc w:val="both"/>
        <w:ind w:left="1300" w:firstLine="4"/>
        <w:spacing w:after="0" w:line="241" w:lineRule="auto"/>
        <w:tabs>
          <w:tab w:leader="none" w:pos="1606" w:val="left"/>
        </w:tabs>
        <w:numPr>
          <w:ilvl w:val="0"/>
          <w:numId w:val="91"/>
        </w:numPr>
        <w:rPr>
          <w:rFonts w:ascii="Arial" w:cs="Arial" w:eastAsia="Arial" w:hAnsi="Arial"/>
          <w:sz w:val="20"/>
          <w:szCs w:val="20"/>
          <w:color w:val="auto"/>
        </w:rPr>
      </w:pPr>
      <w:r>
        <w:rPr>
          <w:rFonts w:ascii="Arial" w:cs="Arial" w:eastAsia="Arial" w:hAnsi="Arial"/>
          <w:sz w:val="20"/>
          <w:szCs w:val="20"/>
          <w:color w:val="auto"/>
        </w:rPr>
        <w:t>above, the Borrowers shall not be required to pay any fees to such Defaulting Lender pursuant to Section 2.12(b) with respect to such Defaulting Lender’s LC Exposure during the period such Defaulting Lender’s LC Exposure is cash collateralized;</w:t>
      </w:r>
    </w:p>
    <w:p>
      <w:pPr>
        <w:spacing w:after="0" w:line="195" w:lineRule="exact"/>
        <w:rPr>
          <w:rFonts w:ascii="Arial" w:cs="Arial" w:eastAsia="Arial" w:hAnsi="Arial"/>
          <w:sz w:val="20"/>
          <w:szCs w:val="20"/>
          <w:color w:val="auto"/>
        </w:rPr>
      </w:pPr>
    </w:p>
    <w:p>
      <w:pPr>
        <w:jc w:val="both"/>
        <w:ind w:left="1300" w:firstLine="652"/>
        <w:spacing w:after="0" w:line="250" w:lineRule="auto"/>
        <w:tabs>
          <w:tab w:leader="none" w:pos="2585" w:val="left"/>
        </w:tabs>
        <w:numPr>
          <w:ilvl w:val="1"/>
          <w:numId w:val="91"/>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85" w:lineRule="exact"/>
        <w:rPr>
          <w:rFonts w:ascii="Arial" w:cs="Arial" w:eastAsia="Arial" w:hAnsi="Arial"/>
          <w:sz w:val="20"/>
          <w:szCs w:val="20"/>
          <w:color w:val="auto"/>
        </w:rPr>
      </w:pPr>
    </w:p>
    <w:p>
      <w:pPr>
        <w:jc w:val="both"/>
        <w:ind w:left="1300" w:firstLine="652"/>
        <w:spacing w:after="0" w:line="282" w:lineRule="auto"/>
        <w:tabs>
          <w:tab w:leader="none" w:pos="2584"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61" w:lineRule="exact"/>
        <w:rPr>
          <w:sz w:val="20"/>
          <w:szCs w:val="20"/>
          <w:color w:val="auto"/>
        </w:rPr>
      </w:pPr>
    </w:p>
    <w:p>
      <w:pPr>
        <w:jc w:val="both"/>
        <w:ind w:left="660" w:firstLine="644"/>
        <w:spacing w:after="0" w:line="243" w:lineRule="auto"/>
        <w:tabs>
          <w:tab w:leader="none" w:pos="1946" w:val="left"/>
        </w:tabs>
        <w:numPr>
          <w:ilvl w:val="0"/>
          <w:numId w:val="92"/>
        </w:numPr>
        <w:rPr>
          <w:rFonts w:ascii="Arial" w:cs="Arial" w:eastAsia="Arial" w:hAnsi="Arial"/>
          <w:sz w:val="20"/>
          <w:szCs w:val="20"/>
          <w:color w:val="auto"/>
        </w:rPr>
      </w:pPr>
      <w:r>
        <w:rPr>
          <w:rFonts w:ascii="Arial" w:cs="Arial" w:eastAsia="Arial" w:hAnsi="Arial"/>
          <w:sz w:val="20"/>
          <w:szCs w:val="20"/>
          <w:color w:val="auto"/>
        </w:rPr>
        <w:t>so long as such Lender is a Defaulting Lender,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If (i) a Bankruptcy Event or a Bail-In Action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as the case may be, shall have entered into arrangements with the Borrowers or such Lender, satisfactory to the Issuing Bank, as the case may be, to defease any risk to it in respect of such Lender hereunder.</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event that each of the Administrative Agent, the Borrowers, and the Issuing Bank agree that a Defaulting Lender has adequately remedied all matters that caused such Lender to be a Defaulting Lender, then the LC Exposure of the Lenders shall be readjusted to reflect the inclusion of such Lender’s Revolving Commitment and on the date of such readjustment such Lender shall purchase at par such of the Loans of the other Lenders as the Administrative Agent shall determine may be necessary in order for such Lender to hold such Loans in accordance with its Applicable Percentage.</w:t>
      </w:r>
    </w:p>
    <w:p>
      <w:pPr>
        <w:spacing w:after="0" w:line="194"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6" w:name="page107"/>
    <w:bookmarkEnd w:id="106"/>
    <w:p>
      <w:pPr>
        <w:jc w:val="both"/>
        <w:spacing w:after="0" w:line="276" w:lineRule="auto"/>
        <w:rPr>
          <w:sz w:val="20"/>
          <w:szCs w:val="20"/>
          <w:color w:val="auto"/>
        </w:rPr>
      </w:pPr>
      <w:r>
        <w:rPr>
          <w:rFonts w:ascii="Arial" w:cs="Arial" w:eastAsia="Arial" w:hAnsi="Arial"/>
          <w:sz w:val="18"/>
          <w:szCs w:val="18"/>
          <w:color w:val="auto"/>
        </w:rPr>
        <w:t>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Banking Services and Swap Agreements</w:t>
      </w:r>
      <w:r>
        <w:rPr>
          <w:rFonts w:ascii="Arial" w:cs="Arial" w:eastAsia="Arial" w:hAnsi="Arial"/>
          <w:sz w:val="19"/>
          <w:szCs w:val="19"/>
          <w:color w:val="auto"/>
        </w:rPr>
        <w:t>.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furtherance of that requirement, each such Lender or Affiliate thereof shall furnish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which tier of the waterfall, contained in Section 2.18(b), such Banking Services Obligations and/or Swap Agreement Obligations will be placed. For the avoidance of doubt, so long as Chase or its Affiliate is the Administrative Agent, neither Chase nor any of its Affiliates providing Banking Services for, or having Swap Agreements with, any Loan Party or any Subsidiary or Affiliate of a Loan Party shall be required to provide any notice described in this Section 2.22 in respect of such Banking Services or Swap Agreements.</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represents and warrants to the Lenders that (and where applicable, agrees):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SECTION 3.01.</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SECTION 3.02.</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7" w:name="page108"/>
    <w:bookmarkEnd w:id="107"/>
    <w:p>
      <w:pPr>
        <w:jc w:val="both"/>
        <w:ind w:firstLine="648"/>
        <w:spacing w:after="0" w:line="274" w:lineRule="auto"/>
        <w:rPr>
          <w:sz w:val="20"/>
          <w:szCs w:val="20"/>
          <w:color w:val="auto"/>
        </w:rPr>
      </w:pPr>
      <w:r>
        <w:rPr>
          <w:rFonts w:ascii="Arial" w:cs="Arial" w:eastAsia="Arial" w:hAnsi="Arial"/>
          <w:sz w:val="18"/>
          <w:szCs w:val="18"/>
          <w:color w:val="auto"/>
        </w:rPr>
        <w:t>SECTION 3.03.</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other requirement to create, any Lien on any asset of any Loan Party or any Subsidiary, except Liens created pursuant to the Loan Documents.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3.04.</w:t>
      </w:r>
      <w:r>
        <w:rPr>
          <w:rFonts w:ascii="Arial" w:cs="Arial" w:eastAsia="Arial" w:hAnsi="Arial"/>
          <w:sz w:val="20"/>
          <w:szCs w:val="20"/>
          <w:u w:val="single" w:color="auto"/>
          <w:color w:val="auto"/>
        </w:rPr>
        <w:t>Financial Condition; No Material Adverse Change</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63" w:lineRule="auto"/>
        <w:tabs>
          <w:tab w:leader="none" w:pos="1946"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Company has heretofore furnished to the Lenders the financial statements required pursuant to </w:t>
      </w:r>
      <w:r>
        <w:rPr>
          <w:rFonts w:ascii="Arial" w:cs="Arial" w:eastAsia="Arial" w:hAnsi="Arial"/>
          <w:sz w:val="19"/>
          <w:szCs w:val="19"/>
          <w:u w:val="single" w:color="auto"/>
          <w:color w:val="auto"/>
        </w:rPr>
        <w:t>Section 4.01(b)</w:t>
      </w:r>
      <w:r>
        <w:rPr>
          <w:rFonts w:ascii="Arial" w:cs="Arial" w:eastAsia="Arial" w:hAnsi="Arial"/>
          <w:sz w:val="19"/>
          <w:szCs w:val="19"/>
          <w:color w:val="auto"/>
        </w:rPr>
        <w:t>. Such financial statements present fairly, in all material respects, the financial position and results of operations and cash flows of the Company and its consolidated Subsidiaries as of such dates and for such periods in accordance with GAAP subject to normal year-end audit adjustments and the absence of footnotes in the case of interim finance statements.</w:t>
      </w:r>
    </w:p>
    <w:p>
      <w:pPr>
        <w:spacing w:after="0" w:line="176"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event, change or condition has occurred that has had, or could reasonably be expected to have, a Material Adverse Effect, since December 31, 2020.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3.05.</w:t>
      </w:r>
      <w:r>
        <w:rPr>
          <w:rFonts w:ascii="Arial" w:cs="Arial" w:eastAsia="Arial" w:hAnsi="Arial"/>
          <w:sz w:val="20"/>
          <w:szCs w:val="20"/>
          <w:u w:val="single" w:color="auto"/>
          <w:color w:val="auto"/>
        </w:rPr>
        <w:t>Properties, etc</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6" w:lineRule="auto"/>
        <w:tabs>
          <w:tab w:leader="none" w:pos="1946"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As of the date of this Agreement, </w:t>
      </w:r>
      <w:r>
        <w:rPr>
          <w:rFonts w:ascii="Arial" w:cs="Arial" w:eastAsia="Arial" w:hAnsi="Arial"/>
          <w:sz w:val="19"/>
          <w:szCs w:val="19"/>
          <w:u w:val="single" w:color="auto"/>
          <w:color w:val="auto"/>
        </w:rPr>
        <w:t>Schedule 3.05</w:t>
      </w:r>
      <w:r>
        <w:rPr>
          <w:rFonts w:ascii="Arial" w:cs="Arial" w:eastAsia="Arial" w:hAnsi="Arial"/>
          <w:sz w:val="19"/>
          <w:szCs w:val="19"/>
          <w:color w:val="auto"/>
        </w:rPr>
        <w:t xml:space="preserve"> sets forth the address of each parcel of real property that is owned or leased by any Loan Party. Each of such leases and subleases is valid and enforceable in accordance with its terms subject to applicable bankruptcy, insolvency, reorganization, moratorium or other laws affecting creditors’ rights generally and subject to general principles of equity, regardless of whether considered in a proceeding in equity or at law and is in full force and effect, and to each Loan Party’s knowledge, no default by any other party to any such lease or sublease exists except where the failure to do so, individually or in the aggregate, could not reasonably be expected to result in a Material Adverse Effect. Each of the Loan Parties and each Subsidiary has good and indefeasible title to, or valid leasehold interests in, all of its real and personal property, free of all Liens other than those permitted by Section 6.02 except where the failure to do so, individually or in the aggregate, could not reasonably be expected to result in a Material Adverse Effect.</w:t>
      </w:r>
    </w:p>
    <w:p>
      <w:pPr>
        <w:spacing w:after="0" w:line="184" w:lineRule="exact"/>
        <w:rPr>
          <w:rFonts w:ascii="Arial" w:cs="Arial" w:eastAsia="Arial" w:hAnsi="Arial"/>
          <w:sz w:val="19"/>
          <w:szCs w:val="19"/>
          <w:color w:val="auto"/>
        </w:rPr>
      </w:pPr>
    </w:p>
    <w:p>
      <w:pPr>
        <w:jc w:val="both"/>
        <w:ind w:left="660" w:firstLine="644"/>
        <w:spacing w:after="0" w:line="257" w:lineRule="auto"/>
        <w:tabs>
          <w:tab w:leader="none" w:pos="1944" w:val="left"/>
        </w:tabs>
        <w:numPr>
          <w:ilvl w:val="0"/>
          <w:numId w:val="94"/>
        </w:numPr>
        <w:rPr>
          <w:rFonts w:ascii="Arial" w:cs="Arial" w:eastAsia="Arial" w:hAnsi="Arial"/>
          <w:sz w:val="19"/>
          <w:szCs w:val="19"/>
          <w:color w:val="auto"/>
        </w:rPr>
      </w:pPr>
      <w:r>
        <w:rPr>
          <w:rFonts w:ascii="Arial" w:cs="Arial" w:eastAsia="Arial" w:hAnsi="Arial"/>
          <w:sz w:val="19"/>
          <w:szCs w:val="19"/>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Arial" w:cs="Arial" w:eastAsia="Arial" w:hAnsi="Arial"/>
          <w:sz w:val="19"/>
          <w:szCs w:val="19"/>
          <w:u w:val="single" w:color="auto"/>
          <w:color w:val="auto"/>
        </w:rPr>
        <w:t>Schedule 3.05</w:t>
      </w:r>
      <w:r>
        <w:rPr>
          <w:rFonts w:ascii="Arial" w:cs="Arial" w:eastAsia="Arial" w:hAnsi="Arial"/>
          <w:sz w:val="19"/>
          <w:szCs w:val="19"/>
          <w:color w:val="auto"/>
        </w:rPr>
        <w:t>, except where the failure to so own or so license, individually or in the aggregate, could not reasonably be expected to result in a Material Adverse Effect, and the use thereof by each Loan Party and each Subsidiary does not infringe upon the rights of any other Person except for any such infringements that, individually or in the aggregate, could not reasonably be expected to result in a Material Adverse Effect, and each Loan Party’s and each Subsidiary’s rights thereto are not subject to any licensing agreement or similar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SECTION 3.06.</w:t>
      </w:r>
      <w:r>
        <w:rPr>
          <w:rFonts w:ascii="Arial" w:cs="Arial" w:eastAsia="Arial" w:hAnsi="Arial"/>
          <w:sz w:val="20"/>
          <w:szCs w:val="20"/>
          <w:u w:val="single" w:color="auto"/>
          <w:color w:val="auto"/>
        </w:rPr>
        <w:t>Litigation and Environmental Matters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44" w:lineRule="auto"/>
        <w:tabs>
          <w:tab w:leader="none" w:pos="1946"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set forth on </w:t>
      </w:r>
      <w:r>
        <w:rPr>
          <w:rFonts w:ascii="Arial" w:cs="Arial" w:eastAsia="Arial" w:hAnsi="Arial"/>
          <w:sz w:val="20"/>
          <w:szCs w:val="20"/>
          <w:u w:val="single" w:color="auto"/>
          <w:color w:val="auto"/>
        </w:rPr>
        <w:t>Schedule 3.06</w:t>
      </w:r>
      <w:r>
        <w:rPr>
          <w:rFonts w:ascii="Arial" w:cs="Arial" w:eastAsia="Arial" w:hAnsi="Arial"/>
          <w:sz w:val="20"/>
          <w:szCs w:val="20"/>
          <w:color w:val="auto"/>
        </w:rPr>
        <w:t>) or (ii) that involve any Loan Document or the Transactions.</w:t>
      </w:r>
    </w:p>
    <w:p>
      <w:pPr>
        <w:spacing w:after="0" w:line="194" w:lineRule="exact"/>
        <w:rPr>
          <w:rFonts w:ascii="Arial" w:cs="Arial" w:eastAsia="Arial" w:hAnsi="Arial"/>
          <w:sz w:val="20"/>
          <w:szCs w:val="20"/>
          <w:color w:val="auto"/>
        </w:rPr>
      </w:pPr>
    </w:p>
    <w:p>
      <w:pPr>
        <w:jc w:val="both"/>
        <w:ind w:left="660" w:firstLine="644"/>
        <w:spacing w:after="0" w:line="276" w:lineRule="auto"/>
        <w:tabs>
          <w:tab w:leader="none" w:pos="19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(i) no Loan Party or any Subsidiary has received notice of any claim with respect to any Environmental Liability or knows of any basis for any Environmental Liability and (ii)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64" w:lineRule="exact"/>
        <w:rPr>
          <w:rFonts w:ascii="Arial" w:cs="Arial" w:eastAsia="Arial" w:hAnsi="Arial"/>
          <w:sz w:val="18"/>
          <w:szCs w:val="18"/>
          <w:color w:val="auto"/>
        </w:rPr>
      </w:pPr>
    </w:p>
    <w:p>
      <w:pPr>
        <w:ind w:left="660" w:firstLine="644"/>
        <w:spacing w:after="0" w:line="260" w:lineRule="auto"/>
        <w:tabs>
          <w:tab w:leader="none" w:pos="1946" w:val="left"/>
        </w:tabs>
        <w:numPr>
          <w:ilvl w:val="0"/>
          <w:numId w:val="95"/>
        </w:numPr>
        <w:rPr>
          <w:rFonts w:ascii="Arial" w:cs="Arial" w:eastAsia="Arial" w:hAnsi="Arial"/>
          <w:sz w:val="20"/>
          <w:szCs w:val="20"/>
          <w:color w:val="auto"/>
        </w:rPr>
      </w:pPr>
      <w:r>
        <w:rPr>
          <w:rFonts w:ascii="Arial" w:cs="Arial" w:eastAsia="Arial" w:hAnsi="Arial"/>
          <w:sz w:val="20"/>
          <w:szCs w:val="20"/>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SECTION 3.07.</w:t>
      </w:r>
      <w:r>
        <w:rPr>
          <w:rFonts w:ascii="Arial" w:cs="Arial" w:eastAsia="Arial" w:hAnsi="Arial"/>
          <w:sz w:val="20"/>
          <w:szCs w:val="20"/>
          <w:u w:val="single" w:color="auto"/>
          <w:color w:val="auto"/>
        </w:rPr>
        <w:t>Compliance with Laws and Agreements; No Default</w:t>
      </w:r>
      <w:r>
        <w:rPr>
          <w:rFonts w:ascii="Arial" w:cs="Arial" w:eastAsia="Arial" w:hAnsi="Arial"/>
          <w:sz w:val="20"/>
          <w:szCs w:val="20"/>
          <w:color w:val="auto"/>
        </w:rPr>
        <w:t>. Except where the failure to do so, individually or in the aggregate, could not reasonably be expected to result in a Material Adverse Effect, each Loan Party and each Subsidiary is in compliance with (i) all Requirement of Law applicable to it or its property and (ii) all indentures, agreements and other instruments binding upon it or its property. No Default has occurred and is continuing.</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3.08.</w:t>
      </w:r>
      <w:r>
        <w:rPr>
          <w:rFonts w:ascii="Arial" w:cs="Arial" w:eastAsia="Arial" w:hAnsi="Arial"/>
          <w:sz w:val="20"/>
          <w:szCs w:val="20"/>
          <w:u w:val="single" w:color="auto"/>
          <w:color w:val="auto"/>
        </w:rPr>
        <w:t>Investment Company Status</w:t>
      </w:r>
      <w:r>
        <w:rPr>
          <w:rFonts w:ascii="Arial" w:cs="Arial" w:eastAsia="Arial" w:hAnsi="Arial"/>
          <w:sz w:val="20"/>
          <w:szCs w:val="20"/>
          <w:color w:val="auto"/>
        </w:rPr>
        <w:t>. No Loan Party or any Subsidiary is an “investment company” as defined in, or subject to regulation under, the Investment Company Act of 1940.</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SECTION 3.09.</w:t>
      </w:r>
      <w:r>
        <w:rPr>
          <w:rFonts w:ascii="Arial" w:cs="Arial" w:eastAsia="Arial" w:hAnsi="Arial"/>
          <w:sz w:val="18"/>
          <w:szCs w:val="18"/>
          <w:u w:val="single" w:color="auto"/>
          <w:color w:val="auto"/>
        </w:rPr>
        <w:t>Taxes</w:t>
      </w:r>
      <w:r>
        <w:rPr>
          <w:rFonts w:ascii="Arial" w:cs="Arial" w:eastAsia="Arial" w:hAnsi="Arial"/>
          <w:sz w:val="18"/>
          <w:szCs w:val="18"/>
          <w:color w:val="auto"/>
        </w:rPr>
        <w:t>. Each Loan Party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reasonably be expected to result in a Material Adverse Effect.</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SECTION 3.10.</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such that any requisite funding of such Plan could reasonably be expected to result in a Material Adverse Effect, and the present value of all accumulated benefit obligations of all underfunded Plans (based on the assumptions used for purposes of Accounting Standards Codification 715) did not, as of the date of the most recent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09" w:name="page110"/>
    <w:bookmarkEnd w:id="109"/>
    <w:p>
      <w:pPr>
        <w:jc w:val="both"/>
        <w:spacing w:after="0" w:line="260" w:lineRule="auto"/>
        <w:rPr>
          <w:sz w:val="20"/>
          <w:szCs w:val="20"/>
          <w:color w:val="auto"/>
        </w:rPr>
      </w:pPr>
      <w:r>
        <w:rPr>
          <w:rFonts w:ascii="Arial" w:cs="Arial" w:eastAsia="Arial" w:hAnsi="Arial"/>
          <w:sz w:val="20"/>
          <w:szCs w:val="20"/>
          <w:color w:val="auto"/>
        </w:rPr>
        <w:t>statements reflecting such amounts, exceed the fair market value of the assets of all such underfunded Plans such that any requisite funding of all such Plans could reasonably be expected to result in a Material Adverse Effect.</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SECTION 3.11.</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(other than Projections, any other projected financial information, forward looking statements and statements of a general economic nature) furnished by or on behalf of any Loan Party or any Subsidiary to the Administrative Agent or any Lender in connection with the negotiation of this Agreement or any other Loan Document (as modified or supplemented by other information so furnished), taken as a whole, contains any material misstatement of fact or, when taken as a whole, omits to state any material fact necessary to make the statements therein, in the light of the circumstances under which they were made, not materially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Projections and other projected financial information, the Loan Parties represent only that such information was prepared in good faith based upon assumptions believed to be reasonable at the time delivered and, if such Projections or other projected financial information was delivered prior to the Effective Date, as of the Effective Date, it being understood and agreed that such Projections and other projected financial information are subject to uncertainties and contingencies, many of which are beyond the control of the Loan Parties, and as such, such Projections and other projected financial information is not a guarantee of financial performance and such differences may be material.</w:t>
      </w:r>
    </w:p>
    <w:p>
      <w:pPr>
        <w:spacing w:after="0" w:line="172" w:lineRule="exact"/>
        <w:rPr>
          <w:sz w:val="20"/>
          <w:szCs w:val="20"/>
          <w:color w:val="auto"/>
        </w:rPr>
      </w:pPr>
    </w:p>
    <w:p>
      <w:pPr>
        <w:jc w:val="both"/>
        <w:ind w:left="660" w:firstLine="644"/>
        <w:spacing w:after="0" w:line="250" w:lineRule="auto"/>
        <w:tabs>
          <w:tab w:leader="none" w:pos="1944" w:val="left"/>
        </w:tabs>
        <w:numPr>
          <w:ilvl w:val="0"/>
          <w:numId w:val="96"/>
        </w:numPr>
        <w:rPr>
          <w:rFonts w:ascii="Arial" w:cs="Arial" w:eastAsia="Arial" w:hAnsi="Arial"/>
          <w:sz w:val="20"/>
          <w:szCs w:val="20"/>
          <w:color w:val="auto"/>
        </w:rPr>
      </w:pPr>
      <w:r>
        <w:rPr>
          <w:rFonts w:ascii="Arial" w:cs="Arial" w:eastAsia="Arial" w:hAnsi="Arial"/>
          <w:sz w:val="20"/>
          <w:szCs w:val="20"/>
          <w:color w:val="auto"/>
        </w:rPr>
        <w:t>As of the Effective Date, to the best knowledge of each Borrower, the information included in the Beneficial Ownership Certification provided on or prior to the Effective Date to any Lender in connection with this Agreement is true and correct in all respects.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3.12.</w:t>
      </w: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the consummation of the Transactions to occur on the Effective Date, (i) the fair value of the assets of the Loan Parties and their Subsidiaries, taken as a whole, at a fair valuation, will exceed its debts and liabilities, subordinated, contingent or otherwise; (ii) the present fair saleable value of the property of the Loan Parties and their Subsidiaries, taken as a whole, will be greater than the amount that will be required to pay the probable liability of its debts and other liabilities, subordinated, contingent or otherwise, as such debts and other liabilities become absolute and matured; (iii) the Loan Parties and their Subsidiaries, taken as a whole, will be able to pay their debts and liabilities, subordinated, contingent or otherwise, as such debts and liabilities become absolute and matured; and (iv) the Loan Parties and their Subsidiaries, taken as a whole, will not have unreasonably small capital with which to conduct the business in which they are engaged as such business is now conducted and is proposed to be conducted after the Effective Date.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SECTION 3.14.</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3.14</w:t>
      </w:r>
      <w:r>
        <w:rPr>
          <w:rFonts w:ascii="Arial" w:cs="Arial" w:eastAsia="Arial" w:hAnsi="Arial"/>
          <w:sz w:val="19"/>
          <w:szCs w:val="19"/>
          <w:color w:val="auto"/>
        </w:rPr>
        <w:t xml:space="preserve"> sets forth a description of all insurance maintained by or on behalf of the Loan Parties and their Subsidiaries as of the Effective Date. As of the Effective Date, all premiums in respect of such insurance have been paid. The Loan Parties believe that the insurance maintained by or on behalf of the Loan Parties and their Subsidiaries is adequate and is customary for companies engaged in the same or similar businesses operating in the same or similar locations.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3.15.</w:t>
      </w:r>
      <w:r>
        <w:rPr>
          <w:rFonts w:ascii="Arial" w:cs="Arial" w:eastAsia="Arial" w:hAnsi="Arial"/>
          <w:sz w:val="20"/>
          <w:szCs w:val="20"/>
          <w:u w:val="single" w:color="auto"/>
          <w:color w:val="auto"/>
        </w:rPr>
        <w:t>Capitalization and Subsidiaries</w:t>
      </w:r>
      <w:r>
        <w:rPr>
          <w:rFonts w:ascii="Arial" w:cs="Arial" w:eastAsia="Arial" w:hAnsi="Arial"/>
          <w:sz w:val="20"/>
          <w:szCs w:val="20"/>
          <w:color w:val="auto"/>
        </w:rPr>
        <w:t xml:space="preserve">. As of the Effective Date, </w:t>
      </w:r>
      <w:r>
        <w:rPr>
          <w:rFonts w:ascii="Arial" w:cs="Arial" w:eastAsia="Arial" w:hAnsi="Arial"/>
          <w:sz w:val="20"/>
          <w:szCs w:val="20"/>
          <w:u w:val="single" w:color="auto"/>
          <w:color w:val="auto"/>
        </w:rPr>
        <w:t>Schedule 3.15</w:t>
      </w:r>
      <w:r>
        <w:rPr>
          <w:rFonts w:ascii="Arial" w:cs="Arial" w:eastAsia="Arial" w:hAnsi="Arial"/>
          <w:sz w:val="20"/>
          <w:szCs w:val="20"/>
          <w:color w:val="auto"/>
        </w:rPr>
        <w:t xml:space="preserve"> sets forth (a) a correct and complete list of the name and relationship to the Company of each Subsidiary, (b)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0" w:name="page111"/>
    <w:bookmarkEnd w:id="110"/>
    <w:p>
      <w:pPr>
        <w:jc w:val="both"/>
        <w:spacing w:after="0" w:line="244" w:lineRule="auto"/>
        <w:rPr>
          <w:sz w:val="20"/>
          <w:szCs w:val="20"/>
          <w:color w:val="auto"/>
        </w:rPr>
      </w:pPr>
      <w:r>
        <w:rPr>
          <w:rFonts w:ascii="Arial" w:cs="Arial" w:eastAsia="Arial" w:hAnsi="Arial"/>
          <w:sz w:val="20"/>
          <w:szCs w:val="20"/>
          <w:color w:val="auto"/>
        </w:rPr>
        <w:t xml:space="preserve">true and complete listing of each class of each of the Company’s authorized Equity Interests, of which all of such issued Equity Interests are validly issued, outstanding, fully paid and non-assessable, and owned beneficially and of record by the Persons identified on </w:t>
      </w:r>
      <w:r>
        <w:rPr>
          <w:rFonts w:ascii="Arial" w:cs="Arial" w:eastAsia="Arial" w:hAnsi="Arial"/>
          <w:sz w:val="20"/>
          <w:szCs w:val="20"/>
          <w:u w:val="single" w:color="auto"/>
          <w:color w:val="auto"/>
        </w:rPr>
        <w:t>Schedule 3.15</w:t>
      </w:r>
      <w:r>
        <w:rPr>
          <w:rFonts w:ascii="Arial" w:cs="Arial" w:eastAsia="Arial" w:hAnsi="Arial"/>
          <w:sz w:val="20"/>
          <w:szCs w:val="20"/>
          <w:color w:val="auto"/>
        </w:rPr>
        <w:t xml:space="preserve"> as of the Effective Date, and (c) the type of entity of the Company and each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SECTION 3.16.</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the Collateral in favor of the Administrative Agent, for the benefit of the Secured Parties, and upon the filing of UCC financing statements, the recording of mortgages and the taking of actions or making of filings with the United States Patent and Trademark Office of the United States Copyright Office, as applicable, with respect to the Loan Parties’ intellectual property, such Liens constitute perfected and continuing Liens on the Collateral, to the extent perfection can be obtained by the filing of an initial UCC financing statement, the recording of a mortgage or a filing with the United States patent and Trademark Office or the United States Copyright Office, as applicable, securing the Secured Obligations, enforceable against the applicable Loan Party (subject to applicable bankruptcy, insolvency, reorganization, moratorium or other laws affecting creditors’ rights generally and subject to general principles of equity, regardless, of whether considered in a proceeding in equity or at law) and having priority over all other Liens on the Collateral except in the case of (a) Permitted Encumbrances, to the extent any such Permitted Encumbrances would have priority over the Liens in favor of the Administrative Agent pursuant to any applicable law or agreement permitted hereunder, and (b) Liens perfected only by possession (including possession of any certificate of title), to the extent the Administrative Agent has not obtained or does not maintain possession of such Collateral.</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SECTION 3.17.</w:t>
      </w:r>
      <w:r>
        <w:rPr>
          <w:rFonts w:ascii="Arial" w:cs="Arial" w:eastAsia="Arial" w:hAnsi="Arial"/>
          <w:sz w:val="19"/>
          <w:szCs w:val="19"/>
          <w:u w:val="single" w:color="auto"/>
          <w:color w:val="auto"/>
        </w:rPr>
        <w:t>Employment Matters</w:t>
      </w:r>
      <w:r>
        <w:rPr>
          <w:rFonts w:ascii="Arial" w:cs="Arial" w:eastAsia="Arial" w:hAnsi="Arial"/>
          <w:sz w:val="19"/>
          <w:szCs w:val="19"/>
          <w:color w:val="auto"/>
        </w:rPr>
        <w:t>. As of the Effective Date, there are no strikes, lockouts or slowdowns against any Loan Party or any Subsidiary pending or, to the knowledge of any Loan Party, threatened in writing. The hours worked by and payments made to employees of the Loan Parties and their Subsidiaries have not been in violation in any material respect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as could not reasonably be expected to have a Material Adverse Effect.</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SECTION 3.18.</w:t>
      </w:r>
      <w:r>
        <w:rPr>
          <w:rFonts w:ascii="Arial" w:cs="Arial" w:eastAsia="Arial" w:hAnsi="Arial"/>
          <w:sz w:val="19"/>
          <w:szCs w:val="19"/>
          <w:u w:val="single" w:color="auto"/>
          <w:color w:val="auto"/>
        </w:rPr>
        <w:t>Margin Regulations</w:t>
      </w:r>
      <w:r>
        <w:rPr>
          <w:rFonts w:ascii="Arial" w:cs="Arial" w:eastAsia="Arial" w:hAnsi="Arial"/>
          <w:sz w:val="19"/>
          <w:szCs w:val="19"/>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3.19.</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Loans have been used and will be used, whether directly or indirectly as set forth in Section 5.08.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3.20.</w:t>
      </w:r>
      <w:r>
        <w:rPr>
          <w:rFonts w:ascii="Arial" w:cs="Arial" w:eastAsia="Arial" w:hAnsi="Arial"/>
          <w:sz w:val="20"/>
          <w:szCs w:val="20"/>
          <w:u w:val="single" w:color="auto"/>
          <w:color w:val="auto"/>
        </w:rPr>
        <w:t>No Burdensome Restrictions</w:t>
      </w:r>
      <w:r>
        <w:rPr>
          <w:rFonts w:ascii="Arial" w:cs="Arial" w:eastAsia="Arial" w:hAnsi="Arial"/>
          <w:sz w:val="20"/>
          <w:szCs w:val="20"/>
          <w:color w:val="auto"/>
        </w:rPr>
        <w:t>. No Loan Party is subject to any Burdensome Restrictions except Burdensome Restrictions permitted under Section 6.10.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1" w:name="page112"/>
    <w:bookmarkEnd w:id="111"/>
    <w:p>
      <w:pPr>
        <w:jc w:val="both"/>
        <w:ind w:firstLine="648"/>
        <w:spacing w:after="0" w:line="242" w:lineRule="auto"/>
        <w:rPr>
          <w:sz w:val="20"/>
          <w:szCs w:val="20"/>
          <w:color w:val="auto"/>
        </w:rPr>
      </w:pPr>
      <w:r>
        <w:rPr>
          <w:rFonts w:ascii="Arial" w:cs="Arial" w:eastAsia="Arial" w:hAnsi="Arial"/>
          <w:sz w:val="20"/>
          <w:szCs w:val="20"/>
          <w:color w:val="auto"/>
        </w:rPr>
        <w:t>SECTION 3.21.</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3.22.</w:t>
      </w:r>
      <w:r>
        <w:rPr>
          <w:rFonts w:ascii="Arial" w:cs="Arial" w:eastAsia="Arial" w:hAnsi="Arial"/>
          <w:sz w:val="20"/>
          <w:szCs w:val="20"/>
          <w:u w:val="single" w:color="auto"/>
          <w:color w:val="auto"/>
        </w:rPr>
        <w:t>EEA Financial Institutions</w:t>
      </w:r>
      <w:r>
        <w:rPr>
          <w:rFonts w:ascii="Arial" w:cs="Arial" w:eastAsia="Arial" w:hAnsi="Arial"/>
          <w:sz w:val="20"/>
          <w:szCs w:val="20"/>
          <w:color w:val="auto"/>
        </w:rPr>
        <w:t>. No Loan Party is an EEA Financial Institution.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SECTION 3.23.</w:t>
      </w:r>
      <w:r>
        <w:rPr>
          <w:rFonts w:ascii="Arial" w:cs="Arial" w:eastAsia="Arial" w:hAnsi="Arial"/>
          <w:sz w:val="19"/>
          <w:szCs w:val="19"/>
          <w:u w:val="single" w:color="auto"/>
          <w:color w:val="auto"/>
        </w:rPr>
        <w:t>Plan Assets; Prohibited Transactions</w:t>
      </w:r>
      <w:r>
        <w:rPr>
          <w:rFonts w:ascii="Arial" w:cs="Arial" w:eastAsia="Arial" w:hAnsi="Arial"/>
          <w:sz w:val="19"/>
          <w:szCs w:val="19"/>
          <w:color w:val="auto"/>
        </w:rPr>
        <w:t xml:space="preserve"> .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SECTION 3.24.</w:t>
      </w:r>
      <w:r>
        <w:rPr>
          <w:rFonts w:ascii="Arial" w:cs="Arial" w:eastAsia="Arial" w:hAnsi="Arial"/>
          <w:sz w:val="18"/>
          <w:szCs w:val="18"/>
          <w:u w:val="single" w:color="auto"/>
          <w:color w:val="auto"/>
        </w:rPr>
        <w:t>Common Enterprise</w:t>
      </w:r>
      <w:r>
        <w:rPr>
          <w:rFonts w:ascii="Arial" w:cs="Arial" w:eastAsia="Arial" w:hAnsi="Arial"/>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 indirect benefit to such Loan Party, and is in its best interest.</w:t>
      </w:r>
    </w:p>
    <w:p>
      <w:pPr>
        <w:spacing w:after="0" w:line="17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Conditions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4.01.</w:t>
      </w:r>
      <w:r>
        <w:rPr>
          <w:rFonts w:ascii="Arial" w:cs="Arial" w:eastAsia="Arial" w:hAnsi="Arial"/>
          <w:sz w:val="20"/>
          <w:szCs w:val="20"/>
          <w:u w:val="single" w:color="auto"/>
          <w:color w:val="auto"/>
        </w:rPr>
        <w:t>Effective Date</w:t>
      </w:r>
      <w:r>
        <w:rPr>
          <w:rFonts w:ascii="Arial" w:cs="Arial" w:eastAsia="Arial" w:hAnsi="Arial"/>
          <w:sz w:val="20"/>
          <w:szCs w:val="20"/>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86" w:lineRule="exact"/>
        <w:rPr>
          <w:sz w:val="20"/>
          <w:szCs w:val="20"/>
          <w:color w:val="auto"/>
        </w:rPr>
      </w:pPr>
    </w:p>
    <w:p>
      <w:pPr>
        <w:jc w:val="both"/>
        <w:ind w:left="660" w:firstLine="644"/>
        <w:spacing w:after="0" w:line="259" w:lineRule="auto"/>
        <w:tabs>
          <w:tab w:leader="none" w:pos="1946"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Credit Agreement and Loan Documents</w:t>
      </w:r>
      <w:r>
        <w:rPr>
          <w:rFonts w:ascii="Arial" w:cs="Arial" w:eastAsia="Arial" w:hAnsi="Arial"/>
          <w:sz w:val="19"/>
          <w:szCs w:val="19"/>
          <w:color w:val="auto"/>
        </w:rPr>
        <w:t xml:space="preserve">. The Administrative Agent (or its counsel) shall have received (i) from each party hereto either (A) a counterpart of this Agreement signed on behalf of such party (which, subject to </w:t>
      </w:r>
      <w:r>
        <w:rPr>
          <w:rFonts w:ascii="Arial" w:cs="Arial" w:eastAsia="Arial" w:hAnsi="Arial"/>
          <w:sz w:val="19"/>
          <w:szCs w:val="19"/>
          <w:u w:val="single" w:color="auto"/>
          <w:color w:val="auto"/>
        </w:rPr>
        <w:t>Section 9.06(b)</w:t>
      </w:r>
      <w:r>
        <w:rPr>
          <w:rFonts w:ascii="Arial" w:cs="Arial" w:eastAsia="Arial" w:hAnsi="Arial"/>
          <w:sz w:val="19"/>
          <w:szCs w:val="19"/>
          <w:color w:val="auto"/>
        </w:rPr>
        <w:t>, or (B) written evidence satisfactory to the Administrative Agent (which may include any Electronic Signatures transmitted by telecopy, emailed pdf. or any or other electronic means that reproduces an image of an actual executed signature page and (ii) duly executed copies of the Loan Documents and such other certificates, documents, instruments and agreements as the Administrative Agent shall reasonably request in connection with the transactions contemplated by this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2" w:name="page113"/>
    <w:bookmarkEnd w:id="112"/>
    <w:p>
      <w:pPr>
        <w:jc w:val="both"/>
        <w:ind w:left="660"/>
        <w:spacing w:after="0" w:line="269" w:lineRule="auto"/>
        <w:rPr>
          <w:sz w:val="20"/>
          <w:szCs w:val="20"/>
          <w:color w:val="auto"/>
        </w:rPr>
      </w:pPr>
      <w:r>
        <w:rPr>
          <w:rFonts w:ascii="Arial" w:cs="Arial" w:eastAsia="Arial" w:hAnsi="Arial"/>
          <w:sz w:val="19"/>
          <w:szCs w:val="19"/>
          <w:color w:val="auto"/>
        </w:rPr>
        <w:t>other Loan Documents, including any promissory notes requested by a Lender pursuant to Section 2.10 payable to the order of each such requesting Lender and a written opinion of the Loan Parties’ counsel, addressed to the Administrative Agent, the Issuing Bank and the Lenders and in form and substance satisfactory to the Administrative Agent.</w:t>
      </w:r>
    </w:p>
    <w:p>
      <w:pPr>
        <w:spacing w:after="0" w:line="170" w:lineRule="exact"/>
        <w:rPr>
          <w:sz w:val="20"/>
          <w:szCs w:val="20"/>
          <w:color w:val="auto"/>
        </w:rPr>
      </w:pPr>
    </w:p>
    <w:p>
      <w:pPr>
        <w:jc w:val="both"/>
        <w:ind w:left="660" w:firstLine="644"/>
        <w:spacing w:after="0" w:line="274" w:lineRule="auto"/>
        <w:tabs>
          <w:tab w:leader="none" w:pos="1944"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The Lenders shall have received (i) audited consolidated financial statements of the Company and its Subsidiaries for the 2018 and 2019 fiscal years, (ii) unaudited interim consolidated financial statements of the Company and its Subsidiaries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Company and its Subsidiaries, as reflected in the audited, consolidated financial statements described in clause (i) of this paragraph and (iii) satisfactory projections for the period beginning January 1, 2021 through December 31, 2023 (the “Projections”).</w:t>
      </w:r>
    </w:p>
    <w:p>
      <w:pPr>
        <w:spacing w:after="0" w:line="168" w:lineRule="exact"/>
        <w:rPr>
          <w:rFonts w:ascii="Arial" w:cs="Arial" w:eastAsia="Arial" w:hAnsi="Arial"/>
          <w:sz w:val="18"/>
          <w:szCs w:val="18"/>
          <w:color w:val="auto"/>
        </w:rPr>
      </w:pPr>
    </w:p>
    <w:p>
      <w:pPr>
        <w:jc w:val="both"/>
        <w:ind w:left="660" w:firstLine="644"/>
        <w:spacing w:after="0" w:line="272" w:lineRule="auto"/>
        <w:tabs>
          <w:tab w:leader="none" w:pos="194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Closing Certificates; Certified Certificate of Incorporation; Good Standing Certificates</w:t>
      </w:r>
      <w:r>
        <w:rPr>
          <w:rFonts w:ascii="Arial" w:cs="Arial" w:eastAsia="Arial" w:hAnsi="Arial"/>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a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long form good standing certificate for each Loan Party from its jurisdiction of organization.</w:t>
      </w:r>
    </w:p>
    <w:p>
      <w:pPr>
        <w:spacing w:after="0" w:line="170"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No Default Certificate</w:t>
      </w:r>
      <w:r>
        <w:rPr>
          <w:rFonts w:ascii="Arial" w:cs="Arial" w:eastAsia="Arial" w:hAnsi="Arial"/>
          <w:sz w:val="20"/>
          <w:szCs w:val="20"/>
          <w:color w:val="auto"/>
        </w:rPr>
        <w:t>. The Administrative Agent shall have received a certificate, signed by a Financial Officer of the Borrower, dated as of the Effective Date (i) stating that no Default has occurred and is continuing, (ii) stating that the representations and warranties contained in the Loan Documents are true and correct in all material respects as of such date, (or if any representation and warranty is made as of a specified date stating such representation and warranty was true and correct as of such specified date and if any representation or warranty is subject to any materiality qualifier, such representation or warranty is true and correct in all respects), and (iii) certifying as to any other factual matters as may be reasonably requested by the Administrative Agent.</w:t>
      </w:r>
    </w:p>
    <w:p>
      <w:pPr>
        <w:spacing w:after="0" w:line="192" w:lineRule="exact"/>
        <w:rPr>
          <w:rFonts w:ascii="Arial" w:cs="Arial" w:eastAsia="Arial" w:hAnsi="Arial"/>
          <w:sz w:val="20"/>
          <w:szCs w:val="20"/>
          <w:color w:val="auto"/>
        </w:rPr>
      </w:pPr>
    </w:p>
    <w:p>
      <w:pPr>
        <w:ind w:left="660" w:firstLine="644"/>
        <w:spacing w:after="0" w:line="287" w:lineRule="auto"/>
        <w:tabs>
          <w:tab w:leader="none" w:pos="194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The Administrative Agent shall have received a solvency certificate signed by a Financial Officer of the Borrower dated the Effective Date in form and substance reasonably satisfactory to the Administrative Agent.</w:t>
      </w:r>
    </w:p>
    <w:p>
      <w:pPr>
        <w:spacing w:after="0" w:line="152" w:lineRule="exact"/>
        <w:rPr>
          <w:rFonts w:ascii="Arial" w:cs="Arial" w:eastAsia="Arial" w:hAnsi="Arial"/>
          <w:sz w:val="19"/>
          <w:szCs w:val="19"/>
          <w:color w:val="auto"/>
        </w:rPr>
      </w:pPr>
    </w:p>
    <w:p>
      <w:pPr>
        <w:jc w:val="both"/>
        <w:ind w:left="660" w:firstLine="644"/>
        <w:spacing w:after="0" w:line="282" w:lineRule="auto"/>
        <w:tabs>
          <w:tab w:leader="none" w:pos="195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and all expenses required to be reimbursed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3" w:name="page114"/>
    <w:bookmarkEnd w:id="113"/>
    <w:p>
      <w:pPr>
        <w:jc w:val="both"/>
        <w:ind w:left="660" w:firstLine="644"/>
        <w:spacing w:after="0" w:line="282" w:lineRule="auto"/>
        <w:tabs>
          <w:tab w:leader="none" w:pos="1944"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shall have received the results of a recent lien search in the jurisdiction of organization of each Loan Party and each jurisdiction where assets of the Loan Parties are located, and such search shall reveal no Liens on any of the assets of the Loan Parties except for liens permitted by Section 6.02 or discharged on or prior to the Effective Date pursuant to a payoff letter or other documentation reasonably satisfactory to the Administrative Agent.</w:t>
      </w:r>
    </w:p>
    <w:p>
      <w:pPr>
        <w:spacing w:after="0" w:line="161" w:lineRule="exact"/>
        <w:rPr>
          <w:rFonts w:ascii="Arial" w:cs="Arial" w:eastAsia="Arial" w:hAnsi="Arial"/>
          <w:sz w:val="18"/>
          <w:szCs w:val="18"/>
          <w:color w:val="auto"/>
        </w:rPr>
      </w:pPr>
    </w:p>
    <w:p>
      <w:pPr>
        <w:jc w:val="both"/>
        <w:ind w:left="660" w:firstLine="644"/>
        <w:spacing w:after="0" w:line="246"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Payoff Letter</w:t>
      </w:r>
      <w:r>
        <w:rPr>
          <w:rFonts w:ascii="Arial" w:cs="Arial" w:eastAsia="Arial" w:hAnsi="Arial"/>
          <w:sz w:val="20"/>
          <w:szCs w:val="20"/>
          <w:color w:val="auto"/>
        </w:rPr>
        <w:t>. The Administrative Agent shall have received satisfactory payoff letters for all existing Indebtedness required to be repaid and which confirms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95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Funding Account</w:t>
      </w:r>
      <w:r>
        <w:rPr>
          <w:rFonts w:ascii="Arial" w:cs="Arial" w:eastAsia="Arial" w:hAnsi="Arial"/>
          <w:sz w:val="20"/>
          <w:szCs w:val="20"/>
          <w:color w:val="auto"/>
        </w:rPr>
        <w:t>. The Administrative Agent shall have received a notice setting forth the deposit account of the Borrowers (the “</w:t>
      </w:r>
      <w:r>
        <w:rPr>
          <w:rFonts w:ascii="Arial" w:cs="Arial" w:eastAsia="Arial" w:hAnsi="Arial"/>
          <w:sz w:val="20"/>
          <w:szCs w:val="20"/>
          <w:u w:val="single" w:color="auto"/>
          <w:color w:val="auto"/>
        </w:rPr>
        <w:t>Funding Account</w:t>
      </w:r>
      <w:r>
        <w:rPr>
          <w:rFonts w:ascii="Arial" w:cs="Arial" w:eastAsia="Arial" w:hAnsi="Arial"/>
          <w:sz w:val="20"/>
          <w:szCs w:val="20"/>
          <w:color w:val="auto"/>
        </w:rPr>
        <w:t>”) to which the Administrative Agent is authorized by the Borrowers to transfer the proceeds of any Borrowings requested or authorized pursuant to this Agreement.</w:t>
      </w:r>
    </w:p>
    <w:p>
      <w:pPr>
        <w:spacing w:after="0" w:line="185"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Control Agreements</w:t>
      </w:r>
      <w:r>
        <w:rPr>
          <w:rFonts w:ascii="Arial" w:cs="Arial" w:eastAsia="Arial" w:hAnsi="Arial"/>
          <w:sz w:val="20"/>
          <w:szCs w:val="20"/>
          <w:color w:val="auto"/>
        </w:rPr>
        <w:t>. The Administrative Agent shall have received each deposit account control agreement required to be provided pursuant to Section 4.14 of the Security Agreement.</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Pledged Equity Interest; Stock Powers; Pledged Notes</w:t>
      </w:r>
      <w:r>
        <w:rPr>
          <w:rFonts w:ascii="Arial" w:cs="Arial" w:eastAsia="Arial" w:hAnsi="Arial"/>
          <w:sz w:val="20"/>
          <w:szCs w:val="20"/>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94" w:lineRule="exact"/>
        <w:rPr>
          <w:rFonts w:ascii="Arial" w:cs="Arial" w:eastAsia="Arial" w:hAnsi="Arial"/>
          <w:sz w:val="20"/>
          <w:szCs w:val="20"/>
          <w:color w:val="auto"/>
        </w:rPr>
      </w:pPr>
    </w:p>
    <w:p>
      <w:pPr>
        <w:jc w:val="both"/>
        <w:ind w:left="660" w:firstLine="644"/>
        <w:spacing w:after="0" w:line="260" w:lineRule="auto"/>
        <w:tabs>
          <w:tab w:leader="none" w:pos="195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Filings, Registrations and Recordings</w:t>
      </w:r>
      <w:r>
        <w:rPr>
          <w:rFonts w:ascii="Arial" w:cs="Arial" w:eastAsia="Arial" w:hAnsi="Arial"/>
          <w:sz w:val="19"/>
          <w:szCs w:val="19"/>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0" w:lineRule="exact"/>
        <w:rPr>
          <w:rFonts w:ascii="Arial" w:cs="Arial" w:eastAsia="Arial" w:hAnsi="Arial"/>
          <w:sz w:val="19"/>
          <w:szCs w:val="19"/>
          <w:color w:val="auto"/>
        </w:rPr>
      </w:pPr>
    </w:p>
    <w:p>
      <w:pPr>
        <w:jc w:val="both"/>
        <w:ind w:left="660" w:firstLine="644"/>
        <w:spacing w:after="0" w:line="269" w:lineRule="auto"/>
        <w:tabs>
          <w:tab w:leader="none" w:pos="1945"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Approvals</w:t>
      </w:r>
      <w:r>
        <w:rPr>
          <w:rFonts w:ascii="Arial" w:cs="Arial" w:eastAsia="Arial" w:hAnsi="Arial"/>
          <w:sz w:val="19"/>
          <w:szCs w:val="19"/>
          <w:color w:val="auto"/>
        </w:rPr>
        <w:t>. All material consents, authorizations and approvals of, and filings and registrations with, and all other actions in respect of, any Governmental Authority or other Person required in connection with the consummation of the Transactions or the conduct of the Loan Parties’ business shall have been obtained and shall be in full force and effect.</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Insurance</w:t>
      </w:r>
      <w:r>
        <w:rPr>
          <w:rFonts w:ascii="Arial" w:cs="Arial" w:eastAsia="Arial" w:hAnsi="Arial"/>
          <w:sz w:val="20"/>
          <w:szCs w:val="20"/>
          <w:color w:val="auto"/>
        </w:rPr>
        <w:t>. The Administrative Agent shall have received evidence of insurance coverage in form, scope, and substance reasonably satisfactory to the Administrative Agent and otherwise in compliance with the terms of Section 5.10 of this Agreement and Section 4.12 of the Security Agreement.</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94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The Administrative Agent shall have received a properly completed letter of credit application (whether standalone or pursuant to a master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0"/>
          <w:szCs w:val="20"/>
          <w:color w:val="auto"/>
        </w:rPr>
        <w:t>agreement, as applicable) if the issuance of a Letter of Credit will be required on the Effective Date.</w:t>
      </w:r>
    </w:p>
    <w:p>
      <w:pPr>
        <w:spacing w:after="0" w:line="216" w:lineRule="exact"/>
        <w:rPr>
          <w:sz w:val="20"/>
          <w:szCs w:val="20"/>
          <w:color w:val="auto"/>
        </w:rPr>
      </w:pPr>
    </w:p>
    <w:p>
      <w:pPr>
        <w:ind w:left="660" w:firstLine="644"/>
        <w:spacing w:after="0" w:line="260" w:lineRule="auto"/>
        <w:tabs>
          <w:tab w:leader="none" w:pos="1944"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Legal Due Diligence</w:t>
      </w:r>
      <w:r>
        <w:rPr>
          <w:rFonts w:ascii="Arial" w:cs="Arial" w:eastAsia="Arial" w:hAnsi="Arial"/>
          <w:sz w:val="20"/>
          <w:szCs w:val="20"/>
          <w:color w:val="auto"/>
        </w:rPr>
        <w:t>. The Administrative Agent and its counsel shall have completed all legal due diligence, the results of which shall be satisfactory to Administrative Agent in its sole discretion.</w:t>
      </w:r>
    </w:p>
    <w:p>
      <w:pPr>
        <w:spacing w:after="0" w:line="176" w:lineRule="exact"/>
        <w:rPr>
          <w:rFonts w:ascii="Arial" w:cs="Arial" w:eastAsia="Arial" w:hAnsi="Arial"/>
          <w:sz w:val="20"/>
          <w:szCs w:val="20"/>
          <w:color w:val="auto"/>
        </w:rPr>
      </w:pPr>
    </w:p>
    <w:p>
      <w:pPr>
        <w:jc w:val="both"/>
        <w:ind w:left="660" w:firstLine="644"/>
        <w:spacing w:after="0" w:line="272" w:lineRule="auto"/>
        <w:tabs>
          <w:tab w:leader="none" w:pos="194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USA PATRIOT Act, Etc</w:t>
      </w:r>
      <w:r>
        <w:rPr>
          <w:rFonts w:ascii="Arial" w:cs="Arial" w:eastAsia="Arial" w:hAnsi="Arial"/>
          <w:sz w:val="18"/>
          <w:szCs w:val="18"/>
          <w:color w:val="auto"/>
        </w:rPr>
        <w:t>. (i) The Administrative Agent shall have received, (x)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(y) a properly completed and signed IRS Form W-8 or W-9, as applicable, for each Loan Party, and (ii) to the extent the Borrowers qualify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70" w:lineRule="exact"/>
        <w:rPr>
          <w:rFonts w:ascii="Arial" w:cs="Arial" w:eastAsia="Arial" w:hAnsi="Arial"/>
          <w:sz w:val="18"/>
          <w:szCs w:val="18"/>
          <w:color w:val="auto"/>
        </w:rPr>
      </w:pPr>
    </w:p>
    <w:p>
      <w:pPr>
        <w:jc w:val="both"/>
        <w:ind w:left="660" w:firstLine="644"/>
        <w:spacing w:after="0" w:line="291" w:lineRule="auto"/>
        <w:tabs>
          <w:tab w:leader="none" w:pos="1951"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agreements, opinions, reports, approvals, consents, certificates and other documents set forth on the closing checklist last delivered to the Company and such other documents as the Administrative Agent, the Issuing Bank, any Lender or their respective counsel may have reasonably requested.</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Administrative Agent shall notify the Borrowers, the Lenders and the Issuing Bank of the Effective Date, and such notice shall be conclusive and binding.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Issuing Bank to issue, amend, renew or extend any Letter of Credit, is subject to the satisfaction of the following conditions:</w:t>
      </w:r>
    </w:p>
    <w:p>
      <w:pPr>
        <w:spacing w:after="0" w:line="200" w:lineRule="exact"/>
        <w:rPr>
          <w:sz w:val="20"/>
          <w:szCs w:val="20"/>
          <w:color w:val="auto"/>
        </w:rPr>
      </w:pPr>
    </w:p>
    <w:p>
      <w:pPr>
        <w:jc w:val="both"/>
        <w:ind w:left="660" w:firstLine="644"/>
        <w:spacing w:after="0" w:line="243" w:lineRule="auto"/>
        <w:tabs>
          <w:tab w:leader="none" w:pos="194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representations and warranties of the Loan Parties set forth in the Loan Documents shall be true and correct in all material respects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95"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176" w:lineRule="exact"/>
        <w:rPr>
          <w:rFonts w:ascii="Arial" w:cs="Arial" w:eastAsia="Arial" w:hAnsi="Arial"/>
          <w:sz w:val="20"/>
          <w:szCs w:val="20"/>
          <w:color w:val="auto"/>
        </w:rPr>
      </w:pPr>
    </w:p>
    <w:p>
      <w:pPr>
        <w:ind w:left="660" w:firstLine="644"/>
        <w:spacing w:after="0" w:line="260" w:lineRule="auto"/>
        <w:tabs>
          <w:tab w:leader="none" w:pos="194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No event shall have occurred and no condition shall exist which has or could be reasonably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5" w:name="page116"/>
    <w:bookmarkEnd w:id="115"/>
    <w:p>
      <w:pPr>
        <w:jc w:val="both"/>
        <w:spacing w:after="0" w:line="316"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Borrowers on the date thereof as to the matters specified in paragraphs (a), (b) and (c) of this Section.</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the failure to satisfy the conditions precedent set forth in paragraphs (a), (b) or (c) of this Section, unless otherwise directed by the Required Lenders, the Administrative Agent may, but shall have no obligation to, continue to make Loans and an Issuing Bank may, but shall have no obligation to, issue, amend, renew or extend, or cause to be issued, amended, renewed or extended, any Letter of Credit for the ratable account and risk of Lenders from time to time if the Administrative Agent believes that making such Loans or issuing, amending, renewing or extending, or causing the issuance, amendment, renewal or extension of, any such Letter of Credit is in the best interests of the Lenders.</w:t>
      </w: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SECTION 5.01.</w:t>
      </w:r>
      <w:r>
        <w:rPr>
          <w:rFonts w:ascii="Arial" w:cs="Arial" w:eastAsia="Arial" w:hAnsi="Arial"/>
          <w:sz w:val="19"/>
          <w:szCs w:val="19"/>
          <w:u w:val="single" w:color="auto"/>
          <w:color w:val="auto"/>
        </w:rPr>
        <w:t>Financial Statements and Other Information</w:t>
      </w:r>
      <w:r>
        <w:rPr>
          <w:rFonts w:ascii="Arial" w:cs="Arial" w:eastAsia="Arial" w:hAnsi="Arial"/>
          <w:sz w:val="19"/>
          <w:szCs w:val="19"/>
          <w:color w:val="auto"/>
        </w:rPr>
        <w:t>. The Borrowers will furnish to the Administrative Agent and each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jc w:val="both"/>
        <w:ind w:left="660" w:firstLine="644"/>
        <w:spacing w:after="0" w:line="257" w:lineRule="auto"/>
        <w:tabs>
          <w:tab w:leader="none" w:pos="1946" w:val="left"/>
        </w:tabs>
        <w:numPr>
          <w:ilvl w:val="1"/>
          <w:numId w:val="102"/>
        </w:numPr>
        <w:rPr>
          <w:rFonts w:ascii="Arial" w:cs="Arial" w:eastAsia="Arial" w:hAnsi="Arial"/>
          <w:sz w:val="19"/>
          <w:szCs w:val="19"/>
          <w:color w:val="auto"/>
        </w:rPr>
      </w:pPr>
      <w:r>
        <w:rPr>
          <w:rFonts w:ascii="Arial" w:cs="Arial" w:eastAsia="Arial" w:hAnsi="Arial"/>
          <w:sz w:val="19"/>
          <w:szCs w:val="19"/>
          <w:color w:val="auto"/>
        </w:rPr>
        <w:t>within one hundred twenty (120)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PricewaterhouseCoopers LLP or other independent public accountants reasonably acceptable to the Required Lenders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accompanied by any management letter prepared by said accountants;</w:t>
      </w:r>
    </w:p>
    <w:p>
      <w:pPr>
        <w:spacing w:after="0" w:line="180" w:lineRule="exact"/>
        <w:rPr>
          <w:rFonts w:ascii="Arial" w:cs="Arial" w:eastAsia="Arial" w:hAnsi="Arial"/>
          <w:sz w:val="19"/>
          <w:szCs w:val="19"/>
          <w:color w:val="auto"/>
        </w:rPr>
      </w:pPr>
    </w:p>
    <w:p>
      <w:pPr>
        <w:jc w:val="both"/>
        <w:ind w:left="660" w:firstLine="644"/>
        <w:spacing w:after="0" w:line="274" w:lineRule="auto"/>
        <w:tabs>
          <w:tab w:leader="none" w:pos="194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beginning June 30, 2021, within forty-five (45) days after the end of each of the first three fiscal quarters of each fiscal year of the Company,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68" w:lineRule="exact"/>
        <w:rPr>
          <w:rFonts w:ascii="Arial" w:cs="Arial" w:eastAsia="Arial" w:hAnsi="Arial"/>
          <w:sz w:val="18"/>
          <w:szCs w:val="18"/>
          <w:color w:val="auto"/>
        </w:rPr>
      </w:pPr>
    </w:p>
    <w:p>
      <w:pPr>
        <w:ind w:left="1940" w:hanging="636"/>
        <w:spacing w:after="0"/>
        <w:tabs>
          <w:tab w:leader="none" w:pos="194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concurrently with any delivery of financial statements under clause (a) or (b) above, a Compliance Certificate</w:t>
      </w:r>
    </w:p>
    <w:p>
      <w:pPr>
        <w:spacing w:after="0" w:line="27" w:lineRule="exact"/>
        <w:rPr>
          <w:rFonts w:ascii="Arial" w:cs="Arial" w:eastAsia="Arial" w:hAnsi="Arial"/>
          <w:sz w:val="19"/>
          <w:szCs w:val="19"/>
          <w:color w:val="auto"/>
        </w:rPr>
      </w:pPr>
    </w:p>
    <w:p>
      <w:pPr>
        <w:ind w:left="660" w:hanging="4"/>
        <w:spacing w:after="0" w:line="244" w:lineRule="auto"/>
        <w:tabs>
          <w:tab w:leader="none" w:pos="903" w:val="left"/>
        </w:tabs>
        <w:numPr>
          <w:ilvl w:val="0"/>
          <w:numId w:val="103"/>
        </w:numPr>
        <w:rPr>
          <w:rFonts w:ascii="Arial" w:cs="Arial" w:eastAsia="Arial" w:hAnsi="Arial"/>
          <w:sz w:val="20"/>
          <w:szCs w:val="20"/>
          <w:color w:val="auto"/>
        </w:rPr>
      </w:pPr>
      <w:r>
        <w:rPr>
          <w:rFonts w:ascii="Arial" w:cs="Arial" w:eastAsia="Arial" w:hAnsi="Arial"/>
          <w:sz w:val="20"/>
          <w:szCs w:val="20"/>
          <w:color w:val="auto"/>
        </w:rPr>
        <w:t>certifying, in the case of the financial statements delivered under clause (b) above, as presenting fairly in all material respects the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6" w:name="page117"/>
    <w:bookmarkEnd w:id="116"/>
    <w:p>
      <w:pPr>
        <w:jc w:val="both"/>
        <w:ind w:left="660"/>
        <w:spacing w:after="0" w:line="243" w:lineRule="auto"/>
        <w:rPr>
          <w:sz w:val="20"/>
          <w:szCs w:val="20"/>
          <w:color w:val="auto"/>
        </w:rPr>
      </w:pPr>
      <w:r>
        <w:rPr>
          <w:rFonts w:ascii="Arial" w:cs="Arial" w:eastAsia="Arial" w:hAnsi="Arial"/>
          <w:sz w:val="20"/>
          <w:szCs w:val="20"/>
          <w:color w:val="auto"/>
        </w:rPr>
        <w:t>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3" w:lineRule="exact"/>
        <w:rPr>
          <w:sz w:val="20"/>
          <w:szCs w:val="20"/>
          <w:color w:val="auto"/>
        </w:rPr>
      </w:pPr>
    </w:p>
    <w:p>
      <w:pPr>
        <w:ind w:left="1940" w:hanging="636"/>
        <w:spacing w:after="0"/>
        <w:tabs>
          <w:tab w:leader="none" w:pos="194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46"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as soon as available, but in any event no later than sixty (60) days following the end of the end of each fiscal year of the Company, a copy of the plan and forecast (including a projected consolidated balance sheet, income statement and cash flow statement) of the Borrowers for each month of the upcoming fiscal year (the “</w:t>
      </w:r>
      <w:r>
        <w:rPr>
          <w:rFonts w:ascii="Arial" w:cs="Arial" w:eastAsia="Arial" w:hAnsi="Arial"/>
          <w:sz w:val="20"/>
          <w:szCs w:val="20"/>
          <w:u w:val="single" w:color="auto"/>
          <w:color w:val="auto"/>
        </w:rPr>
        <w:t>Projections</w:t>
      </w:r>
      <w:r>
        <w:rPr>
          <w:rFonts w:ascii="Arial" w:cs="Arial" w:eastAsia="Arial" w:hAnsi="Arial"/>
          <w:sz w:val="20"/>
          <w:szCs w:val="20"/>
          <w:color w:val="auto"/>
        </w:rPr>
        <w:t>”) in form reasonably satisfactory to the Administrative Agent;</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951"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Company to its shareholders generally, as the case may be;</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promptly after receipt thereof by any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any Borrower or any Subsidiary thereof;</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promptly following any request therefor, copies of any detailed audit reports, management letters or recommendations submitted to the board of directors (or the audit committee of the board of directors) of any Borrower by independent accountants in connection with the accounts or books of the Borrower or any Subsidiary, or any audit of any of them as the Administrative Agent or any Lender (through the Administrative Agent) may reasonably request;</w:t>
      </w:r>
    </w:p>
    <w:p>
      <w:pPr>
        <w:spacing w:after="0" w:line="191" w:lineRule="exact"/>
        <w:rPr>
          <w:rFonts w:ascii="Arial" w:cs="Arial" w:eastAsia="Arial" w:hAnsi="Arial"/>
          <w:sz w:val="20"/>
          <w:szCs w:val="20"/>
          <w:color w:val="auto"/>
        </w:rPr>
      </w:pPr>
    </w:p>
    <w:p>
      <w:pPr>
        <w:jc w:val="both"/>
        <w:ind w:left="660" w:firstLine="644"/>
        <w:spacing w:after="0" w:line="243" w:lineRule="auto"/>
        <w:tabs>
          <w:tab w:leader="none" w:pos="195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promptly following any request therefor, (x) such other information regarding the operations, changes in ownership of Equity Interests, business affairs and financial condition of any Loan Party or any Subsidiary, or compliance with the terms of this Agreement, as the Administrative Agent or any Lender (through Administrative Agent) may reasonably request and (y) information and documentation reasonably requested by the Administrative Agent or any Lender for purposes of compliance with applicable “know your customer” and anti-money laundering rules and regulations, including the USA PATRIOT Act and the Beneficial Ownership Regulation; and</w:t>
      </w:r>
    </w:p>
    <w:p>
      <w:pPr>
        <w:spacing w:after="0" w:line="195" w:lineRule="exact"/>
        <w:rPr>
          <w:rFonts w:ascii="Arial" w:cs="Arial" w:eastAsia="Arial" w:hAnsi="Arial"/>
          <w:sz w:val="20"/>
          <w:szCs w:val="20"/>
          <w:color w:val="auto"/>
        </w:rPr>
      </w:pPr>
    </w:p>
    <w:p>
      <w:pPr>
        <w:jc w:val="both"/>
        <w:ind w:left="660" w:firstLine="644"/>
        <w:spacing w:after="0" w:line="291" w:lineRule="auto"/>
        <w:tabs>
          <w:tab w:leader="none" w:pos="19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after any request therefor by the Administrative Agent or any Lender, copies of (i) any documents described in Section 101(k)(1) of ERISA that the Company or any ERISA Affiliate may have requested with respect to any Multiemployer Plan and (ii) any notices described in Section 101(l)(1) of ERISA that the Company or any ERISA Affiliate may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7" w:name="page118"/>
    <w:bookmarkEnd w:id="117"/>
    <w:p>
      <w:pPr>
        <w:jc w:val="both"/>
        <w:ind w:left="660"/>
        <w:spacing w:after="0" w:line="246" w:lineRule="auto"/>
        <w:rPr>
          <w:sz w:val="20"/>
          <w:szCs w:val="20"/>
          <w:color w:val="auto"/>
        </w:rPr>
      </w:pPr>
      <w:r>
        <w:rPr>
          <w:rFonts w:ascii="Arial" w:cs="Arial" w:eastAsia="Arial" w:hAnsi="Arial"/>
          <w:sz w:val="20"/>
          <w:szCs w:val="20"/>
          <w:color w:val="auto"/>
        </w:rPr>
        <w:t>requested with respect to any Multiemployer Plan; provided that if the Company or any ERISA Affiliate has not requested such documents or notices from the administrator or sponsor of the applicable Multiemployer Plan, the Company or the applicable ERISA Affiliate shall promptly make a request for such documents and notices from such administrator or sponsor and shall provide copies of such documents and notices promptly after receipt thereof.</w:t>
      </w:r>
    </w:p>
    <w:p>
      <w:pPr>
        <w:spacing w:after="0" w:line="1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Documents required to be delivered pursuant to Section 5.01(a), (b) or (f)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facsimile or through Electronic System) of the posting of any such documents and provide to the Administrative Agent through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the Borrowers with any such request by a Lender for delivery, and each Lender shall be solely responsible for timely accessing posted documents or requesting delivery of paper copies of such document to it and maintaining its copies of such documents.</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SECTION 5.02.</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The Borrowers will furnish to the Administrative Agent and each Lender prompt (but in any event within any time period that may be specified below) written notice of the following:</w:t>
      </w:r>
    </w:p>
    <w:p>
      <w:pPr>
        <w:spacing w:after="0" w:line="177" w:lineRule="exact"/>
        <w:rPr>
          <w:sz w:val="20"/>
          <w:szCs w:val="20"/>
          <w:color w:val="auto"/>
        </w:rPr>
      </w:pPr>
    </w:p>
    <w:p>
      <w:pPr>
        <w:ind w:left="1940" w:hanging="636"/>
        <w:spacing w:after="0"/>
        <w:tabs>
          <w:tab w:leader="none" w:pos="19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15" w:lineRule="exact"/>
        <w:rPr>
          <w:rFonts w:ascii="Arial" w:cs="Arial" w:eastAsia="Arial" w:hAnsi="Arial"/>
          <w:sz w:val="20"/>
          <w:szCs w:val="20"/>
          <w:color w:val="auto"/>
        </w:rPr>
      </w:pPr>
    </w:p>
    <w:p>
      <w:pPr>
        <w:jc w:val="both"/>
        <w:ind w:left="660" w:firstLine="644"/>
        <w:spacing w:after="0" w:line="271" w:lineRule="auto"/>
        <w:tabs>
          <w:tab w:leader="none" w:pos="19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receipt of any notice of any investigation by a Governmental Authority or any litigation or proceeding commenced or threatened in writing against any Loan Party or any Subsidiary that (i) if adversely determined could reasonably be expected to result in damages in excess of $10,000,000 (and not covered by insurance), (ii) seeks injunctive relief that could reasonably be expected to result in a Material Adverse Effect,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in each case if adversely determined could reasonably be expected to result in a Material Adverse Effect, (vi) asserts tax liens on the part of any Loan Party or any Subsidiary in respect of any unpaid tax, fee, assessment, or other governmental charge in each case if adversely determined could reasonably be expected to result in damages in excess of $2,500,000 (and not covered by insurance), and except to the extent contested in good faith, or (vii) involves any product recall with a reasonably expected cost in excess of the amount reimbursable by insurance, for which coverage has not been denied, of greater than $5,000,000;</w:t>
      </w:r>
    </w:p>
    <w:p>
      <w:pPr>
        <w:spacing w:after="0" w:line="169" w:lineRule="exact"/>
        <w:rPr>
          <w:rFonts w:ascii="Arial" w:cs="Arial" w:eastAsia="Arial" w:hAnsi="Arial"/>
          <w:sz w:val="18"/>
          <w:szCs w:val="18"/>
          <w:color w:val="auto"/>
        </w:rPr>
      </w:pPr>
    </w:p>
    <w:p>
      <w:pPr>
        <w:ind w:left="660" w:firstLine="644"/>
        <w:spacing w:after="0" w:line="260" w:lineRule="auto"/>
        <w:tabs>
          <w:tab w:leader="none" w:pos="194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material change in accounting or financial reporting practices by any Borrower or any Subsidiary (except to the extent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8" w:name="page119"/>
    <w:bookmarkEnd w:id="118"/>
    <w:p>
      <w:pPr>
        <w:ind w:left="660" w:firstLine="644"/>
        <w:spacing w:after="0" w:line="260" w:lineRule="auto"/>
        <w:tabs>
          <w:tab w:leader="none" w:pos="194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left="660" w:firstLine="644"/>
        <w:spacing w:after="0" w:line="316" w:lineRule="auto"/>
        <w:tabs>
          <w:tab w:leader="none" w:pos="19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within two (2) Business Days after the occurrence thereof, any Loan Party entering into a Swap Agreement or an amendment to a Swap Agreement, together with copies of all agreements evidencing such Swap Agreement or amendment;</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 and</w:t>
      </w:r>
    </w:p>
    <w:p>
      <w:pPr>
        <w:spacing w:after="0" w:line="238" w:lineRule="exact"/>
        <w:rPr>
          <w:rFonts w:ascii="Arial" w:cs="Arial" w:eastAsia="Arial" w:hAnsi="Arial"/>
          <w:sz w:val="18"/>
          <w:szCs w:val="18"/>
          <w:color w:val="auto"/>
        </w:rPr>
      </w:pPr>
    </w:p>
    <w:p>
      <w:pPr>
        <w:ind w:left="660" w:firstLine="644"/>
        <w:spacing w:after="0" w:line="260" w:lineRule="auto"/>
        <w:tabs>
          <w:tab w:leader="none" w:pos="194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Each notice delivered under this Section (i) shall be in writing, (ii) shall contain a heading or a reference line that read reads “Notice under Section 5.02 of the Credit Agreement dated April 30, 2021, among THE HONEST COMPANY, INC., a Delaware corporation, as a Borrower, each other Borrower party thereto, the other Loan Parties party thereto, the Lenders party thereto, and JPMORGAN CHASE BANK, N.A., as Administrative Agent” and (iii)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SECTION 5.03.</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Each Loan Party will, and will cause each Subsidiary to,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except where the failure to maintain such authority could not reasonably be expected to have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consolidation, liquidation or dissolution permitted under Section 6.03.</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SEC5TION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Each Loan Party will, and will cause each Subsidiary to, pay or discharge all Material Indebtedness and all other material liabilities and obligations in excess of $10,000,000, including Taxes, before the same shall become delinquent or in default, except where (a) the validity or amount thereof is being contested in good faith by appropriate proceedings and such Loan Party or Subsidiary has set aside on its books adequate reserves with respect thereto in accordance with GAAP and (b) the failure to make payment pending such contest could not reasonably be expected to result in a Material Adverse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Loan Party will, and will cause each Subsidiary to, remit withholding taxes and other payroll taxes to appropriate Governmental Authorities as and when claimed to be due, notwithstanding the foregoing exceptions.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Each Loan Party will, and will cause each Subsidiary to, keep and maintain all property owned or leased by any Loan Party and which is material to the conduct of its business in good working order and condition, ordinary wear and tear excepted.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SECTION 5.06.</w:t>
      </w:r>
      <w:r>
        <w:rPr>
          <w:rFonts w:ascii="Arial" w:cs="Arial" w:eastAsia="Arial" w:hAnsi="Arial"/>
          <w:sz w:val="20"/>
          <w:szCs w:val="20"/>
          <w:u w:val="single" w:color="auto"/>
          <w:color w:val="auto"/>
        </w:rPr>
        <w:t>Books and Records; Inspection Rights</w:t>
      </w:r>
      <w:r>
        <w:rPr>
          <w:rFonts w:ascii="Arial" w:cs="Arial" w:eastAsia="Arial" w:hAnsi="Arial"/>
          <w:sz w:val="20"/>
          <w:szCs w:val="20"/>
          <w:color w:val="auto"/>
        </w:rPr>
        <w:t>.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19" w:name="page120"/>
    <w:bookmarkEnd w:id="119"/>
    <w:p>
      <w:pPr>
        <w:jc w:val="both"/>
        <w:spacing w:after="0" w:line="255" w:lineRule="auto"/>
        <w:rPr>
          <w:sz w:val="20"/>
          <w:szCs w:val="20"/>
          <w:color w:val="auto"/>
        </w:rPr>
      </w:pPr>
      <w:r>
        <w:rPr>
          <w:rFonts w:ascii="Arial" w:cs="Arial" w:eastAsia="Arial" w:hAnsi="Arial"/>
          <w:sz w:val="19"/>
          <w:szCs w:val="19"/>
          <w:color w:val="auto"/>
        </w:rPr>
        <w:t>retained by the Administrative Agent), upon reasonable prior notice and during business hours, to visit and inspect its properties, conduct at the Loan Party’s premises field examinations of the Loan Party’s assets, liabilities, books and records, including examining and making extracts from its books and records, environmental assessment reports and Phase I or Phase II studies, (other than (i) materials protected by the attorney-client privilege, (ii) materials which such Borrower or such Subsidiary, as applicable, may not disclose without violation of a confidentiality obligation binding upon it or the disclosure of which is prohibited by law or (iii) information that constitutes non-financial trade secrets or non-financial proprietary information that is not reasonably related to the actual or projected financial results or results of operations of the Company and its Subsidiaries), and to discuss its affairs, finances and condition with its officers and independent accountants (and hereby authorizes the Administrative Agent and each Lender to contact its independent accountants directly) all at such reasonable times; provided that if no Event of Default has occurred and is continuing, the Administrative Agent shall not conduct more than one field examination in any 12 month period. The Loan Parties acknowledge that the Administrative Agent, after exercising its rights of inspection, may prepare and distribute to the Lenders certain Reports pertaining to the Loan Parties’ assets for internal use by the Administrative Agent and the Lenders.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SECTION 5.07.</w:t>
      </w:r>
      <w:r>
        <w:rPr>
          <w:rFonts w:ascii="Arial" w:cs="Arial" w:eastAsia="Arial" w:hAnsi="Arial"/>
          <w:sz w:val="19"/>
          <w:szCs w:val="19"/>
          <w:u w:val="single" w:color="auto"/>
          <w:color w:val="auto"/>
        </w:rPr>
        <w:t>Compliance with Laws and Material Contractual Obligations.</w:t>
      </w:r>
      <w:r>
        <w:rPr>
          <w:rFonts w:ascii="Arial" w:cs="Arial" w:eastAsia="Arial" w:hAnsi="Arial"/>
          <w:sz w:val="19"/>
          <w:szCs w:val="19"/>
          <w:color w:val="auto"/>
        </w:rPr>
        <w:t xml:space="preserve"> Each Loan Party will, and will cause each Subsidiary to, (i) comply with each Requirement of Law applicable to it or its property (including without limitation Environmental Laws) and (ii)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5.08.</w:t>
      </w:r>
      <w:r>
        <w:rPr>
          <w:rFonts w:ascii="Arial" w:cs="Arial" w:eastAsia="Arial" w:hAnsi="Arial"/>
          <w:sz w:val="20"/>
          <w:szCs w:val="20"/>
          <w:u w:val="single" w:color="auto"/>
          <w:color w:val="auto"/>
        </w:rPr>
        <w:t>Use of Proceeds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46" w:lineRule="auto"/>
        <w:tabs>
          <w:tab w:leader="none" w:pos="194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proceeds of the Loans and the Letters of Credit will be used only for working capital and other general corporate purposes, including for Acquisitions. No part of the proceeds of any Loan and no Letter of Credit will be used, whether directly or indirectly for any purpose that entails a violation of any of the regulations of the Federal Reserve Board, including Regulations T, U and X.</w:t>
      </w:r>
    </w:p>
    <w:p>
      <w:pPr>
        <w:spacing w:after="0" w:line="191" w:lineRule="exact"/>
        <w:rPr>
          <w:rFonts w:ascii="Arial" w:cs="Arial" w:eastAsia="Arial" w:hAnsi="Arial"/>
          <w:sz w:val="20"/>
          <w:szCs w:val="20"/>
          <w:color w:val="auto"/>
        </w:rPr>
      </w:pPr>
    </w:p>
    <w:p>
      <w:pPr>
        <w:jc w:val="both"/>
        <w:ind w:left="660" w:firstLine="644"/>
        <w:spacing w:after="0" w:line="243" w:lineRule="auto"/>
        <w:tabs>
          <w:tab w:leader="none" w:pos="19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Borrowers will not request any Borrowing or Letter of Credit, and no Borrower shall use, and each Borrower shall procure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SECTION 5.09.</w:t>
      </w:r>
      <w:r>
        <w:rPr>
          <w:rFonts w:ascii="Arial" w:cs="Arial" w:eastAsia="Arial" w:hAnsi="Arial"/>
          <w:sz w:val="20"/>
          <w:szCs w:val="20"/>
          <w:u w:val="single" w:color="auto"/>
          <w:color w:val="auto"/>
        </w:rPr>
        <w:t>Accuracy of Information</w:t>
      </w:r>
      <w:r>
        <w:rPr>
          <w:rFonts w:ascii="Arial" w:cs="Arial" w:eastAsia="Arial" w:hAnsi="Arial"/>
          <w:sz w:val="20"/>
          <w:szCs w:val="20"/>
          <w:color w:val="auto"/>
        </w:rPr>
        <w:t>. The Loan Parties will ensure that any information, including financial statements or other documents (other than Projections, other projected financial information, forward looking statements and statements of a general economic nature), furnished to the Administrative Agent or the Lenders in connection with this Agreement or any other Loan Document or any amendment or modification hereof or thereof or waiver hereunder or thereunder (as modified or supplemented by other information so furnished), when taken as a whole, contains no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0" w:name="page121"/>
    <w:bookmarkEnd w:id="120"/>
    <w:p>
      <w:pPr>
        <w:jc w:val="both"/>
        <w:spacing w:after="0" w:line="257" w:lineRule="auto"/>
        <w:rPr>
          <w:sz w:val="20"/>
          <w:szCs w:val="20"/>
          <w:color w:val="auto"/>
        </w:rPr>
      </w:pPr>
      <w:r>
        <w:rPr>
          <w:rFonts w:ascii="Arial" w:cs="Arial" w:eastAsia="Arial" w:hAnsi="Arial"/>
          <w:sz w:val="19"/>
          <w:szCs w:val="19"/>
          <w:color w:val="auto"/>
        </w:rPr>
        <w:t>misstatement of fact or omits to state any material fact necessary to make the statements therein, in the light of the circumstances under which they were made, not materially misleading, and the furnishing of such information shall be deemed to be a representation and warranty by the Borrowers on the date thereof as to the matters specified in this Section 5.09; provided that, with respect to the Projections or any other projected financial information, the Loan Parties will cause the Projections to be prepared in good faith based upon assumptions believed to be reasonable at the time, it being understood and agreed that such Projections and other projected financial information are subject to uncertainties and contingencies, many of which are beyond the control of the Loan Parties, and as such, such Projections and other projected financial information is not a guarantee of financial performance and actual results may differ from such Projections and other projected financial information and such difference may be material.</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SECTION 5.10.</w:t>
      </w:r>
      <w:r>
        <w:rPr>
          <w:rFonts w:ascii="Arial" w:cs="Arial" w:eastAsia="Arial" w:hAnsi="Arial"/>
          <w:sz w:val="18"/>
          <w:szCs w:val="18"/>
          <w:u w:val="single" w:color="auto"/>
          <w:color w:val="auto"/>
        </w:rPr>
        <w:t>Insurance</w:t>
      </w:r>
      <w:r>
        <w:rPr>
          <w:rFonts w:ascii="Arial" w:cs="Arial" w:eastAsia="Arial" w:hAnsi="Arial"/>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the reasonable request of the Administrative Agent, but no less frequently than annually, information in reasonable detail as to the insurance so maintained.</w:t>
      </w:r>
    </w:p>
    <w:p>
      <w:pPr>
        <w:spacing w:after="0" w:line="16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SECTION 5.11.</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The Borrowers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5.12.</w:t>
      </w:r>
      <w:r>
        <w:rPr>
          <w:rFonts w:ascii="Arial" w:cs="Arial" w:eastAsia="Arial" w:hAnsi="Arial"/>
          <w:sz w:val="20"/>
          <w:szCs w:val="20"/>
          <w:u w:val="single" w:color="auto"/>
          <w:color w:val="auto"/>
        </w:rPr>
        <w:t>Depository Banks</w:t>
      </w:r>
      <w:r>
        <w:rPr>
          <w:rFonts w:ascii="Arial" w:cs="Arial" w:eastAsia="Arial" w:hAnsi="Arial"/>
          <w:sz w:val="20"/>
          <w:szCs w:val="20"/>
          <w:color w:val="auto"/>
        </w:rPr>
        <w:t>. Each Loan Party and each Subsidiary will maintain the Administrative Agent as its principal depository bank, including for the maintenance of operating, administrative, cash management, collection activity, and other deposit accounts for the conduct of its business.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5.13.</w:t>
      </w:r>
      <w:r>
        <w:rPr>
          <w:rFonts w:ascii="Arial" w:cs="Arial" w:eastAsia="Arial" w:hAnsi="Arial"/>
          <w:sz w:val="20"/>
          <w:szCs w:val="20"/>
          <w:u w:val="single" w:color="auto"/>
          <w:color w:val="auto"/>
        </w:rPr>
        <w:t>Additional Collateral; Further Assurances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6" w:lineRule="auto"/>
        <w:tabs>
          <w:tab w:leader="none" w:pos="194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Subject to applicable Requirement of Law, each Loan Party will cause each Material Domestic Subsidiary (other than a Foreign Subsidiary Holdco or CFC) formed or acquired after the date of this Agreement to become a Loan Party by executing a Joinder Agreement within ten (10) Business Days of the formation or acquisition thereof.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1" w:name="page122"/>
    <w:bookmarkEnd w:id="121"/>
    <w:p>
      <w:pPr>
        <w:jc w:val="both"/>
        <w:ind w:left="660" w:firstLine="644"/>
        <w:spacing w:after="0" w:line="274" w:lineRule="auto"/>
        <w:tabs>
          <w:tab w:leader="none" w:pos="19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Loan Party will cause (i) 100% of the issued and outstanding Equity Interests of each of its Domestic Subsidiaries (other than a Foreign Subsidiary Holdco or CFC) and (ii) 65% of the issued and outstanding Equity Interests entitled to vote (within the meaning of Treas. Reg. Section 1.956-2(c)(2)) and 100% of the issued and outstanding Equity Interests not entitled to vote (within the meaning of Treas. Reg. Section 1.956-2(c)(2)) in each Foreign Subsidiary directly owned by such Loan Party, in each case, to be subject at all times to a first priority, perfected Lien in favor of the Administrative Agent for the benefit of the Administrative Agent and the other Secured Parties, subject to Liens permitted by Section 6.02, pursuant to the terms and conditions of the Loan Documents or other security documents as the Administrative Agent shall reasonably request.</w:t>
      </w:r>
    </w:p>
    <w:p>
      <w:pPr>
        <w:spacing w:after="0" w:line="168" w:lineRule="exact"/>
        <w:rPr>
          <w:rFonts w:ascii="Arial" w:cs="Arial" w:eastAsia="Arial" w:hAnsi="Arial"/>
          <w:sz w:val="18"/>
          <w:szCs w:val="18"/>
          <w:color w:val="auto"/>
        </w:rPr>
      </w:pPr>
    </w:p>
    <w:p>
      <w:pPr>
        <w:jc w:val="both"/>
        <w:ind w:left="660" w:firstLine="644"/>
        <w:spacing w:after="0" w:line="257" w:lineRule="auto"/>
        <w:tabs>
          <w:tab w:leader="none" w:pos="194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Without limiting the foregoing, each Loan Party will, and will cause each Domestic Subsidiary (other than a Foreign Subsidiary Holdco or CFC) to,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80" w:lineRule="exact"/>
        <w:rPr>
          <w:rFonts w:ascii="Arial" w:cs="Arial" w:eastAsia="Arial" w:hAnsi="Arial"/>
          <w:sz w:val="19"/>
          <w:szCs w:val="19"/>
          <w:color w:val="auto"/>
        </w:rPr>
      </w:pPr>
    </w:p>
    <w:p>
      <w:pPr>
        <w:jc w:val="both"/>
        <w:ind w:left="660" w:firstLine="644"/>
        <w:spacing w:after="0" w:line="243" w:lineRule="auto"/>
        <w:tabs>
          <w:tab w:leader="none" w:pos="194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any material assets are acquired by any Loan Party after the Effective Date (other than Excluded Collateral and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u w:val="single" w:color="auto"/>
          <w:color w:val="auto"/>
        </w:rPr>
        <w:t>Post-Closing Obligations</w:t>
      </w:r>
      <w:r>
        <w:rPr>
          <w:rFonts w:ascii="Arial" w:cs="Arial" w:eastAsia="Arial" w:hAnsi="Arial"/>
          <w:sz w:val="20"/>
          <w:szCs w:val="20"/>
          <w:color w:val="auto"/>
        </w:rPr>
        <w:t xml:space="preserve">. Each Loan Party shall take each of the actions and/or deliver each of the documents, instruments, agreements or other information described on </w:t>
      </w:r>
      <w:r>
        <w:rPr>
          <w:rFonts w:ascii="Arial" w:cs="Arial" w:eastAsia="Arial" w:hAnsi="Arial"/>
          <w:sz w:val="20"/>
          <w:szCs w:val="20"/>
          <w:u w:val="single" w:color="auto"/>
          <w:color w:val="auto"/>
        </w:rPr>
        <w:t>Schedule 5.14</w:t>
      </w:r>
      <w:r>
        <w:rPr>
          <w:rFonts w:ascii="Arial" w:cs="Arial" w:eastAsia="Arial" w:hAnsi="Arial"/>
          <w:sz w:val="20"/>
          <w:szCs w:val="20"/>
          <w:color w:val="auto"/>
        </w:rPr>
        <w:t xml:space="preserve"> hereto on or before the date set forth thereon (or such later date as the Administrative Agent shall agree in its sole discretion), in each case, in form and substance reasonably satisfactory to the Administrative Agent.</w:t>
      </w:r>
    </w:p>
    <w:p>
      <w:pPr>
        <w:spacing w:after="0" w:line="2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VI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Until all of the Secured Obligations shall have been Paid in Full, each Loan Party executing this Agreement covenants and agrees, jointly and severally with all of the other Loan Parties, with the Lenders that: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u w:val="single" w:color="auto"/>
          <w:color w:val="auto"/>
        </w:rPr>
        <w:t>Indebtedness</w:t>
      </w:r>
      <w:r>
        <w:rPr>
          <w:rFonts w:ascii="Arial" w:cs="Arial" w:eastAsia="Arial" w:hAnsi="Arial"/>
          <w:sz w:val="18"/>
          <w:szCs w:val="18"/>
          <w:color w:val="auto"/>
        </w:rPr>
        <w:t>. No Loan Party will, nor will it permit any Subsidiary to, create, incur, assume or suffer to exist any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Indebtedness,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2" w:name="page123"/>
    <w:bookmarkEnd w:id="122"/>
    <w:p>
      <w:pPr>
        <w:ind w:left="1940" w:hanging="636"/>
        <w:spacing w:after="0"/>
        <w:tabs>
          <w:tab w:leader="none" w:pos="194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the Secured Obligations;</w:t>
      </w:r>
    </w:p>
    <w:p>
      <w:pPr>
        <w:spacing w:after="0" w:line="215"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Indebtedness existing on the date hereof and set forth in </w:t>
      </w:r>
      <w:r>
        <w:rPr>
          <w:rFonts w:ascii="Arial" w:cs="Arial" w:eastAsia="Arial" w:hAnsi="Arial"/>
          <w:sz w:val="20"/>
          <w:szCs w:val="20"/>
          <w:u w:val="single" w:color="auto"/>
          <w:color w:val="auto"/>
        </w:rPr>
        <w:t>Schedule 6.01</w:t>
      </w:r>
      <w:r>
        <w:rPr>
          <w:rFonts w:ascii="Arial" w:cs="Arial" w:eastAsia="Arial" w:hAnsi="Arial"/>
          <w:sz w:val="20"/>
          <w:szCs w:val="20"/>
          <w:color w:val="auto"/>
        </w:rPr>
        <w:t xml:space="preserve"> and any extensions, renewals, refinancings and replacements of any such Indebtedness in accordance with clause (f) hereof;</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46"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Indebtedness of (i) any Loan Party or any Subsidiary to (ii) any other Loan Party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91"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 xml:space="preserve">Guarantees by any Loan Party or any Subsidiary of the Indebtedness of any Loan Party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Indebtedness so Guaranteed is permitted by this Section 6.01, (ii) Guarantees by any Borrower or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94" w:lineRule="exact"/>
        <w:rPr>
          <w:rFonts w:ascii="Arial" w:cs="Arial" w:eastAsia="Arial" w:hAnsi="Arial"/>
          <w:sz w:val="20"/>
          <w:szCs w:val="20"/>
          <w:color w:val="auto"/>
        </w:rPr>
      </w:pPr>
    </w:p>
    <w:p>
      <w:pPr>
        <w:jc w:val="both"/>
        <w:ind w:left="660" w:firstLine="644"/>
        <w:spacing w:after="0" w:line="304" w:lineRule="auto"/>
        <w:tabs>
          <w:tab w:leader="none" w:pos="1946"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Indebtedness of any Borrower or any Subsidiary incurred to finance the acquisition, construction, repair, replacement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w:t>
      </w:r>
    </w:p>
    <w:p>
      <w:pPr>
        <w:spacing w:after="0" w:line="1" w:lineRule="exact"/>
        <w:rPr>
          <w:rFonts w:ascii="Arial" w:cs="Arial" w:eastAsia="Arial" w:hAnsi="Arial"/>
          <w:sz w:val="16"/>
          <w:szCs w:val="16"/>
          <w:color w:val="auto"/>
        </w:rPr>
      </w:pPr>
    </w:p>
    <w:p>
      <w:pPr>
        <w:jc w:val="both"/>
        <w:ind w:left="660" w:hanging="4"/>
        <w:spacing w:after="0" w:line="281" w:lineRule="auto"/>
        <w:tabs>
          <w:tab w:leader="none" w:pos="91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$10,000,000 per fiscal year;</w:t>
      </w:r>
    </w:p>
    <w:p>
      <w:pPr>
        <w:spacing w:after="0" w:line="161" w:lineRule="exact"/>
        <w:rPr>
          <w:rFonts w:ascii="Arial" w:cs="Arial" w:eastAsia="Arial" w:hAnsi="Arial"/>
          <w:sz w:val="18"/>
          <w:szCs w:val="18"/>
          <w:color w:val="auto"/>
        </w:rPr>
      </w:pPr>
    </w:p>
    <w:p>
      <w:pPr>
        <w:jc w:val="both"/>
        <w:ind w:left="660" w:firstLine="644"/>
        <w:spacing w:after="0" w:line="270" w:lineRule="auto"/>
        <w:tabs>
          <w:tab w:leader="none" w:pos="195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Indebtedness which represents extensions, renewals, refinancing or replacements (such Indebtedness being so extended, renewed, refinanced or replaced being referred to herein as the “</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xml:space="preserve">”) of any of the Indebtedness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hereof (such Indebtedness being referred to herein as the “</w:t>
      </w:r>
      <w:r>
        <w:rPr>
          <w:rFonts w:ascii="Arial" w:cs="Arial" w:eastAsia="Arial" w:hAnsi="Arial"/>
          <w:sz w:val="18"/>
          <w:szCs w:val="18"/>
          <w:u w:val="single" w:color="auto"/>
          <w:color w:val="auto"/>
        </w:rPr>
        <w:t>Original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materially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75" w:lineRule="exact"/>
        <w:rPr>
          <w:rFonts w:ascii="Arial" w:cs="Arial" w:eastAsia="Arial" w:hAnsi="Arial"/>
          <w:sz w:val="18"/>
          <w:szCs w:val="18"/>
          <w:color w:val="auto"/>
        </w:rPr>
      </w:pPr>
    </w:p>
    <w:p>
      <w:pPr>
        <w:ind w:left="660" w:right="20" w:firstLine="644"/>
        <w:spacing w:after="0" w:line="260" w:lineRule="auto"/>
        <w:tabs>
          <w:tab w:leader="none" w:pos="1944" w:val="left"/>
        </w:tabs>
        <w:numPr>
          <w:ilvl w:val="1"/>
          <w:numId w:val="111"/>
        </w:numPr>
        <w:rPr>
          <w:rFonts w:ascii="Arial" w:cs="Arial" w:eastAsia="Arial" w:hAnsi="Arial"/>
          <w:sz w:val="20"/>
          <w:szCs w:val="20"/>
          <w:color w:val="auto"/>
        </w:rPr>
      </w:pPr>
      <w:r>
        <w:rPr>
          <w:rFonts w:ascii="Arial" w:cs="Arial" w:eastAsia="Arial" w:hAnsi="Arial"/>
          <w:sz w:val="20"/>
          <w:szCs w:val="20"/>
          <w:color w:val="auto"/>
        </w:rPr>
        <w:t>Indebtedness owed to any Person providing workers’ compensation, health, disability or other employee benefits or property, casualty or liability insurance,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20"/>
          <w:szCs w:val="20"/>
          <w:color w:val="auto"/>
        </w:rPr>
        <w:t>reimbursement or indemnification obligations to such Person, in each case incurred in the ordinary course of business;</w:t>
      </w:r>
    </w:p>
    <w:p>
      <w:pPr>
        <w:spacing w:after="0" w:line="216" w:lineRule="exact"/>
        <w:rPr>
          <w:sz w:val="20"/>
          <w:szCs w:val="20"/>
          <w:color w:val="auto"/>
        </w:rPr>
      </w:pPr>
    </w:p>
    <w:p>
      <w:pPr>
        <w:ind w:left="660" w:right="20" w:firstLine="644"/>
        <w:spacing w:after="0" w:line="260" w:lineRule="auto"/>
        <w:tabs>
          <w:tab w:leader="none" w:pos="19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of any Loan Party in respect of performance bonds, bid bonds, appeal bonds, surety bonds and similar obligations, in each case provided in the ordinary course of business;</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Indebtedness of any Person that becomes a Subsidiary after the date hereof (including in connection with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(j) together with any Refinance Indebtedness in respect thereof permitted by clause (f) above, shall not exceed $5,000,000 per fiscal year;</w:t>
      </w:r>
    </w:p>
    <w:p>
      <w:pPr>
        <w:spacing w:after="0" w:line="194" w:lineRule="exact"/>
        <w:rPr>
          <w:rFonts w:ascii="Arial" w:cs="Arial" w:eastAsia="Arial" w:hAnsi="Arial"/>
          <w:sz w:val="20"/>
          <w:szCs w:val="20"/>
          <w:color w:val="auto"/>
        </w:rPr>
      </w:pPr>
    </w:p>
    <w:p>
      <w:pPr>
        <w:ind w:left="660" w:firstLine="644"/>
        <w:spacing w:after="0" w:line="316" w:lineRule="auto"/>
        <w:tabs>
          <w:tab w:leader="none" w:pos="19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Subordinated Indebtedness, so long as after giving effect to the incurrence thereof, the Total Net Leverage Ratio, on a pro forma basis, does not exceed the applicable maximum Total Net Leverage Ratio permitted under Section 6.12 at such time.</w:t>
      </w:r>
    </w:p>
    <w:p>
      <w:pPr>
        <w:spacing w:after="0" w:line="129" w:lineRule="exact"/>
        <w:rPr>
          <w:rFonts w:ascii="Arial" w:cs="Arial" w:eastAsia="Arial" w:hAnsi="Arial"/>
          <w:sz w:val="18"/>
          <w:szCs w:val="18"/>
          <w:color w:val="auto"/>
        </w:rPr>
      </w:pPr>
    </w:p>
    <w:p>
      <w:pPr>
        <w:jc w:val="both"/>
        <w:ind w:left="660" w:firstLine="644"/>
        <w:spacing w:after="0" w:line="269" w:lineRule="auto"/>
        <w:tabs>
          <w:tab w:leader="none" w:pos="194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incurred in the ordinary course of business;</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consisting of insurance premium financing incurred in the ordinary course of business;</w:t>
      </w:r>
    </w:p>
    <w:p>
      <w:pPr>
        <w:spacing w:after="0" w:line="215" w:lineRule="exact"/>
        <w:rPr>
          <w:rFonts w:ascii="Arial" w:cs="Arial" w:eastAsia="Arial" w:hAnsi="Arial"/>
          <w:sz w:val="20"/>
          <w:szCs w:val="20"/>
          <w:color w:val="auto"/>
        </w:rPr>
      </w:pPr>
    </w:p>
    <w:p>
      <w:pPr>
        <w:ind w:left="660" w:right="20" w:firstLine="644"/>
        <w:spacing w:after="0" w:line="287" w:lineRule="auto"/>
        <w:tabs>
          <w:tab w:leader="none" w:pos="194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unsecured Indebtedness representing deferred compensation, severance and health and welfare retirement benefits to current and former employees of any Loan Party or its Subsidiaries incurred in the ordinary course of business;</w:t>
      </w:r>
    </w:p>
    <w:p>
      <w:pPr>
        <w:spacing w:after="0" w:line="152" w:lineRule="exact"/>
        <w:rPr>
          <w:rFonts w:ascii="Arial" w:cs="Arial" w:eastAsia="Arial" w:hAnsi="Arial"/>
          <w:sz w:val="19"/>
          <w:szCs w:val="19"/>
          <w:color w:val="auto"/>
        </w:rPr>
      </w:pPr>
    </w:p>
    <w:p>
      <w:pPr>
        <w:jc w:val="both"/>
        <w:ind w:left="660" w:firstLine="644"/>
        <w:spacing w:after="0" w:line="250" w:lineRule="auto"/>
        <w:tabs>
          <w:tab w:leader="none" w:pos="19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in the form of purchase price adjustments, earn-outs, deferred compensation, or other arrangements representing acquisition consideration or deferred payments of similar nature incurred in connection with any Permitted Acquisition or other investment permitted hereunder;</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under Swap Agreements permitted by Section 6.07;</w:t>
      </w:r>
    </w:p>
    <w:p>
      <w:pPr>
        <w:spacing w:after="0" w:line="215" w:lineRule="exact"/>
        <w:rPr>
          <w:rFonts w:ascii="Arial" w:cs="Arial" w:eastAsia="Arial" w:hAnsi="Arial"/>
          <w:sz w:val="20"/>
          <w:szCs w:val="20"/>
          <w:color w:val="auto"/>
        </w:rPr>
      </w:pPr>
    </w:p>
    <w:p>
      <w:pPr>
        <w:jc w:val="both"/>
        <w:ind w:left="660" w:right="20" w:firstLine="644"/>
        <w:spacing w:after="0" w:line="250" w:lineRule="auto"/>
        <w:tabs>
          <w:tab w:leader="none" w:pos="19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of Foreign Subsidiaries, and guarantees thereof by Foreign Subsidiaries, in respect of local lines of credit, letters of credit, bank guarantees and similar extensions of credit, in an aggregate principal amount not to exceed $10,000,000 per year;</w:t>
      </w:r>
    </w:p>
    <w:p>
      <w:pPr>
        <w:spacing w:after="0" w:line="185"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unsecured Indebtedness incurred by any Loan Party or its Subsidiary in the ordinary course of business under a commercial credit card program not to exceed $5,000,000;</w:t>
      </w:r>
    </w:p>
    <w:p>
      <w:pPr>
        <w:spacing w:after="0" w:line="176" w:lineRule="exact"/>
        <w:rPr>
          <w:rFonts w:ascii="Arial" w:cs="Arial" w:eastAsia="Arial" w:hAnsi="Arial"/>
          <w:sz w:val="20"/>
          <w:szCs w:val="20"/>
          <w:color w:val="auto"/>
        </w:rPr>
      </w:pPr>
    </w:p>
    <w:p>
      <w:pPr>
        <w:ind w:left="660" w:firstLine="644"/>
        <w:spacing w:after="0" w:line="260" w:lineRule="auto"/>
        <w:tabs>
          <w:tab w:leader="none" w:pos="195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Indebtedness consisting of the Company’s contingent liabilities under Section 7 of the Restricted Preferred Stock Award Agreement;</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4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to the extent it constitutes Indebtedness, obligations of the Company owing under the terms of the Las Vegas Lease as in effect on the date hereof or as amended in a way that does not materially affect the nature of the obligations owing thereunder (i.e., a lease obligation);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4" w:name="page125"/>
    <w:bookmarkEnd w:id="124"/>
    <w:p>
      <w:pPr>
        <w:ind w:left="1940" w:hanging="636"/>
        <w:spacing w:after="0"/>
        <w:tabs>
          <w:tab w:leader="none" w:pos="19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other Indebtedness in an aggregate principal amount not exceeding $5,000,000 at any time outstanding.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6.02.</w:t>
      </w:r>
      <w:r>
        <w:rPr>
          <w:rFonts w:ascii="Arial" w:cs="Arial" w:eastAsia="Arial" w:hAnsi="Arial"/>
          <w:sz w:val="20"/>
          <w:szCs w:val="20"/>
          <w:u w:val="single" w:color="auto"/>
          <w:color w:val="auto"/>
        </w:rPr>
        <w:t>Liens</w:t>
      </w:r>
      <w:r>
        <w:rPr>
          <w:rFonts w:ascii="Arial" w:cs="Arial" w:eastAsia="Arial" w:hAnsi="Arial"/>
          <w:sz w:val="20"/>
          <w:szCs w:val="20"/>
          <w:color w:val="auto"/>
        </w:rPr>
        <w:t>.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86" w:lineRule="exact"/>
        <w:rPr>
          <w:sz w:val="20"/>
          <w:szCs w:val="20"/>
          <w:color w:val="auto"/>
        </w:rPr>
      </w:pPr>
    </w:p>
    <w:p>
      <w:pPr>
        <w:ind w:left="1940" w:hanging="636"/>
        <w:spacing w:after="0"/>
        <w:tabs>
          <w:tab w:leader="none" w:pos="194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Liens created pursuant to any Loan Document;</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15" w:lineRule="exact"/>
        <w:rPr>
          <w:rFonts w:ascii="Arial" w:cs="Arial" w:eastAsia="Arial" w:hAnsi="Arial"/>
          <w:sz w:val="20"/>
          <w:szCs w:val="20"/>
          <w:color w:val="auto"/>
        </w:rPr>
      </w:pPr>
    </w:p>
    <w:p>
      <w:pPr>
        <w:jc w:val="both"/>
        <w:ind w:left="660" w:firstLine="644"/>
        <w:spacing w:after="0" w:line="263" w:lineRule="auto"/>
        <w:tabs>
          <w:tab w:leader="none" w:pos="194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any Lien on any property or asset of any Borrower or any Subsidiary existing on the date hereof and set forth in </w:t>
      </w:r>
      <w:r>
        <w:rPr>
          <w:rFonts w:ascii="Arial" w:cs="Arial" w:eastAsia="Arial" w:hAnsi="Arial"/>
          <w:sz w:val="19"/>
          <w:szCs w:val="19"/>
          <w:u w:val="single" w:color="auto"/>
          <w:color w:val="auto"/>
        </w:rPr>
        <w:t>Schedule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shall not apply to any other property or asset of such Borrower or Subsidiary or any other Borrower or Subsidiary and (ii) such Lien shall secure only those obligations which it secures on the date hereof and extensions, renewals and replacements thereof that do not increase the outstanding principal amount thereof;</w:t>
      </w:r>
    </w:p>
    <w:p>
      <w:pPr>
        <w:spacing w:after="0" w:line="176" w:lineRule="exact"/>
        <w:rPr>
          <w:rFonts w:ascii="Arial" w:cs="Arial" w:eastAsia="Arial" w:hAnsi="Arial"/>
          <w:sz w:val="19"/>
          <w:szCs w:val="19"/>
          <w:color w:val="auto"/>
        </w:rPr>
      </w:pPr>
    </w:p>
    <w:p>
      <w:pPr>
        <w:ind w:left="1940" w:hanging="636"/>
        <w:spacing w:after="0"/>
        <w:tabs>
          <w:tab w:leader="none" w:pos="194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any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8" w:lineRule="exact"/>
        <w:rPr>
          <w:rFonts w:ascii="Arial" w:cs="Arial" w:eastAsia="Arial" w:hAnsi="Arial"/>
          <w:sz w:val="18"/>
          <w:szCs w:val="18"/>
          <w:color w:val="auto"/>
        </w:rPr>
      </w:pPr>
    </w:p>
    <w:p>
      <w:pPr>
        <w:jc w:val="both"/>
        <w:ind w:left="660" w:hanging="4"/>
        <w:spacing w:after="0" w:line="266" w:lineRule="auto"/>
        <w:tabs>
          <w:tab w:leader="none" w:pos="90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w:t>
      </w:r>
    </w:p>
    <w:p>
      <w:pPr>
        <w:ind w:left="1000" w:hanging="344"/>
        <w:spacing w:after="0"/>
        <w:tabs>
          <w:tab w:leader="none" w:pos="100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such Liens shall not apply to any other property or assets of any Borrower or any Subsidiary;</w:t>
      </w:r>
    </w:p>
    <w:p>
      <w:pPr>
        <w:spacing w:after="0" w:line="199" w:lineRule="exact"/>
        <w:rPr>
          <w:rFonts w:ascii="Arial" w:cs="Arial" w:eastAsia="Arial" w:hAnsi="Arial"/>
          <w:sz w:val="20"/>
          <w:szCs w:val="20"/>
          <w:color w:val="auto"/>
        </w:rPr>
      </w:pPr>
    </w:p>
    <w:p>
      <w:pPr>
        <w:jc w:val="both"/>
        <w:ind w:left="660" w:firstLine="644"/>
        <w:spacing w:after="0" w:line="274" w:lineRule="auto"/>
        <w:tabs>
          <w:tab w:leader="none" w:pos="194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68" w:lineRule="exact"/>
        <w:rPr>
          <w:rFonts w:ascii="Arial" w:cs="Arial" w:eastAsia="Arial" w:hAnsi="Arial"/>
          <w:sz w:val="18"/>
          <w:szCs w:val="18"/>
          <w:color w:val="auto"/>
        </w:rPr>
      </w:pPr>
    </w:p>
    <w:p>
      <w:pPr>
        <w:ind w:left="660" w:firstLine="644"/>
        <w:spacing w:after="0" w:line="260" w:lineRule="auto"/>
        <w:tabs>
          <w:tab w:leader="none" w:pos="1951" w:val="left"/>
        </w:tabs>
        <w:numPr>
          <w:ilvl w:val="1"/>
          <w:numId w:val="116"/>
        </w:numPr>
        <w:rPr>
          <w:rFonts w:ascii="Arial" w:cs="Arial" w:eastAsia="Arial" w:hAnsi="Arial"/>
          <w:sz w:val="20"/>
          <w:szCs w:val="20"/>
          <w:color w:val="auto"/>
        </w:rPr>
      </w:pPr>
      <w:r>
        <w:rPr>
          <w:rFonts w:ascii="Arial" w:cs="Arial" w:eastAsia="Arial" w:hAnsi="Arial"/>
          <w:sz w:val="20"/>
          <w:szCs w:val="20"/>
          <w:color w:val="auto"/>
        </w:rPr>
        <w:t>Liens of a collecting bank arising in the ordinary course of business under Section 4-210 of the UCC in effect in the relevant jurisdiction covering only the items being collected upon;</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Liens arising out of Sale and Leaseback Transactions permitted by Section 6.06;</w:t>
      </w:r>
    </w:p>
    <w:p>
      <w:pPr>
        <w:spacing w:after="0" w:line="215"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Liens granted by a Subsidiary that is not a Loan Party in favor of a Borrower or another Loan Party in respect of Indebtedness owed by such Subsidiary;</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Liens securing Indebtedness permitted under Section 6.01(h), (i) and (p);</w:t>
      </w:r>
    </w:p>
    <w:p>
      <w:pPr>
        <w:spacing w:after="0" w:line="215" w:lineRule="exact"/>
        <w:rPr>
          <w:rFonts w:ascii="Arial" w:cs="Arial" w:eastAsia="Arial" w:hAnsi="Arial"/>
          <w:sz w:val="20"/>
          <w:szCs w:val="20"/>
          <w:color w:val="auto"/>
        </w:rPr>
      </w:pPr>
    </w:p>
    <w:p>
      <w:pPr>
        <w:ind w:left="660" w:firstLine="644"/>
        <w:spacing w:after="0" w:line="260" w:lineRule="auto"/>
        <w:tabs>
          <w:tab w:leader="none" w:pos="1954" w:val="left"/>
        </w:tabs>
        <w:numPr>
          <w:ilvl w:val="1"/>
          <w:numId w:val="116"/>
        </w:numPr>
        <w:rPr>
          <w:rFonts w:ascii="Arial" w:cs="Arial" w:eastAsia="Arial" w:hAnsi="Arial"/>
          <w:sz w:val="20"/>
          <w:szCs w:val="20"/>
          <w:color w:val="auto"/>
        </w:rPr>
      </w:pPr>
      <w:r>
        <w:rPr>
          <w:rFonts w:ascii="Arial" w:cs="Arial" w:eastAsia="Arial" w:hAnsi="Arial"/>
          <w:sz w:val="20"/>
          <w:szCs w:val="20"/>
          <w:color w:val="auto"/>
        </w:rPr>
        <w:t>in the case of (A) any Subsidiary that is not a wholly owned Subsidiary or (B) the Equity Interests in any Person that is not a Subsidiary, any encumbrance or restriction,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5" w:name="page126"/>
    <w:bookmarkEnd w:id="125"/>
    <w:p>
      <w:pPr>
        <w:ind w:left="660" w:right="20"/>
        <w:spacing w:after="0" w:line="316" w:lineRule="auto"/>
        <w:rPr>
          <w:sz w:val="20"/>
          <w:szCs w:val="20"/>
          <w:color w:val="auto"/>
        </w:rPr>
      </w:pPr>
      <w:r>
        <w:rPr>
          <w:rFonts w:ascii="Arial" w:cs="Arial" w:eastAsia="Arial" w:hAnsi="Arial"/>
          <w:sz w:val="18"/>
          <w:szCs w:val="18"/>
          <w:color w:val="auto"/>
        </w:rPr>
        <w:t>any put and call arrangements, related to Equity Interests in such Subsidiary or such other Person set forth in the organization documents of such Subsidiary or such other Person or any related joint venture, shareholders’ or similar agreement;</w:t>
      </w:r>
    </w:p>
    <w:p>
      <w:pPr>
        <w:spacing w:after="0" w:line="130" w:lineRule="exact"/>
        <w:rPr>
          <w:sz w:val="20"/>
          <w:szCs w:val="20"/>
          <w:color w:val="auto"/>
        </w:rPr>
      </w:pPr>
    </w:p>
    <w:p>
      <w:pPr>
        <w:ind w:left="660" w:firstLine="644"/>
        <w:spacing w:after="0" w:line="260"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Liens on earnest money deposits of cash or cash equivalents made, or escrow or similar arrangements entered into, in connection with any Permitted Acquisition or other investment permitted pursuant to Section 6.04;</w:t>
      </w:r>
    </w:p>
    <w:p>
      <w:pPr>
        <w:spacing w:after="0" w:line="176"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Liens in the nature of the right of setoff in favor of counterparties to contractual agreements with Borrower or any Subsidiary in the ordinary course of business;</w:t>
      </w:r>
    </w:p>
    <w:p>
      <w:pPr>
        <w:spacing w:after="0" w:line="176" w:lineRule="exact"/>
        <w:rPr>
          <w:rFonts w:ascii="Arial" w:cs="Arial" w:eastAsia="Arial" w:hAnsi="Arial"/>
          <w:sz w:val="20"/>
          <w:szCs w:val="20"/>
          <w:color w:val="auto"/>
        </w:rPr>
      </w:pPr>
    </w:p>
    <w:p>
      <w:pPr>
        <w:ind w:left="660" w:firstLine="644"/>
        <w:spacing w:after="0" w:line="260" w:lineRule="auto"/>
        <w:tabs>
          <w:tab w:leader="none" w:pos="194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the Borrower or any Subsidiary in the ordinary course of business;</w:t>
      </w:r>
    </w:p>
    <w:p>
      <w:pPr>
        <w:spacing w:after="0" w:line="176" w:lineRule="exact"/>
        <w:rPr>
          <w:rFonts w:ascii="Arial" w:cs="Arial" w:eastAsia="Arial" w:hAnsi="Arial"/>
          <w:sz w:val="20"/>
          <w:szCs w:val="20"/>
          <w:color w:val="auto"/>
        </w:rPr>
      </w:pPr>
    </w:p>
    <w:p>
      <w:pPr>
        <w:jc w:val="both"/>
        <w:ind w:left="660" w:firstLine="644"/>
        <w:spacing w:after="0" w:line="269" w:lineRule="auto"/>
        <w:tabs>
          <w:tab w:leader="none" w:pos="194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69" w:lineRule="exact"/>
        <w:rPr>
          <w:rFonts w:ascii="Arial" w:cs="Arial" w:eastAsia="Arial" w:hAnsi="Arial"/>
          <w:sz w:val="19"/>
          <w:szCs w:val="19"/>
          <w:color w:val="auto"/>
        </w:rPr>
      </w:pPr>
    </w:p>
    <w:p>
      <w:pPr>
        <w:ind w:left="1940" w:hanging="636"/>
        <w:spacing w:after="0"/>
        <w:tabs>
          <w:tab w:leader="none" w:pos="194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Liens on insurance policies and the proceeds thereof securing Indebtedness permitted by Section 6.01(l); and</w:t>
      </w:r>
    </w:p>
    <w:p>
      <w:pPr>
        <w:spacing w:after="0" w:line="227" w:lineRule="exact"/>
        <w:rPr>
          <w:rFonts w:ascii="Arial" w:cs="Arial" w:eastAsia="Arial" w:hAnsi="Arial"/>
          <w:sz w:val="19"/>
          <w:szCs w:val="19"/>
          <w:color w:val="auto"/>
        </w:rPr>
      </w:pPr>
    </w:p>
    <w:p>
      <w:pPr>
        <w:ind w:left="1940" w:hanging="636"/>
        <w:spacing w:after="0"/>
        <w:tabs>
          <w:tab w:leader="none" w:pos="19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Liens securing obligations in an aggregate principal amount not to exceed $5,000,000.</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6.03.</w:t>
      </w:r>
      <w:r>
        <w:rPr>
          <w:rFonts w:ascii="Arial" w:cs="Arial" w:eastAsia="Arial" w:hAnsi="Arial"/>
          <w:sz w:val="20"/>
          <w:szCs w:val="20"/>
          <w:u w:val="single" w:color="auto"/>
          <w:color w:val="auto"/>
        </w:rPr>
        <w:t>Fundamental Changes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0" w:lineRule="auto"/>
        <w:tabs>
          <w:tab w:leader="none" w:pos="19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any Borrower may merge into a Borrower in a transaction in which a Borrower is the surviving entity, (ii) any Loan Party (other than any Borrower) may merge into any other Loan Party in a transaction in which the surviving entity is a Loan Party, (iii) any Subsidiary that is not a Loan Party may liquidate or dissolve if the Borrowers determine in good faith that such liquidation or dissolution is in the best interests of the Borrowers and is not materially disadvantageous to the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merger involving a Person that is not a wholly owned Subsidiary immediately prior to such merger shall not be permitted unless also permitted by Section 6.04, (iv) a Loan Party may sell, transfer, lease or otherwise dispose of its assets to a Loan Party, any Subsidiary may sell, transfer, lease or otherwise dispose of its assets to a Loan Party and any Subsidiary that is not a Loan Party may sell, transfer, lease or otherwise dispose of its assets to any other Subsidiary that is not a Loan Party and (v) in connection with any Acquisition permitted under Section 6.04.</w:t>
      </w:r>
    </w:p>
    <w:p>
      <w:pPr>
        <w:spacing w:after="0" w:line="172" w:lineRule="exact"/>
        <w:rPr>
          <w:rFonts w:ascii="Arial" w:cs="Arial" w:eastAsia="Arial" w:hAnsi="Arial"/>
          <w:sz w:val="18"/>
          <w:szCs w:val="18"/>
          <w:color w:val="auto"/>
        </w:rPr>
      </w:pPr>
    </w:p>
    <w:p>
      <w:pPr>
        <w:jc w:val="both"/>
        <w:ind w:left="660" w:firstLine="644"/>
        <w:spacing w:after="0" w:line="269" w:lineRule="auto"/>
        <w:tabs>
          <w:tab w:leader="none" w:pos="194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6" w:name="page127"/>
    <w:bookmarkEnd w:id="126"/>
    <w:p>
      <w:pPr>
        <w:ind w:left="660" w:right="20"/>
        <w:spacing w:after="0" w:line="287" w:lineRule="auto"/>
        <w:rPr>
          <w:sz w:val="20"/>
          <w:szCs w:val="20"/>
          <w:color w:val="auto"/>
        </w:rPr>
      </w:pPr>
      <w:r>
        <w:rPr>
          <w:rFonts w:ascii="Arial" w:cs="Arial" w:eastAsia="Arial" w:hAnsi="Arial"/>
          <w:sz w:val="19"/>
          <w:szCs w:val="19"/>
          <w:color w:val="auto"/>
        </w:rPr>
        <w:t>Division Successor shall be required to comply with the obligations set forth in Section 5.13 and the other further assurances obligations set forth in the Loan Documents and become a Loan Party under this Agreement and the other Loan Documents.</w:t>
      </w:r>
    </w:p>
    <w:p>
      <w:pPr>
        <w:spacing w:after="0" w:line="152" w:lineRule="exact"/>
        <w:rPr>
          <w:sz w:val="20"/>
          <w:szCs w:val="20"/>
          <w:color w:val="auto"/>
        </w:rPr>
      </w:pPr>
    </w:p>
    <w:p>
      <w:pPr>
        <w:jc w:val="both"/>
        <w:ind w:left="660" w:firstLine="644"/>
        <w:spacing w:after="0" w:line="250" w:lineRule="auto"/>
        <w:tabs>
          <w:tab w:leader="none" w:pos="1946"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 Loan Party will, nor will it permit any Subsidiary to, engage to any material extent in any business other than businesses of the type conducted by the Borrowers and their Subsidiaries on the date hereof and businesses reasonably related, ancillary or complementary to thereto and logical extensions thereof.</w:t>
      </w:r>
    </w:p>
    <w:p>
      <w:pPr>
        <w:spacing w:after="0" w:line="185" w:lineRule="exact"/>
        <w:rPr>
          <w:rFonts w:ascii="Arial" w:cs="Arial" w:eastAsia="Arial" w:hAnsi="Arial"/>
          <w:sz w:val="20"/>
          <w:szCs w:val="20"/>
          <w:color w:val="auto"/>
        </w:rPr>
      </w:pPr>
    </w:p>
    <w:p>
      <w:pPr>
        <w:ind w:left="660" w:right="20" w:firstLine="644"/>
        <w:spacing w:after="0" w:line="260" w:lineRule="auto"/>
        <w:tabs>
          <w:tab w:leader="none" w:pos="194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 Loan Party will, nor will it permit any Subsidiary to change its fiscal year or any fiscal quarter from the basis in effect on the Effective Date.</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No Loan Party will change the accounting basis upon which its financial statements are prepared.</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SECTION 6.04.</w:t>
      </w:r>
      <w:r>
        <w:rPr>
          <w:rFonts w:ascii="Arial" w:cs="Arial" w:eastAsia="Arial" w:hAnsi="Arial"/>
          <w:sz w:val="20"/>
          <w:szCs w:val="20"/>
          <w:u w:val="single" w:color="auto"/>
          <w:color w:val="auto"/>
        </w:rPr>
        <w:t>Investments, Loans, Advances, Guarantees and Acquisitions</w:t>
      </w:r>
      <w:r>
        <w:rPr>
          <w:rFonts w:ascii="Arial" w:cs="Arial" w:eastAsia="Arial" w:hAnsi="Arial"/>
          <w:sz w:val="20"/>
          <w:szCs w:val="20"/>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93" w:lineRule="exact"/>
        <w:rPr>
          <w:sz w:val="20"/>
          <w:szCs w:val="20"/>
          <w:color w:val="auto"/>
        </w:rPr>
      </w:pPr>
    </w:p>
    <w:p>
      <w:pPr>
        <w:jc w:val="both"/>
        <w:ind w:left="660" w:firstLine="644"/>
        <w:spacing w:after="0" w:line="250" w:lineRule="auto"/>
        <w:tabs>
          <w:tab w:leader="none" w:pos="1946" w:val="left"/>
        </w:tabs>
        <w:numPr>
          <w:ilvl w:val="1"/>
          <w:numId w:val="120"/>
        </w:numPr>
        <w:rPr>
          <w:rFonts w:ascii="Arial" w:cs="Arial" w:eastAsia="Arial" w:hAnsi="Arial"/>
          <w:sz w:val="20"/>
          <w:szCs w:val="20"/>
          <w:color w:val="auto"/>
        </w:rPr>
      </w:pPr>
      <w:r>
        <w:rPr>
          <w:rFonts w:ascii="Arial" w:cs="Arial" w:eastAsia="Arial" w:hAnsi="Arial"/>
          <w:sz w:val="20"/>
          <w:szCs w:val="20"/>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85" w:lineRule="exact"/>
        <w:rPr>
          <w:rFonts w:ascii="Arial" w:cs="Arial" w:eastAsia="Arial" w:hAnsi="Arial"/>
          <w:sz w:val="20"/>
          <w:szCs w:val="20"/>
          <w:color w:val="auto"/>
        </w:rPr>
      </w:pPr>
    </w:p>
    <w:p>
      <w:pPr>
        <w:ind w:left="660" w:firstLine="644"/>
        <w:spacing w:after="0" w:line="260" w:lineRule="auto"/>
        <w:tabs>
          <w:tab w:leader="none" w:pos="194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investments in existence on the date hereof and described in </w:t>
      </w:r>
      <w:r>
        <w:rPr>
          <w:rFonts w:ascii="Arial" w:cs="Arial" w:eastAsia="Arial" w:hAnsi="Arial"/>
          <w:sz w:val="20"/>
          <w:szCs w:val="20"/>
          <w:u w:val="single" w:color="auto"/>
          <w:color w:val="auto"/>
        </w:rPr>
        <w:t>Schedule 6.04</w:t>
      </w:r>
      <w:r>
        <w:rPr>
          <w:rFonts w:ascii="Arial" w:cs="Arial" w:eastAsia="Arial" w:hAnsi="Arial"/>
          <w:sz w:val="20"/>
          <w:szCs w:val="20"/>
          <w:color w:val="auto"/>
        </w:rPr>
        <w:t xml:space="preserve"> and any modification, replacement, renewal or extension thereof to the extent not involving any additional investment;</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investments by the Borrowers and the Subsidiaries in Equity Interests in their respective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38" w:lineRule="exact"/>
        <w:rPr>
          <w:rFonts w:ascii="Arial" w:cs="Arial" w:eastAsia="Arial" w:hAnsi="Arial"/>
          <w:sz w:val="18"/>
          <w:szCs w:val="18"/>
          <w:color w:val="auto"/>
        </w:rPr>
      </w:pPr>
    </w:p>
    <w:p>
      <w:pPr>
        <w:jc w:val="both"/>
        <w:ind w:left="660" w:hanging="4"/>
        <w:spacing w:after="0" w:line="256" w:lineRule="auto"/>
        <w:tabs>
          <w:tab w:leader="none" w:pos="91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such Equity Interests held by a Loan Party shall be pledged pursuant to the Security Agreement (subject to the limitations applicable to Equity Interests of a Foreign Subsidiary, Foreign Subsidiary Holdco, or CFC referred to in Section 5.13) and (ii) the aggregate amount of investments by Loan Parties in Subsidiaries that are not Loan Parties (together with outstanding intercompany loans permitted under Section 6.04(d) and outstanding Guarantees permitted under Section 6.04(e)) shall not exceed $5,000,000 per year (in each case determined without regard to any write-downs or write-offs);</w:t>
      </w:r>
    </w:p>
    <w:p>
      <w:pPr>
        <w:spacing w:after="0" w:line="182" w:lineRule="exact"/>
        <w:rPr>
          <w:rFonts w:ascii="Arial" w:cs="Arial" w:eastAsia="Arial" w:hAnsi="Arial"/>
          <w:sz w:val="19"/>
          <w:szCs w:val="19"/>
          <w:color w:val="auto"/>
        </w:rPr>
      </w:pPr>
    </w:p>
    <w:p>
      <w:pPr>
        <w:jc w:val="both"/>
        <w:ind w:left="660" w:firstLine="644"/>
        <w:spacing w:after="0" w:line="243" w:lineRule="auto"/>
        <w:tabs>
          <w:tab w:leader="none" w:pos="1944" w:val="left"/>
        </w:tabs>
        <w:numPr>
          <w:ilvl w:val="1"/>
          <w:numId w:val="121"/>
        </w:numPr>
        <w:rPr>
          <w:rFonts w:ascii="Arial" w:cs="Arial" w:eastAsia="Arial" w:hAnsi="Arial"/>
          <w:sz w:val="20"/>
          <w:szCs w:val="20"/>
          <w:color w:val="auto"/>
        </w:rPr>
      </w:pPr>
      <w:r>
        <w:rPr>
          <w:rFonts w:ascii="Arial" w:cs="Arial" w:eastAsia="Arial" w:hAnsi="Arial"/>
          <w:sz w:val="20"/>
          <w:szCs w:val="20"/>
          <w:color w:val="auto"/>
        </w:rPr>
        <w:t xml:space="preserve">loans or advances made by any Loan Party to any Subsidiary and made by any Subsidiary to a Loan Party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Section 6.04(c) and outstanding Guarantees permitted under Section 6.04(e)) shall not exceed $5,000,000 per year (in each case determined without regard to any write-downs or write-offs);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7" w:name="page128"/>
    <w:bookmarkEnd w:id="127"/>
    <w:p>
      <w:pPr>
        <w:jc w:val="both"/>
        <w:ind w:left="660" w:firstLine="644"/>
        <w:spacing w:after="0" w:line="244" w:lineRule="auto"/>
        <w:tabs>
          <w:tab w:leader="none" w:pos="1946"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Guarantees constituting Indebtedness permitted by Section 6.01,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$5,000,000 per year (in each case determined without regard to any write-downs or write-offs);</w:t>
      </w:r>
    </w:p>
    <w:p>
      <w:pPr>
        <w:spacing w:after="0" w:line="194" w:lineRule="exact"/>
        <w:rPr>
          <w:rFonts w:ascii="Arial" w:cs="Arial" w:eastAsia="Arial" w:hAnsi="Arial"/>
          <w:sz w:val="20"/>
          <w:szCs w:val="20"/>
          <w:color w:val="auto"/>
        </w:rPr>
      </w:pPr>
    </w:p>
    <w:p>
      <w:pPr>
        <w:jc w:val="both"/>
        <w:ind w:left="660" w:firstLine="644"/>
        <w:spacing w:after="0" w:line="282" w:lineRule="auto"/>
        <w:tabs>
          <w:tab w:leader="none" w:pos="195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loans and advances not to exceed $1,000,000 in the aggregate at any one time outstanding consisting of travel advances, employee relocation loans and other employee loans and advances in the ordinary course of business consistent with past practices, and (ii) loans to employees, officers or directors relating to the purchase of Equity Interests of the Company or its Subsidiaries pursuant to employee equity purchase agreements approved by the Company’s or such Subsidiary’s board of directors;</w:t>
      </w:r>
    </w:p>
    <w:p>
      <w:pPr>
        <w:spacing w:after="0" w:line="161" w:lineRule="exact"/>
        <w:rPr>
          <w:rFonts w:ascii="Arial" w:cs="Arial" w:eastAsia="Arial" w:hAnsi="Arial"/>
          <w:sz w:val="18"/>
          <w:szCs w:val="18"/>
          <w:color w:val="auto"/>
        </w:rPr>
      </w:pPr>
    </w:p>
    <w:p>
      <w:pPr>
        <w:jc w:val="both"/>
        <w:ind w:left="660" w:firstLine="644"/>
        <w:spacing w:after="0" w:line="250" w:lineRule="auto"/>
        <w:tabs>
          <w:tab w:leader="none" w:pos="194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85" w:lineRule="exact"/>
        <w:rPr>
          <w:rFonts w:ascii="Arial" w:cs="Arial" w:eastAsia="Arial" w:hAnsi="Arial"/>
          <w:sz w:val="20"/>
          <w:szCs w:val="20"/>
          <w:color w:val="auto"/>
        </w:rPr>
      </w:pPr>
    </w:p>
    <w:p>
      <w:pPr>
        <w:ind w:left="1940" w:hanging="636"/>
        <w:spacing w:after="0"/>
        <w:tabs>
          <w:tab w:leader="none" w:pos="19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in the form of Swap Agreements permitted by Section 6.07;</w:t>
      </w:r>
    </w:p>
    <w:p>
      <w:pPr>
        <w:spacing w:after="0" w:line="215" w:lineRule="exact"/>
        <w:rPr>
          <w:rFonts w:ascii="Arial" w:cs="Arial" w:eastAsia="Arial" w:hAnsi="Arial"/>
          <w:sz w:val="20"/>
          <w:szCs w:val="20"/>
          <w:color w:val="auto"/>
        </w:rPr>
      </w:pPr>
    </w:p>
    <w:p>
      <w:pPr>
        <w:jc w:val="both"/>
        <w:ind w:left="660" w:firstLine="644"/>
        <w:spacing w:after="0" w:line="291" w:lineRule="auto"/>
        <w:tabs>
          <w:tab w:leader="none" w:pos="195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of a Borrower or consolidates or merges with a Borrower or any of such party’s Subsidiary (including in connection with a Permitted Acquisition), so long as such investments were not made in contemplation of such Person becoming a Subsidiary or of such merger;</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received in connection with the disposition of assets permitted by Section 6.05;</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constituting deposits described in clauses (c) and (d) of the definition of the term “Permitted Encumbrances”.</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extensions of trade credit to customers in the ordinary course of business;</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4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4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consisting of notes receivable of, or prepaid royalties and other credit extensions to, customers and suppliers in the ordinary course of business; provided that this clause (o) shall not apply to investments of the Company in any Subsidiary;</w:t>
      </w:r>
    </w:p>
    <w:p>
      <w:pPr>
        <w:spacing w:after="0" w:line="185"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investments consisting of the endorsement of negotiable instruments for deposit or collection or similar transactions in the ordinary course of Borrowers’ business;</w:t>
      </w:r>
    </w:p>
    <w:p>
      <w:pPr>
        <w:spacing w:after="0" w:line="176" w:lineRule="exact"/>
        <w:rPr>
          <w:rFonts w:ascii="Arial" w:cs="Arial" w:eastAsia="Arial" w:hAnsi="Arial"/>
          <w:sz w:val="20"/>
          <w:szCs w:val="20"/>
          <w:color w:val="auto"/>
        </w:rPr>
      </w:pPr>
    </w:p>
    <w:p>
      <w:pPr>
        <w:ind w:left="660" w:right="20" w:firstLine="644"/>
        <w:spacing w:after="0" w:line="260" w:lineRule="auto"/>
        <w:tabs>
          <w:tab w:leader="none" w:pos="194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minority equity investments, joint ventures or strategic alliances provided that any cash investments does not exceed $5,000,000 per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8" w:name="page129"/>
    <w:bookmarkEnd w:id="128"/>
    <w:p>
      <w:pPr>
        <w:ind w:left="660" w:firstLine="644"/>
        <w:spacing w:after="0" w:line="260" w:lineRule="auto"/>
        <w:tabs>
          <w:tab w:leader="none" w:pos="195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other investments not to exceed $5,000,000 in the aggregate in any fiscal year, provided, that no such investments may be made while a Default is continuing or if would result therefrom;</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repurchases or redemptions of capital stock made in accordance with Section 6.08; and</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5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intercompany investments, loans, transfers or advances to or receivables from one or more Foreign Subsidiaries, so long as such investments, loans, transfers or advances are in the ordinary course of business and for the purpose of (i) purchasing inventory which shall be transferred to the Company in like amount and (ii) funding payroll, legal and tax expenses of such Foreign Subsidiaries.</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6.05.</w:t>
      </w:r>
      <w:r>
        <w:rPr>
          <w:rFonts w:ascii="Arial" w:cs="Arial" w:eastAsia="Arial" w:hAnsi="Arial"/>
          <w:sz w:val="20"/>
          <w:szCs w:val="20"/>
          <w:u w:val="single" w:color="auto"/>
          <w:color w:val="auto"/>
        </w:rPr>
        <w:t>Asset Sales</w:t>
      </w:r>
      <w:r>
        <w:rPr>
          <w:rFonts w:ascii="Arial" w:cs="Arial" w:eastAsia="Arial" w:hAnsi="Arial"/>
          <w:sz w:val="20"/>
          <w:szCs w:val="20"/>
          <w:color w:val="auto"/>
        </w:rPr>
        <w:t>. No Loan Party will, nor will it permit any Subsidiary to, Dispose of any asset, including any Equity Interest owned by it, nor will any Borrower permit any Subsidiary to issue any additional Equity Interest in such Subsidiary (other than to another Borrower or another Subsidiary in compliance with Section 6.04), except:</w:t>
      </w:r>
    </w:p>
    <w:p>
      <w:pPr>
        <w:spacing w:after="0" w:line="186" w:lineRule="exact"/>
        <w:rPr>
          <w:sz w:val="20"/>
          <w:szCs w:val="20"/>
          <w:color w:val="auto"/>
        </w:rPr>
      </w:pPr>
    </w:p>
    <w:p>
      <w:pPr>
        <w:jc w:val="both"/>
        <w:ind w:left="660" w:firstLine="644"/>
        <w:spacing w:after="0" w:line="260" w:lineRule="auto"/>
        <w:tabs>
          <w:tab w:leader="none" w:pos="1946"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Dispositions of (i) Inventory in the ordinary course of business and (ii) used, obsolete, unmerchantable, worn out or surplus Equipment or property in the ordinary course of business, (iii) property no longer used or useful to the business of the Loan Parties and their respective Subsidiaries in the ordinary course of business and (iv) equipment or real property to the extent that (A) such property is exchanged for credit against the purchase price of similar replacement property or (B) the proceeds of such Dispositions are reasonably promptly applied to the purchase price of such replacement property;</w:t>
      </w:r>
    </w:p>
    <w:p>
      <w:pPr>
        <w:spacing w:after="0" w:line="180"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 xml:space="preserve">Dispositions of assets to any Borrower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sales, transfers or dispositions involving a Subsidiary that is not a Loan Party shall be made in compliance with Section 6.09;</w:t>
      </w:r>
    </w:p>
    <w:p>
      <w:pPr>
        <w:spacing w:after="0" w:line="176" w:lineRule="exact"/>
        <w:rPr>
          <w:rFonts w:ascii="Arial" w:cs="Arial" w:eastAsia="Arial" w:hAnsi="Arial"/>
          <w:sz w:val="20"/>
          <w:szCs w:val="20"/>
          <w:color w:val="auto"/>
        </w:rPr>
      </w:pPr>
    </w:p>
    <w:p>
      <w:pPr>
        <w:ind w:left="660" w:firstLine="644"/>
        <w:spacing w:after="0" w:line="260" w:lineRule="auto"/>
        <w:tabs>
          <w:tab w:leader="none" w:pos="194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Dispositions of Accounts (excluding sales or dispositions in a factoring arrangement) in connection with the compromise, settlement or collection thereof;</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Dispositions of Permitted Investments and other investments permitted by clauses (i) and (k) of Section 6.04;</w:t>
      </w:r>
    </w:p>
    <w:p>
      <w:pPr>
        <w:spacing w:after="0" w:line="227" w:lineRule="exact"/>
        <w:rPr>
          <w:rFonts w:ascii="Arial" w:cs="Arial" w:eastAsia="Arial" w:hAnsi="Arial"/>
          <w:sz w:val="19"/>
          <w:szCs w:val="19"/>
          <w:color w:val="auto"/>
        </w:rPr>
      </w:pPr>
    </w:p>
    <w:p>
      <w:pPr>
        <w:ind w:left="1940" w:hanging="636"/>
        <w:spacing w:after="0"/>
        <w:tabs>
          <w:tab w:leader="none" w:pos="194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Sale and Leaseback Transactions permitted by Section 6.06;</w:t>
      </w:r>
    </w:p>
    <w:p>
      <w:pPr>
        <w:spacing w:after="0" w:line="215" w:lineRule="exact"/>
        <w:rPr>
          <w:rFonts w:ascii="Arial" w:cs="Arial" w:eastAsia="Arial" w:hAnsi="Arial"/>
          <w:sz w:val="20"/>
          <w:szCs w:val="20"/>
          <w:color w:val="auto"/>
        </w:rPr>
      </w:pPr>
    </w:p>
    <w:p>
      <w:pPr>
        <w:ind w:left="660" w:firstLine="644"/>
        <w:spacing w:after="0" w:line="260" w:lineRule="auto"/>
        <w:tabs>
          <w:tab w:leader="none" w:pos="1951" w:val="left"/>
        </w:tabs>
        <w:numPr>
          <w:ilvl w:val="0"/>
          <w:numId w:val="124"/>
        </w:numPr>
        <w:rPr>
          <w:rFonts w:ascii="Arial" w:cs="Arial" w:eastAsia="Arial" w:hAnsi="Arial"/>
          <w:sz w:val="20"/>
          <w:szCs w:val="20"/>
          <w:color w:val="auto"/>
        </w:rPr>
      </w:pPr>
      <w:r>
        <w:rPr>
          <w:rFonts w:ascii="Arial" w:cs="Arial" w:eastAsia="Arial" w:hAnsi="Arial"/>
          <w:sz w:val="20"/>
          <w:szCs w:val="20"/>
          <w:color w:val="auto"/>
        </w:rPr>
        <w:t>Dispositions resulting from any casualty or other insured damage to, or any taking under power of eminent domain or by condemnation or similar proceeding of, any property or asset of any Borrower or any Subsidiary;</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94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business (and in the ordinary course of such Person’s business), and leases, subleases, non-exclusive licenses or sublicenses of personal property (other than intellectual property) granted in the ordinary course of business, if the leases, subleases, licenses and sublicenses do not prohibit granting the Administrative Agent, on behalf of itself, the Lenders and other Secured Parties, a security interest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29" w:name="page130"/>
    <w:bookmarkEnd w:id="129"/>
    <w:p>
      <w:pPr>
        <w:jc w:val="both"/>
        <w:ind w:left="660" w:firstLine="644"/>
        <w:spacing w:after="0" w:line="291" w:lineRule="auto"/>
        <w:tabs>
          <w:tab w:leader="none" w:pos="194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 and licenses of intellectual property that could not result in a legal transfer of title of licensed property that may be exclusive in respects other than territory and that may be exclusive as to territory only as to discrete geographical areas outside of the United States;</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granting of Liens permitted by Section 6.02; and</w:t>
      </w:r>
    </w:p>
    <w:p>
      <w:pPr>
        <w:spacing w:after="0" w:line="215" w:lineRule="exact"/>
        <w:rPr>
          <w:rFonts w:ascii="Arial" w:cs="Arial" w:eastAsia="Arial" w:hAnsi="Arial"/>
          <w:sz w:val="20"/>
          <w:szCs w:val="20"/>
          <w:color w:val="auto"/>
        </w:rPr>
      </w:pPr>
    </w:p>
    <w:p>
      <w:pPr>
        <w:jc w:val="both"/>
        <w:ind w:left="660" w:firstLine="644"/>
        <w:spacing w:after="0" w:line="246" w:lineRule="auto"/>
        <w:tabs>
          <w:tab w:leader="none" w:pos="195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Dispositions of assets (other than Equity Interests in a Subsidiary unless all Equity Interests in such Subsidiary are sold) that are not permitted by any other clause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fair market value of all assets Disposed of in reliance upon this paragraph (j) shall not exceed $5,000,000 during any fiscal year of the Company and such Dispositions are made for fair value and for at least 75% cash consideration.</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u w:val="single" w:color="auto"/>
          <w:color w:val="auto"/>
        </w:rPr>
        <w:t>Sale and Leaseback Transactions</w:t>
      </w:r>
      <w:r>
        <w:rPr>
          <w:rFonts w:ascii="Arial" w:cs="Arial" w:eastAsia="Arial" w:hAnsi="Arial"/>
          <w:sz w:val="20"/>
          <w:szCs w:val="20"/>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“Sale and Leaseback Transaction”),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Swap Agreements</w:t>
      </w:r>
      <w:r>
        <w:rPr>
          <w:rFonts w:ascii="Arial" w:cs="Arial" w:eastAsia="Arial" w:hAnsi="Arial"/>
          <w:sz w:val="18"/>
          <w:szCs w:val="18"/>
          <w:color w:val="auto"/>
        </w:rPr>
        <w:t>. No Loan Party will, nor will it permit any Subsidiary to, enter into any Swap Agreement, except</w:t>
      </w:r>
    </w:p>
    <w:p>
      <w:pPr>
        <w:spacing w:after="0" w:line="39" w:lineRule="exact"/>
        <w:rPr>
          <w:sz w:val="20"/>
          <w:szCs w:val="20"/>
          <w:color w:val="auto"/>
        </w:rPr>
      </w:pPr>
    </w:p>
    <w:p>
      <w:pPr>
        <w:jc w:val="both"/>
        <w:ind w:firstLine="8"/>
        <w:spacing w:after="0" w:line="241" w:lineRule="auto"/>
        <w:tabs>
          <w:tab w:leader="none" w:pos="27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Swap Agreements entered into to hedge or mitigate risks to which any Borrower or any Subsidiary has actual exposure (other than those in respect of Equity Interests of any Borrower or any Subsidiary),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Restricted Payments; Payments of Subordinated Indebtedness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1" w:lineRule="auto"/>
        <w:tabs>
          <w:tab w:leader="none" w:pos="19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declare or make, or agree to declare or make, directly or indirectly, any Restricted Payment, or incur any obligation (contingent or otherwise) to do so, except (i) the Borrowers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Borrowers may make Restricted Payments pursuant to and in accordance with stock option plans or other benefit plans for management or employees of the Company and their Subsidiaries, in an aggregate amount not to exceed $1,000,000 during any fiscal year of the Borrowers, (iv) non-recurring stock option and employee benefit plan payments in connection with an initial public offering of the Company in an aggregate amount not to exceed $30,000,000, (v) other than in connection with an initial public offering of the Company, the Borrowers may purchase of capital stock from former or current employees, officers, consultants and directors pursuant to employee stock purchase plans, stockholder plans, director or consultant stock option plans, employee stock option agreements,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0" w:name="page131"/>
    <w:bookmarkEnd w:id="130"/>
    <w:p>
      <w:pPr>
        <w:jc w:val="both"/>
        <w:ind w:left="660"/>
        <w:spacing w:after="0" w:line="255" w:lineRule="auto"/>
        <w:rPr>
          <w:sz w:val="20"/>
          <w:szCs w:val="20"/>
          <w:color w:val="auto"/>
        </w:rPr>
      </w:pPr>
      <w:r>
        <w:rPr>
          <w:rFonts w:ascii="Arial" w:cs="Arial" w:eastAsia="Arial" w:hAnsi="Arial"/>
          <w:sz w:val="19"/>
          <w:szCs w:val="19"/>
          <w:color w:val="auto"/>
        </w:rPr>
        <w:t>equity incentive plans or other similar agreements or plans; provided such purchases do not exceed $30,000,000 in the aggregate per fiscal year, (vi) the Company may make Restricted Payments required to be made pursuant to Section 7 of the Restricted Preferred Stock Award Agreement so long as the aggregate amount of all such Restricted Payments shall not exceed $5,000,000 (it being understood that the Company may make additional Restricted Payments on account of the Restricted Preferred Stock Award Agreement to the extent the conditions set forth in clause (vii) of this Section 6.08 are satisfied), (vii) dividends prior to the consummation of an initial public offering in an aggregate amount not to exceed $35,000,000 and (viii) the Company may make other Restricted Payments from time to time, so long as (a) no Default or Event of Default has occurred and is continuing or would result after giving effect to such Restricted Payment and (b) before and after giving effect to such Restricted Payment the Total Net Leverage Ratio, on a pro forma basis, does not exceed 3.00 to 1.00 for the most recently completed four fiscal quarter period prior to such Restricted Payment.</w:t>
      </w:r>
    </w:p>
    <w:p>
      <w:pPr>
        <w:spacing w:after="0" w:line="190" w:lineRule="exact"/>
        <w:rPr>
          <w:sz w:val="20"/>
          <w:szCs w:val="20"/>
          <w:color w:val="auto"/>
        </w:rPr>
      </w:pPr>
    </w:p>
    <w:p>
      <w:pPr>
        <w:jc w:val="both"/>
        <w:ind w:left="660" w:firstLine="644"/>
        <w:spacing w:after="0" w:line="260" w:lineRule="auto"/>
        <w:tabs>
          <w:tab w:leader="none" w:pos="194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 Loan Party will, nor will it permit any Subsidiary to, make or agree to pay or make, directly or indirectly, any payment or other distribution (whether in cash, securities or other property) of or in respect of principal of or interest on any Subordinated Indebtedness, or any payment or other distribution (whether in cash, securities or other property), including any sinking fund or similar deposit, on account of the purchase, redemption, retirement, acquisition, cancellation or termination of any Subordinated Indebtedness, except in accordance with the subordination provisions applicable thereto.</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SECTION 6.09.</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Loan Parties not involving any other Affiliate, (c) any investment permitted by Sections 6.04(c) or 6.04(d), (d) any Indebtedness permitted under Section 6.01(c), (e) any Restricted Payment permitted by Section 6.08,</w:t>
      </w:r>
    </w:p>
    <w:p>
      <w:pPr>
        <w:spacing w:after="0" w:line="1" w:lineRule="exact"/>
        <w:rPr>
          <w:sz w:val="20"/>
          <w:szCs w:val="20"/>
          <w:color w:val="auto"/>
        </w:rPr>
      </w:pPr>
    </w:p>
    <w:p>
      <w:pPr>
        <w:jc w:val="both"/>
        <w:ind w:firstLine="8"/>
        <w:spacing w:after="0" w:line="266" w:lineRule="auto"/>
        <w:tabs>
          <w:tab w:leader="none" w:pos="2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loans or advances to employees permitted under Section 6.04(f), (g) the payment of reasonable fees to directors of any Borrower or any Subsidiary who are not employees of such Borrower or any Subsidiary, and compensation and employee benefit arrangements paid to, and indemnities provided for the benefit of, directors, officers or employees of the Borrowers or their Subsidiaries in the ordinary course of business, (h) any issuances of securities or other payments, awards or grants in cash, securities or otherwise pursuant to, or the funding of, employment agreements, equity based awards, stock options and stock ownership plans approved by a Borrower’s board of directors and</w:t>
      </w:r>
    </w:p>
    <w:p>
      <w:pPr>
        <w:ind w:left="240" w:hanging="232"/>
        <w:spacing w:after="0"/>
        <w:tabs>
          <w:tab w:leader="none" w:pos="24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contribution to the capital of the Company or any purchase of Equity Interests of the Company.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Restrictive Agreements</w:t>
      </w:r>
      <w:r>
        <w:rPr>
          <w:rFonts w:ascii="Arial" w:cs="Arial" w:eastAsia="Arial" w:hAnsi="Arial"/>
          <w:sz w:val="19"/>
          <w:szCs w:val="19"/>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Equity Interests or to make or repay loans or advances to any Borrower or any other Subsidiary or to Guarantee Indebtedness of any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Arial" w:cs="Arial" w:eastAsia="Arial" w:hAnsi="Arial"/>
          <w:sz w:val="19"/>
          <w:szCs w:val="19"/>
          <w:u w:val="single" w:color="auto"/>
          <w:color w:val="auto"/>
        </w:rPr>
        <w:t>Schedule 6.10</w:t>
      </w:r>
      <w:r>
        <w:rPr>
          <w:rFonts w:ascii="Arial" w:cs="Arial" w:eastAsia="Arial" w:hAnsi="Arial"/>
          <w:sz w:val="19"/>
          <w:szCs w:val="19"/>
          <w:color w:val="auto"/>
        </w:rPr>
        <w:t xml:space="preserve"> (but shall apply to any extension or renewal of, or any amendment or modification expanding the scope of, any such restriction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1" w:name="page132"/>
    <w:bookmarkEnd w:id="131"/>
    <w:p>
      <w:pPr>
        <w:jc w:val="both"/>
        <w:ind w:firstLine="8"/>
        <w:spacing w:after="0" w:line="278" w:lineRule="auto"/>
        <w:tabs>
          <w:tab w:leader="none" w:pos="37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SECTION 6.11.</w:t>
      </w:r>
      <w:r>
        <w:rPr>
          <w:rFonts w:ascii="Arial" w:cs="Arial" w:eastAsia="Arial" w:hAnsi="Arial"/>
          <w:sz w:val="20"/>
          <w:szCs w:val="20"/>
          <w:u w:val="single" w:color="auto"/>
          <w:color w:val="auto"/>
        </w:rPr>
        <w:t>Amendment of Material Documents</w:t>
      </w:r>
      <w:r>
        <w:rPr>
          <w:rFonts w:ascii="Arial" w:cs="Arial" w:eastAsia="Arial" w:hAnsi="Arial"/>
          <w:sz w:val="20"/>
          <w:szCs w:val="20"/>
          <w:color w:val="auto"/>
        </w:rPr>
        <w:t>. No Loan Party will, nor will it permit any Subsidiary to, amend, modify or waive any of its rights under (a) any agreement relating to any Subordinated Indebtedness except in accordance with any subordination agreement or intercreditor agreement related thereto or (b) its charter, articles or certificate of organization or incorporation and bylaws or operating, management or partnership agreement, or other organizational or governing documents, to the extent any such amendment, modification or waiver would be materially adverse to the Lenders.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SECTION 6.12.</w:t>
      </w:r>
      <w:r>
        <w:rPr>
          <w:rFonts w:ascii="Arial" w:cs="Arial" w:eastAsia="Arial" w:hAnsi="Arial"/>
          <w:sz w:val="20"/>
          <w:szCs w:val="20"/>
          <w:u w:val="single" w:color="auto"/>
          <w:color w:val="auto"/>
        </w:rPr>
        <w:t>Financial Covenant</w:t>
      </w:r>
      <w:r>
        <w:rPr>
          <w:rFonts w:ascii="Arial" w:cs="Arial" w:eastAsia="Arial" w:hAnsi="Arial"/>
          <w:sz w:val="20"/>
          <w:szCs w:val="20"/>
          <w:color w:val="auto"/>
        </w:rPr>
        <w:t>. Borrowers will not permit the Total Net Leverage Ratio, on the last day of any fiscal quarter (commencing with the fiscal quarter ending June 30, 2021), to be greater than 3.50 to 1.00.</w:t>
      </w:r>
    </w:p>
    <w:p>
      <w:pPr>
        <w:spacing w:after="0" w:line="18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Events of Default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7.01.</w:t>
      </w:r>
      <w:r>
        <w:rPr>
          <w:rFonts w:ascii="Arial" w:cs="Arial" w:eastAsia="Arial" w:hAnsi="Arial"/>
          <w:sz w:val="20"/>
          <w:szCs w:val="20"/>
          <w:u w:val="single" w:color="auto"/>
          <w:color w:val="auto"/>
        </w:rPr>
        <w:t>Events of Default</w:t>
      </w:r>
      <w:r>
        <w:rPr>
          <w:rFonts w:ascii="Arial" w:cs="Arial" w:eastAsia="Arial" w:hAnsi="Arial"/>
          <w:sz w:val="20"/>
          <w:szCs w:val="20"/>
          <w:color w:val="auto"/>
        </w:rPr>
        <w:t>. 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216" w:lineRule="exact"/>
        <w:rPr>
          <w:sz w:val="20"/>
          <w:szCs w:val="20"/>
          <w:color w:val="auto"/>
        </w:rPr>
      </w:pPr>
    </w:p>
    <w:p>
      <w:pPr>
        <w:jc w:val="both"/>
        <w:ind w:left="660" w:firstLine="644"/>
        <w:spacing w:after="0" w:line="250" w:lineRule="auto"/>
        <w:tabs>
          <w:tab w:leader="none" w:pos="194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5" w:lineRule="exact"/>
        <w:rPr>
          <w:rFonts w:ascii="Arial" w:cs="Arial" w:eastAsia="Arial" w:hAnsi="Arial"/>
          <w:sz w:val="20"/>
          <w:szCs w:val="20"/>
          <w:color w:val="auto"/>
        </w:rPr>
      </w:pPr>
    </w:p>
    <w:p>
      <w:pPr>
        <w:jc w:val="both"/>
        <w:ind w:left="660" w:firstLine="644"/>
        <w:spacing w:after="0" w:line="269" w:lineRule="auto"/>
        <w:tabs>
          <w:tab w:leader="none" w:pos="194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Borrowers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69" w:lineRule="exact"/>
        <w:rPr>
          <w:rFonts w:ascii="Arial" w:cs="Arial" w:eastAsia="Arial" w:hAnsi="Arial"/>
          <w:sz w:val="19"/>
          <w:szCs w:val="19"/>
          <w:color w:val="auto"/>
        </w:rPr>
      </w:pPr>
    </w:p>
    <w:p>
      <w:pPr>
        <w:jc w:val="both"/>
        <w:ind w:left="660" w:firstLine="644"/>
        <w:spacing w:after="0" w:line="260" w:lineRule="auto"/>
        <w:tabs>
          <w:tab w:leader="none" w:pos="1946"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80"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Section 5.02(a), 5.03 (with respect to a Loan Party’s existence) or 5.08 or in Article VI;</w:t>
      </w:r>
    </w:p>
    <w:p>
      <w:pPr>
        <w:spacing w:after="0" w:line="176" w:lineRule="exact"/>
        <w:rPr>
          <w:rFonts w:ascii="Arial" w:cs="Arial" w:eastAsia="Arial" w:hAnsi="Arial"/>
          <w:sz w:val="20"/>
          <w:szCs w:val="20"/>
          <w:color w:val="auto"/>
        </w:rPr>
      </w:pPr>
    </w:p>
    <w:p>
      <w:pPr>
        <w:ind w:left="660" w:firstLine="644"/>
        <w:spacing w:after="0" w:line="260" w:lineRule="auto"/>
        <w:tabs>
          <w:tab w:leader="none" w:pos="194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this Agreement (other than those specified in clause (a), (b) or (d))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2" w:name="page133"/>
    <w:bookmarkEnd w:id="132"/>
    <w:p>
      <w:pPr>
        <w:jc w:val="both"/>
        <w:ind w:left="660"/>
        <w:spacing w:after="0" w:line="259" w:lineRule="auto"/>
        <w:rPr>
          <w:sz w:val="20"/>
          <w:szCs w:val="20"/>
          <w:color w:val="auto"/>
        </w:rPr>
      </w:pPr>
      <w:r>
        <w:rPr>
          <w:rFonts w:ascii="Arial" w:cs="Arial" w:eastAsia="Arial" w:hAnsi="Arial"/>
          <w:sz w:val="19"/>
          <w:szCs w:val="19"/>
          <w:color w:val="auto"/>
        </w:rPr>
        <w:t>any other Loan Document,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5.11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of any other Loan Document;</w:t>
      </w:r>
    </w:p>
    <w:p>
      <w:pPr>
        <w:spacing w:after="0" w:line="178" w:lineRule="exact"/>
        <w:rPr>
          <w:sz w:val="20"/>
          <w:szCs w:val="20"/>
          <w:color w:val="auto"/>
        </w:rPr>
      </w:pPr>
    </w:p>
    <w:p>
      <w:pPr>
        <w:jc w:val="both"/>
        <w:ind w:left="660" w:firstLine="644"/>
        <w:spacing w:after="0" w:line="291" w:lineRule="auto"/>
        <w:tabs>
          <w:tab w:leader="none" w:pos="195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Loan Party or any Subsidiary shall fail to make any payment (whether of principal or interest and regardless of amount) in respect of any Material Indebtedness, when and as the same shall become due and payable (after giving effect to any applicable grace period set forth in the documents governing such Material Indebtedness and to the extent not waived);</w:t>
      </w:r>
    </w:p>
    <w:p>
      <w:pPr>
        <w:spacing w:after="0" w:line="151" w:lineRule="exact"/>
        <w:rPr>
          <w:rFonts w:ascii="Arial" w:cs="Arial" w:eastAsia="Arial" w:hAnsi="Arial"/>
          <w:sz w:val="18"/>
          <w:szCs w:val="18"/>
          <w:color w:val="auto"/>
        </w:rPr>
      </w:pPr>
    </w:p>
    <w:p>
      <w:pPr>
        <w:jc w:val="both"/>
        <w:ind w:left="660" w:firstLine="644"/>
        <w:spacing w:after="0" w:line="259" w:lineRule="auto"/>
        <w:tabs>
          <w:tab w:leader="none" w:pos="19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78" w:lineRule="exact"/>
        <w:rPr>
          <w:rFonts w:ascii="Arial" w:cs="Arial" w:eastAsia="Arial" w:hAnsi="Arial"/>
          <w:sz w:val="19"/>
          <w:szCs w:val="19"/>
          <w:color w:val="auto"/>
        </w:rPr>
      </w:pPr>
    </w:p>
    <w:p>
      <w:pPr>
        <w:jc w:val="both"/>
        <w:ind w:left="660" w:firstLine="644"/>
        <w:spacing w:after="0" w:line="259" w:lineRule="auto"/>
        <w:tabs>
          <w:tab w:leader="none" w:pos="1944"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a Loan Party or Material Domestic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Material Domestic Subsidiary or for a substantial part of its assets, and, in any such case, such proceeding or petition shall continue undismissed for sixty (60) days or an order or decree approving or ordering any of the foregoing shall be entered;</w:t>
      </w:r>
    </w:p>
    <w:p>
      <w:pPr>
        <w:spacing w:after="0" w:line="178" w:lineRule="exact"/>
        <w:rPr>
          <w:rFonts w:ascii="Arial" w:cs="Arial" w:eastAsia="Arial" w:hAnsi="Arial"/>
          <w:sz w:val="19"/>
          <w:szCs w:val="19"/>
          <w:color w:val="auto"/>
        </w:rPr>
      </w:pPr>
    </w:p>
    <w:p>
      <w:pPr>
        <w:jc w:val="both"/>
        <w:ind w:left="660" w:firstLine="644"/>
        <w:spacing w:after="0" w:line="242" w:lineRule="auto"/>
        <w:tabs>
          <w:tab w:leader="none" w:pos="195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Loan Party or any Material Domestic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Material Domestic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6" w:lineRule="exact"/>
        <w:rPr>
          <w:rFonts w:ascii="Arial" w:cs="Arial" w:eastAsia="Arial" w:hAnsi="Arial"/>
          <w:sz w:val="20"/>
          <w:szCs w:val="20"/>
          <w:color w:val="auto"/>
        </w:rPr>
      </w:pPr>
    </w:p>
    <w:p>
      <w:pPr>
        <w:ind w:left="660" w:firstLine="644"/>
        <w:spacing w:after="0" w:line="260" w:lineRule="auto"/>
        <w:tabs>
          <w:tab w:leader="none" w:pos="195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Loan Party or any Material Domestic Subsidiary shall become unable, admit in writing its inability, or publicly declare its intention not to, or fail generally, to pay its debts as they become due;</w:t>
      </w:r>
    </w:p>
    <w:p>
      <w:pPr>
        <w:spacing w:after="0" w:line="176" w:lineRule="exact"/>
        <w:rPr>
          <w:rFonts w:ascii="Arial" w:cs="Arial" w:eastAsia="Arial" w:hAnsi="Arial"/>
          <w:sz w:val="20"/>
          <w:szCs w:val="20"/>
          <w:color w:val="auto"/>
        </w:rPr>
      </w:pPr>
    </w:p>
    <w:p>
      <w:pPr>
        <w:ind w:left="660" w:firstLine="644"/>
        <w:spacing w:after="0" w:line="260" w:lineRule="auto"/>
        <w:tabs>
          <w:tab w:leader="none" w:pos="1944" w:val="left"/>
        </w:tabs>
        <w:numPr>
          <w:ilvl w:val="0"/>
          <w:numId w:val="133"/>
        </w:numPr>
        <w:rPr>
          <w:rFonts w:ascii="Arial" w:cs="Arial" w:eastAsia="Arial" w:hAnsi="Arial"/>
          <w:sz w:val="20"/>
          <w:szCs w:val="20"/>
          <w:color w:val="auto"/>
        </w:rPr>
      </w:pPr>
      <w:r>
        <w:rPr>
          <w:rFonts w:ascii="Arial" w:cs="Arial" w:eastAsia="Arial" w:hAnsi="Arial"/>
          <w:sz w:val="20"/>
          <w:szCs w:val="20"/>
          <w:color w:val="auto"/>
        </w:rPr>
        <w:t>one or more judgments for the payment of money in an aggregate amount in excess of $10,000,000 (to the extent not covered by insurance for which the insurer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3" w:name="page134"/>
    <w:bookmarkEnd w:id="133"/>
    <w:p>
      <w:pPr>
        <w:jc w:val="both"/>
        <w:ind w:left="660"/>
        <w:spacing w:after="0" w:line="243" w:lineRule="auto"/>
        <w:rPr>
          <w:sz w:val="20"/>
          <w:szCs w:val="20"/>
          <w:color w:val="auto"/>
        </w:rPr>
      </w:pPr>
      <w:r>
        <w:rPr>
          <w:rFonts w:ascii="Arial" w:cs="Arial" w:eastAsia="Arial" w:hAnsi="Arial"/>
          <w:sz w:val="20"/>
          <w:szCs w:val="20"/>
          <w:color w:val="auto"/>
        </w:rPr>
        <w:t>denied coverage) shall be rendered against any Loan Party, any Subsidiary or any combination thereof and the same shall remain undischarged for a period of thirty (30) consecutive days during which execution shall not be effectively stayed or bonded, or any action shall be legally taken by a judgment creditor to attach or levy upon any assets of any Loan Party or any Subsidiary to enforce any such judgment or any Loan Party or any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93" w:lineRule="exact"/>
        <w:rPr>
          <w:sz w:val="20"/>
          <w:szCs w:val="20"/>
          <w:color w:val="auto"/>
        </w:rPr>
      </w:pPr>
    </w:p>
    <w:p>
      <w:pPr>
        <w:ind w:left="660" w:firstLine="644"/>
        <w:spacing w:after="0" w:line="260" w:lineRule="auto"/>
        <w:tabs>
          <w:tab w:leader="none" w:pos="195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w:t>
      </w:r>
    </w:p>
    <w:p>
      <w:pPr>
        <w:spacing w:after="0" w:line="176" w:lineRule="exact"/>
        <w:rPr>
          <w:rFonts w:ascii="Arial" w:cs="Arial" w:eastAsia="Arial" w:hAnsi="Arial"/>
          <w:sz w:val="20"/>
          <w:szCs w:val="20"/>
          <w:color w:val="auto"/>
        </w:rPr>
      </w:pPr>
    </w:p>
    <w:p>
      <w:pPr>
        <w:ind w:left="1940" w:hanging="636"/>
        <w:spacing w:after="0"/>
        <w:tabs>
          <w:tab w:leader="none" w:pos="194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215"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Loan Guaranty shall fail to remain in full force or effect or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 including, but not limited to notice of termination delivered pursuant to Section 10.08;</w:t>
      </w:r>
    </w:p>
    <w:p>
      <w:pPr>
        <w:spacing w:after="0" w:line="194" w:lineRule="exact"/>
        <w:rPr>
          <w:rFonts w:ascii="Arial" w:cs="Arial" w:eastAsia="Arial" w:hAnsi="Arial"/>
          <w:sz w:val="20"/>
          <w:szCs w:val="20"/>
          <w:color w:val="auto"/>
        </w:rPr>
      </w:pPr>
    </w:p>
    <w:p>
      <w:pPr>
        <w:jc w:val="both"/>
        <w:ind w:left="660" w:firstLine="644"/>
        <w:spacing w:after="0" w:line="263" w:lineRule="auto"/>
        <w:tabs>
          <w:tab w:leader="none" w:pos="1944"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except as permitted by the terms of any Collateral Document, (i) any Collateral Document shall for any reason fail to create a valid security interest in any Collateral purported to be covered thereby other than by reason of any actions or failure to act by the Administrative Agent or a Lender, or (ii) any Lien securing any Secured Obligation shall cease to be a perfected, first priority Lien other than by reason of any actions or failure to act by the Administrative Agent or a Lender;</w:t>
      </w:r>
    </w:p>
    <w:p>
      <w:pPr>
        <w:spacing w:after="0" w:line="176"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Collateral Document shall fail to remain in full force or effect or any action shall be taken to discontinue or to assert the invalidity or unenforceability of any Collateral Document;</w:t>
      </w:r>
    </w:p>
    <w:p>
      <w:pPr>
        <w:spacing w:after="0" w:line="176" w:lineRule="exact"/>
        <w:rPr>
          <w:rFonts w:ascii="Arial" w:cs="Arial" w:eastAsia="Arial" w:hAnsi="Arial"/>
          <w:sz w:val="20"/>
          <w:szCs w:val="20"/>
          <w:color w:val="auto"/>
        </w:rPr>
      </w:pPr>
    </w:p>
    <w:p>
      <w:pPr>
        <w:jc w:val="both"/>
        <w:ind w:left="660" w:firstLine="644"/>
        <w:spacing w:after="0" w:line="282" w:lineRule="auto"/>
        <w:tabs>
          <w:tab w:leader="none" w:pos="19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any Loan Party or any holder of Subordinated Indebtedness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61" w:lineRule="exact"/>
        <w:rPr>
          <w:rFonts w:ascii="Arial" w:cs="Arial" w:eastAsia="Arial" w:hAnsi="Arial"/>
          <w:sz w:val="18"/>
          <w:szCs w:val="18"/>
          <w:color w:val="auto"/>
        </w:rPr>
      </w:pPr>
    </w:p>
    <w:p>
      <w:pPr>
        <w:ind w:left="660" w:firstLine="644"/>
        <w:spacing w:after="0" w:line="260" w:lineRule="auto"/>
        <w:tabs>
          <w:tab w:leader="none" w:pos="1951"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Loan Party is criminally indicted or convicted under any law that may reasonably be expected to lead to a forfeiture of any property of such Loan Party having a fair market value in excess of $1,000,000;</w:t>
      </w:r>
    </w:p>
    <w:p>
      <w:pPr>
        <w:spacing w:after="0" w:line="177"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either or both of the following actions, at the same or different times: (i) terminate the Commitments, whereupon the Commitments shall terminate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4" w:name="page135"/>
    <w:bookmarkEnd w:id="134"/>
    <w:p>
      <w:pPr>
        <w:jc w:val="both"/>
        <w:ind w:left="660" w:hanging="4"/>
        <w:spacing w:after="0" w:line="269" w:lineRule="auto"/>
        <w:tabs>
          <w:tab w:leader="none" w:pos="95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Commitments, shall automatically terminate and the principal of the Loans then outstanding, and cash collateral for the LC Exposure, together with accrued interest thereon and all fees (including, for the avoidance of doubt, any break funding payments) and other obligations of the Borrowers accrued hereunder and under any other Loan Document,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Authorization and Action</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1" w:lineRule="auto"/>
        <w:tabs>
          <w:tab w:leader="none" w:pos="19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69" w:lineRule="exact"/>
        <w:rPr>
          <w:rFonts w:ascii="Arial" w:cs="Arial" w:eastAsia="Arial" w:hAnsi="Arial"/>
          <w:sz w:val="18"/>
          <w:szCs w:val="18"/>
          <w:color w:val="auto"/>
        </w:rPr>
      </w:pPr>
    </w:p>
    <w:p>
      <w:pPr>
        <w:jc w:val="both"/>
        <w:ind w:left="660" w:firstLine="644"/>
        <w:spacing w:after="0" w:line="244" w:lineRule="auto"/>
        <w:tabs>
          <w:tab w:leader="none" w:pos="194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5" w:name="page136"/>
    <w:bookmarkEnd w:id="135"/>
    <w:p>
      <w:pPr>
        <w:jc w:val="both"/>
        <w:ind w:left="660"/>
        <w:spacing w:after="0" w:line="269" w:lineRule="auto"/>
        <w:rPr>
          <w:sz w:val="20"/>
          <w:szCs w:val="20"/>
          <w:color w:val="auto"/>
        </w:rPr>
      </w:pPr>
      <w:r>
        <w:rPr>
          <w:rFonts w:ascii="Arial" w:cs="Arial" w:eastAsia="Arial" w:hAnsi="Arial"/>
          <w:sz w:val="18"/>
          <w:szCs w:val="18"/>
          <w:color w:val="auto"/>
        </w:rPr>
        <w:t>writing, such instructions shall be binding upon each Lender and the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9" w:lineRule="exact"/>
        <w:rPr>
          <w:sz w:val="20"/>
          <w:szCs w:val="20"/>
          <w:color w:val="auto"/>
        </w:rPr>
      </w:pPr>
    </w:p>
    <w:p>
      <w:pPr>
        <w:jc w:val="both"/>
        <w:ind w:left="660" w:firstLine="644"/>
        <w:spacing w:after="0" w:line="246" w:lineRule="auto"/>
        <w:tabs>
          <w:tab w:leader="none" w:pos="1946" w:val="left"/>
        </w:tabs>
        <w:numPr>
          <w:ilvl w:val="0"/>
          <w:numId w:val="137"/>
        </w:numPr>
        <w:rPr>
          <w:rFonts w:ascii="Arial" w:cs="Arial" w:eastAsia="Arial" w:hAnsi="Arial"/>
          <w:sz w:val="20"/>
          <w:szCs w:val="20"/>
          <w:color w:val="auto"/>
        </w:rPr>
      </w:pPr>
      <w:r>
        <w:rPr>
          <w:rFonts w:ascii="Arial" w:cs="Arial" w:eastAsia="Arial" w:hAnsi="Arial"/>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91" w:lineRule="exact"/>
        <w:rPr>
          <w:rFonts w:ascii="Arial" w:cs="Arial" w:eastAsia="Arial" w:hAnsi="Arial"/>
          <w:sz w:val="20"/>
          <w:szCs w:val="20"/>
          <w:color w:val="auto"/>
        </w:rPr>
      </w:pPr>
    </w:p>
    <w:p>
      <w:pPr>
        <w:jc w:val="both"/>
        <w:ind w:left="1300" w:firstLine="652"/>
        <w:spacing w:after="0" w:line="255" w:lineRule="auto"/>
        <w:tabs>
          <w:tab w:leader="none" w:pos="2594"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89" w:lineRule="exact"/>
        <w:rPr>
          <w:rFonts w:ascii="Arial" w:cs="Arial" w:eastAsia="Arial" w:hAnsi="Arial"/>
          <w:sz w:val="19"/>
          <w:szCs w:val="19"/>
          <w:color w:val="auto"/>
        </w:rPr>
      </w:pPr>
    </w:p>
    <w:p>
      <w:pPr>
        <w:ind w:left="1300" w:firstLine="652"/>
        <w:spacing w:after="0" w:line="287" w:lineRule="auto"/>
        <w:tabs>
          <w:tab w:leader="none" w:pos="2595" w:val="left"/>
        </w:tabs>
        <w:numPr>
          <w:ilvl w:val="1"/>
          <w:numId w:val="137"/>
        </w:numPr>
        <w:rPr>
          <w:rFonts w:ascii="Arial" w:cs="Arial" w:eastAsia="Arial" w:hAnsi="Arial"/>
          <w:sz w:val="19"/>
          <w:szCs w:val="19"/>
          <w:color w:val="auto"/>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52"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6" w:name="page137"/>
    <w:bookmarkEnd w:id="136"/>
    <w:p>
      <w:pPr>
        <w:jc w:val="both"/>
        <w:ind w:left="660"/>
        <w:spacing w:after="0" w:line="243" w:lineRule="auto"/>
        <w:rPr>
          <w:sz w:val="20"/>
          <w:szCs w:val="20"/>
          <w:color w:val="auto"/>
        </w:rPr>
      </w:pPr>
      <w:r>
        <w:rPr>
          <w:rFonts w:ascii="Arial" w:cs="Arial" w:eastAsia="Arial" w:hAnsi="Arial"/>
          <w:sz w:val="20"/>
          <w:szCs w:val="20"/>
          <w:color w:val="auto"/>
        </w:rPr>
        <w:t>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93" w:lineRule="exact"/>
        <w:rPr>
          <w:sz w:val="20"/>
          <w:szCs w:val="20"/>
          <w:color w:val="auto"/>
        </w:rPr>
      </w:pPr>
    </w:p>
    <w:p>
      <w:pPr>
        <w:jc w:val="both"/>
        <w:ind w:left="660" w:firstLine="644"/>
        <w:spacing w:after="0" w:line="250" w:lineRule="auto"/>
        <w:tabs>
          <w:tab w:leader="none" w:pos="194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Arranger shall not have any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95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Borrowers) shall be entitled and empowered (but not obligated) by intervention in such proceeding or otherwise:</w:t>
      </w:r>
    </w:p>
    <w:p>
      <w:pPr>
        <w:spacing w:after="0" w:line="164" w:lineRule="exact"/>
        <w:rPr>
          <w:rFonts w:ascii="Arial" w:cs="Arial" w:eastAsia="Arial" w:hAnsi="Arial"/>
          <w:sz w:val="18"/>
          <w:szCs w:val="18"/>
          <w:color w:val="auto"/>
        </w:rPr>
      </w:pPr>
    </w:p>
    <w:p>
      <w:pPr>
        <w:jc w:val="both"/>
        <w:ind w:left="1300" w:firstLine="652"/>
        <w:spacing w:after="0" w:line="282" w:lineRule="auto"/>
        <w:tabs>
          <w:tab w:leader="none" w:pos="259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61" w:lineRule="exact"/>
        <w:rPr>
          <w:rFonts w:ascii="Arial" w:cs="Arial" w:eastAsia="Arial" w:hAnsi="Arial"/>
          <w:sz w:val="18"/>
          <w:szCs w:val="18"/>
          <w:color w:val="auto"/>
        </w:rPr>
      </w:pPr>
    </w:p>
    <w:p>
      <w:pPr>
        <w:ind w:left="1300" w:firstLine="652"/>
        <w:spacing w:after="0" w:line="260" w:lineRule="auto"/>
        <w:tabs>
          <w:tab w:leader="none" w:pos="2595" w:val="left"/>
        </w:tabs>
        <w:numPr>
          <w:ilvl w:val="1"/>
          <w:numId w:val="138"/>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0" w:lineRule="exact"/>
        <w:rPr>
          <w:sz w:val="20"/>
          <w:szCs w:val="20"/>
          <w:color w:val="auto"/>
        </w:rPr>
      </w:pPr>
    </w:p>
    <w:p>
      <w:pPr>
        <w:jc w:val="both"/>
        <w:ind w:left="660" w:firstLine="644"/>
        <w:spacing w:after="0" w:line="263" w:lineRule="auto"/>
        <w:tabs>
          <w:tab w:leader="none" w:pos="19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Borrowers or any Subsidiary, or any of their respective Affiliates, shall have any rights as a third party beneficiary under any such provisions. Each Secured Party, whether or not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7" w:name="page138"/>
    <w:bookmarkEnd w:id="137"/>
    <w:p>
      <w:pPr>
        <w:ind w:left="660"/>
        <w:spacing w:after="0" w:line="260" w:lineRule="auto"/>
        <w:rPr>
          <w:sz w:val="20"/>
          <w:szCs w:val="20"/>
          <w:color w:val="auto"/>
        </w:rPr>
      </w:pPr>
      <w:r>
        <w:rPr>
          <w:rFonts w:ascii="Arial" w:cs="Arial" w:eastAsia="Arial" w:hAnsi="Arial"/>
          <w:sz w:val="20"/>
          <w:szCs w:val="20"/>
          <w:color w:val="auto"/>
        </w:rPr>
        <w:t>will be deemed, by its acceptance of the benefits of the Collateral and of the Guarantees of the Secured Obligations provided under the Loan Documents, to have agreed to the provisions of this Article.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8.02.</w:t>
      </w:r>
      <w:r>
        <w:rPr>
          <w:rFonts w:ascii="Arial" w:cs="Arial" w:eastAsia="Arial" w:hAnsi="Arial"/>
          <w:sz w:val="20"/>
          <w:szCs w:val="20"/>
          <w:u w:val="single" w:color="auto"/>
          <w:color w:val="auto"/>
        </w:rPr>
        <w:t>Administrative Agent’s Reliance, Indemnification, Etc</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0" w:lineRule="auto"/>
        <w:tabs>
          <w:tab w:leader="none" w:pos="194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spacing w:after="0" w:line="172" w:lineRule="exact"/>
        <w:rPr>
          <w:rFonts w:ascii="Arial" w:cs="Arial" w:eastAsia="Arial" w:hAnsi="Arial"/>
          <w:sz w:val="18"/>
          <w:szCs w:val="18"/>
          <w:color w:val="auto"/>
        </w:rPr>
      </w:pPr>
    </w:p>
    <w:p>
      <w:pPr>
        <w:jc w:val="both"/>
        <w:ind w:left="660" w:firstLine="644"/>
        <w:spacing w:after="0" w:line="269" w:lineRule="auto"/>
        <w:tabs>
          <w:tab w:leader="none" w:pos="19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Borrowers,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to the contrary in this Agreement, the Administrative Agent shall not be responsible or have any liability for, or have any duty to ascertain, inquire into, monitor or enforce, compliance with the provisions of this Agreement relating to Competitors. Without limiting the generality of the foregoing, the Administrative Agent shall not (x) be obligated to ascertain, monitor or inquire as to whether any Lender or Participant or prospective Lender or Participant is a Competitor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8" w:name="page139"/>
    <w:bookmarkEnd w:id="138"/>
    <w:p>
      <w:pPr>
        <w:jc w:val="both"/>
        <w:ind w:left="660"/>
        <w:spacing w:after="0" w:line="250" w:lineRule="auto"/>
        <w:rPr>
          <w:sz w:val="20"/>
          <w:szCs w:val="20"/>
          <w:color w:val="auto"/>
        </w:rPr>
      </w:pPr>
      <w:r>
        <w:rPr>
          <w:rFonts w:ascii="Arial" w:cs="Arial" w:eastAsia="Arial" w:hAnsi="Arial"/>
          <w:sz w:val="20"/>
          <w:szCs w:val="20"/>
          <w:color w:val="auto"/>
        </w:rPr>
        <w:t>have any liability with respect to or arising out of any assignment or participation of Loans, or disclosure of confidential information, to any Competitor. Each Lender represents and warrants to the parties hereto that at the time it becomes a Lender, it is not a Competitor.</w:t>
      </w:r>
    </w:p>
    <w:p>
      <w:pPr>
        <w:spacing w:after="0" w:line="186" w:lineRule="exact"/>
        <w:rPr>
          <w:sz w:val="20"/>
          <w:szCs w:val="20"/>
          <w:color w:val="auto"/>
        </w:rPr>
      </w:pPr>
    </w:p>
    <w:p>
      <w:pPr>
        <w:jc w:val="both"/>
        <w:ind w:left="660" w:firstLine="644"/>
        <w:spacing w:after="0" w:line="269" w:lineRule="auto"/>
        <w:tabs>
          <w:tab w:leader="none" w:pos="19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8.03.</w:t>
      </w:r>
      <w:r>
        <w:rPr>
          <w:rFonts w:ascii="Arial" w:cs="Arial" w:eastAsia="Arial" w:hAnsi="Arial"/>
          <w:sz w:val="20"/>
          <w:szCs w:val="20"/>
          <w:u w:val="single" w:color="auto"/>
          <w:color w:val="auto"/>
        </w:rPr>
        <w:t>Posting of Communications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46" w:lineRule="auto"/>
        <w:tabs>
          <w:tab w:leader="none" w:pos="194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Each Borrower agrees that the Administrative Agent may, but shall not be obligated to, make any Communications available to the Lenders and the Issuing Banks by posting the Communications on IntraLinks™, DebtDomain, SyndTrak, ClearPar or any other electronic system chosen by the Administrative Agent to be its electronic transmission system (the “</w:t>
      </w:r>
      <w:r>
        <w:rPr>
          <w:rFonts w:ascii="Arial" w:cs="Arial" w:eastAsia="Arial" w:hAnsi="Arial"/>
          <w:sz w:val="20"/>
          <w:szCs w:val="20"/>
          <w:u w:val="single" w:color="auto"/>
          <w:color w:val="auto"/>
        </w:rPr>
        <w:t>Approved Electronic</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Platform</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660" w:firstLine="644"/>
        <w:spacing w:after="0" w:line="241" w:lineRule="auto"/>
        <w:tabs>
          <w:tab w:leader="none" w:pos="1944"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Borrower hereby approves distribution of the Communications through the Approved Electronic Platform and understands and assumes the risks of such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39" w:name="page140"/>
    <w:bookmarkEnd w:id="139"/>
    <w:p>
      <w:pPr>
        <w:jc w:val="both"/>
        <w:ind w:left="660" w:firstLine="644"/>
        <w:spacing w:after="0" w:line="254" w:lineRule="auto"/>
        <w:tabs>
          <w:tab w:leader="none" w:pos="194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ANY PARTY HERETO HAVE ANY LIABILITY TO ANY OTHER PERSON OR ENTITY FOR DAMAGES OF ANY KIND, OTHER THAN FOR DIRECT OR ACTUAL DAMAGES TO THE EXTENT THEY ARE DETERMINED BY A COURT OF COMPETENT JURISDICTION BY FINAL AND NON-APPEALABLE JUDGMENT TO HAVE RESULTED FROM THE GROSS NEGLIGENCE OR WILLFUL MISCONDUCT OF SUCH PARTY, INCLUDING DIRECT OR INDIRECT, SPECIAL, INCIDENTAL OR CONSEQUENTIAL DAMAGES, LOSSES OR EXPENSES (WHETHER IN TORT, CONTRACT OR OTHERWISE) ARISING OUT OF SUCH PARTY’S TRANSMISSION OF COMMUNICATIONS THROUGH THE INTERNET OR THE APPROVED ELECTRONIC PLATFORM.</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91" w:lineRule="exact"/>
        <w:rPr>
          <w:sz w:val="20"/>
          <w:szCs w:val="20"/>
          <w:color w:val="auto"/>
        </w:rPr>
      </w:pPr>
    </w:p>
    <w:p>
      <w:pPr>
        <w:jc w:val="both"/>
        <w:ind w:left="660" w:firstLine="644"/>
        <w:spacing w:after="0" w:line="243" w:lineRule="auto"/>
        <w:tabs>
          <w:tab w:leader="none" w:pos="194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Each Lender and the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95" w:lineRule="exact"/>
        <w:rPr>
          <w:rFonts w:ascii="Arial" w:cs="Arial" w:eastAsia="Arial" w:hAnsi="Arial"/>
          <w:sz w:val="20"/>
          <w:szCs w:val="20"/>
          <w:color w:val="auto"/>
        </w:rPr>
      </w:pPr>
    </w:p>
    <w:p>
      <w:pPr>
        <w:jc w:val="both"/>
        <w:ind w:left="660" w:firstLine="644"/>
        <w:spacing w:after="0" w:line="291" w:lineRule="auto"/>
        <w:tabs>
          <w:tab w:leader="none" w:pos="19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of the Lenders, each of the Issuing Banks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1" w:lineRule="exact"/>
        <w:rPr>
          <w:rFonts w:ascii="Arial" w:cs="Arial" w:eastAsia="Arial" w:hAnsi="Arial"/>
          <w:sz w:val="18"/>
          <w:szCs w:val="18"/>
          <w:color w:val="auto"/>
        </w:rPr>
      </w:pPr>
    </w:p>
    <w:p>
      <w:pPr>
        <w:ind w:left="660" w:firstLine="644"/>
        <w:spacing w:after="0" w:line="287" w:lineRule="auto"/>
        <w:tabs>
          <w:tab w:leader="none" w:pos="195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The Administrative Agent Individually</w:t>
      </w:r>
      <w:r>
        <w:rPr>
          <w:rFonts w:ascii="Arial" w:cs="Arial" w:eastAsia="Arial" w:hAnsi="Arial"/>
          <w:sz w:val="20"/>
          <w:szCs w:val="20"/>
          <w:color w:val="auto"/>
        </w:rPr>
        <w:t>. With respect to its Commitment, Loans and Letters of Credit, the Person serving as the Administrative Agent shall have and may exercise the same rights and powers hereunder and is subject to the same obligations and liabilities as and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0" w:name="page141"/>
    <w:bookmarkEnd w:id="140"/>
    <w:p>
      <w:pPr>
        <w:jc w:val="both"/>
        <w:spacing w:after="0" w:line="276" w:lineRule="auto"/>
        <w:rPr>
          <w:sz w:val="20"/>
          <w:szCs w:val="20"/>
          <w:color w:val="auto"/>
        </w:rPr>
      </w:pPr>
      <w:r>
        <w:rPr>
          <w:rFonts w:ascii="Arial" w:cs="Arial" w:eastAsia="Arial" w:hAnsi="Arial"/>
          <w:sz w:val="18"/>
          <w:szCs w:val="18"/>
          <w:color w:val="auto"/>
        </w:rPr>
        <w:t>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Successor Administrative Agent</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0" w:lineRule="auto"/>
        <w:tabs>
          <w:tab w:leader="none" w:pos="1946"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Administrative Agent may resign at any time by giving thirty (30) days’ prior written notice thereof to the Lenders, the Issuing Banks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thirty</w:t>
      </w:r>
    </w:p>
    <w:p>
      <w:pPr>
        <w:spacing w:after="0" w:line="2" w:lineRule="exact"/>
        <w:rPr>
          <w:rFonts w:ascii="Arial" w:cs="Arial" w:eastAsia="Arial" w:hAnsi="Arial"/>
          <w:sz w:val="18"/>
          <w:szCs w:val="18"/>
          <w:color w:val="auto"/>
        </w:rPr>
      </w:pPr>
    </w:p>
    <w:p>
      <w:pPr>
        <w:jc w:val="both"/>
        <w:ind w:left="660" w:hanging="4"/>
        <w:spacing w:after="0" w:line="253" w:lineRule="auto"/>
        <w:tabs>
          <w:tab w:leader="none" w:pos="105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days after the retiring Administrative Agent’s giving of notice of resignation, then the retiring Administrative Agent may, on behalf of the Lenders and the Issuing Banks, appoint a successor Administrative Agent, which shall be a bank with an office in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0" w:lineRule="exact"/>
        <w:rPr>
          <w:rFonts w:ascii="Arial" w:cs="Arial" w:eastAsia="Arial" w:hAnsi="Arial"/>
          <w:sz w:val="19"/>
          <w:szCs w:val="19"/>
          <w:color w:val="auto"/>
        </w:rPr>
      </w:pPr>
    </w:p>
    <w:p>
      <w:pPr>
        <w:jc w:val="both"/>
        <w:ind w:left="660" w:firstLine="644"/>
        <w:spacing w:after="0" w:line="255" w:lineRule="auto"/>
        <w:tabs>
          <w:tab w:leader="none" w:pos="1944" w:val="left"/>
        </w:tabs>
        <w:numPr>
          <w:ilvl w:val="1"/>
          <w:numId w:val="146"/>
        </w:numPr>
        <w:rPr>
          <w:rFonts w:ascii="Arial" w:cs="Arial" w:eastAsia="Arial" w:hAnsi="Arial"/>
          <w:sz w:val="19"/>
          <w:szCs w:val="19"/>
          <w:color w:val="auto"/>
        </w:rPr>
      </w:pPr>
      <w:r>
        <w:rPr>
          <w:rFonts w:ascii="Arial" w:cs="Arial" w:eastAsia="Arial" w:hAnsi="Arial"/>
          <w:sz w:val="19"/>
          <w:szCs w:val="19"/>
          <w:color w:val="auto"/>
        </w:rPr>
        <w:t>Notwithstanding paragraph (a) of this Section,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 Representative,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Security Document, including any action required to maintain the perfection of any such security interest),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1" w:name="page142"/>
    <w:bookmarkEnd w:id="141"/>
    <w:p>
      <w:pPr>
        <w:jc w:val="both"/>
        <w:ind w:left="660"/>
        <w:spacing w:after="0" w:line="255" w:lineRule="auto"/>
        <w:rPr>
          <w:sz w:val="20"/>
          <w:szCs w:val="20"/>
          <w:color w:val="auto"/>
        </w:rPr>
      </w:pPr>
      <w:r>
        <w:rPr>
          <w:rFonts w:ascii="Arial" w:cs="Arial" w:eastAsia="Arial" w:hAnsi="Arial"/>
          <w:sz w:val="19"/>
          <w:szCs w:val="19"/>
          <w:color w:val="auto"/>
        </w:rPr>
        <w:t>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the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8.06.</w:t>
      </w:r>
      <w:r>
        <w:rPr>
          <w:rFonts w:ascii="Arial" w:cs="Arial" w:eastAsia="Arial" w:hAnsi="Arial"/>
          <w:sz w:val="20"/>
          <w:szCs w:val="20"/>
          <w:u w:val="single" w:color="auto"/>
          <w:color w:val="auto"/>
        </w:rPr>
        <w:t>Acknowledgements of Lenders and Issuing Banks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69" w:lineRule="auto"/>
        <w:tabs>
          <w:tab w:leader="none" w:pos="19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3"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2" w:name="page143"/>
    <w:bookmarkEnd w:id="142"/>
    <w:p>
      <w:pPr>
        <w:jc w:val="both"/>
        <w:ind w:left="660" w:firstLine="644"/>
        <w:spacing w:after="0" w:line="269" w:lineRule="auto"/>
        <w:tabs>
          <w:tab w:leader="none" w:pos="1946"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Borrowers,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73" w:lineRule="exact"/>
        <w:rPr>
          <w:rFonts w:ascii="Arial" w:cs="Arial" w:eastAsia="Arial" w:hAnsi="Arial"/>
          <w:sz w:val="18"/>
          <w:szCs w:val="18"/>
          <w:color w:val="auto"/>
        </w:rPr>
      </w:pPr>
    </w:p>
    <w:p>
      <w:pPr>
        <w:ind w:left="1940" w:hanging="636"/>
        <w:spacing w:after="0"/>
        <w:tabs>
          <w:tab w:leader="none" w:pos="194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Payments Transmitted in Error.</w:t>
      </w:r>
    </w:p>
    <w:p>
      <w:pPr>
        <w:spacing w:after="0" w:line="215" w:lineRule="exact"/>
        <w:rPr>
          <w:rFonts w:ascii="Arial" w:cs="Arial" w:eastAsia="Arial" w:hAnsi="Arial"/>
          <w:sz w:val="20"/>
          <w:szCs w:val="20"/>
          <w:color w:val="auto"/>
        </w:rPr>
      </w:pPr>
    </w:p>
    <w:p>
      <w:pPr>
        <w:jc w:val="both"/>
        <w:ind w:left="1300" w:firstLine="652"/>
        <w:spacing w:after="0" w:line="269" w:lineRule="auto"/>
        <w:tabs>
          <w:tab w:leader="none" w:pos="2594" w:val="left"/>
        </w:tabs>
        <w:numPr>
          <w:ilvl w:val="1"/>
          <w:numId w:val="148"/>
        </w:numPr>
        <w:rPr>
          <w:rFonts w:ascii="Arial" w:cs="Arial" w:eastAsia="Arial" w:hAnsi="Arial"/>
          <w:sz w:val="18"/>
          <w:szCs w:val="18"/>
          <w:color w:val="auto"/>
        </w:rPr>
      </w:pPr>
      <w:r>
        <w:rPr>
          <w:rFonts w:ascii="Arial" w:cs="Arial" w:eastAsia="Arial" w:hAnsi="Arial"/>
          <w:sz w:val="18"/>
          <w:szCs w:val="18"/>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8.06(d) shall be conclusive, absent manifest error.</w:t>
      </w:r>
    </w:p>
    <w:p>
      <w:pPr>
        <w:spacing w:after="0" w:line="181" w:lineRule="exact"/>
        <w:rPr>
          <w:rFonts w:ascii="Arial" w:cs="Arial" w:eastAsia="Arial" w:hAnsi="Arial"/>
          <w:sz w:val="18"/>
          <w:szCs w:val="18"/>
          <w:color w:val="auto"/>
        </w:rPr>
      </w:pPr>
    </w:p>
    <w:p>
      <w:pPr>
        <w:jc w:val="both"/>
        <w:ind w:left="1300" w:firstLine="652"/>
        <w:spacing w:after="0" w:line="250" w:lineRule="auto"/>
        <w:tabs>
          <w:tab w:leader="none" w:pos="2595" w:val="left"/>
        </w:tabs>
        <w:numPr>
          <w:ilvl w:val="1"/>
          <w:numId w:val="148"/>
        </w:numPr>
        <w:rPr>
          <w:rFonts w:ascii="Arial" w:cs="Arial" w:eastAsia="Arial" w:hAnsi="Arial"/>
          <w:sz w:val="20"/>
          <w:szCs w:val="20"/>
          <w:color w:val="auto"/>
        </w:rPr>
      </w:pPr>
      <w:r>
        <w:rPr>
          <w:rFonts w:ascii="Arial" w:cs="Arial" w:eastAsia="Arial" w:hAnsi="Arial"/>
          <w:sz w:val="20"/>
          <w:szCs w:val="20"/>
          <w:color w:val="auto"/>
        </w:rPr>
        <w:t>Each Lender hereby further agrees that if it receives a Payment from the Administrative Agent or any of its Affiliates (x) that is in a different amount than, or on a different date from, that specified in a notice of payment sent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3" w:name="page144"/>
    <w:bookmarkEnd w:id="143"/>
    <w:p>
      <w:pPr>
        <w:jc w:val="both"/>
        <w:ind w:left="1300"/>
        <w:spacing w:after="0" w:line="255" w:lineRule="auto"/>
        <w:rPr>
          <w:sz w:val="20"/>
          <w:szCs w:val="20"/>
          <w:color w:val="auto"/>
        </w:rPr>
      </w:pPr>
      <w:r>
        <w:rPr>
          <w:rFonts w:ascii="Arial" w:cs="Arial" w:eastAsia="Arial" w:hAnsi="Arial"/>
          <w:sz w:val="19"/>
          <w:szCs w:val="19"/>
          <w:color w:val="auto"/>
        </w:rPr>
        <w:t>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90" w:lineRule="exact"/>
        <w:rPr>
          <w:sz w:val="20"/>
          <w:szCs w:val="20"/>
          <w:color w:val="auto"/>
        </w:rPr>
      </w:pPr>
    </w:p>
    <w:p>
      <w:pPr>
        <w:jc w:val="both"/>
        <w:ind w:left="1300" w:firstLine="652"/>
        <w:spacing w:after="0" w:line="244" w:lineRule="auto"/>
        <w:tabs>
          <w:tab w:leader="none" w:pos="259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Borrowers or any other Loan Party.</w:t>
      </w:r>
    </w:p>
    <w:p>
      <w:pPr>
        <w:spacing w:after="0" w:line="194" w:lineRule="exact"/>
        <w:rPr>
          <w:rFonts w:ascii="Arial" w:cs="Arial" w:eastAsia="Arial" w:hAnsi="Arial"/>
          <w:sz w:val="20"/>
          <w:szCs w:val="20"/>
          <w:color w:val="auto"/>
        </w:rPr>
      </w:pPr>
    </w:p>
    <w:p>
      <w:pPr>
        <w:jc w:val="both"/>
        <w:ind w:left="1300" w:firstLine="652"/>
        <w:spacing w:after="0" w:line="269" w:lineRule="auto"/>
        <w:tabs>
          <w:tab w:leader="none" w:pos="258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Each party’s obligations under this Section 8.06(d)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8.07.</w:t>
      </w:r>
      <w:r>
        <w:rPr>
          <w:rFonts w:ascii="Arial" w:cs="Arial" w:eastAsia="Arial" w:hAnsi="Arial"/>
          <w:sz w:val="20"/>
          <w:szCs w:val="20"/>
          <w:u w:val="single" w:color="auto"/>
          <w:color w:val="auto"/>
        </w:rPr>
        <w:t>Collateral Matters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2" w:lineRule="auto"/>
        <w:tabs>
          <w:tab w:leader="none" w:pos="194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70"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4" w:name="page145"/>
    <w:bookmarkEnd w:id="144"/>
    <w:p>
      <w:pPr>
        <w:jc w:val="both"/>
        <w:ind w:left="660"/>
        <w:spacing w:after="0" w:line="250" w:lineRule="auto"/>
        <w:rPr>
          <w:sz w:val="20"/>
          <w:szCs w:val="20"/>
          <w:color w:val="auto"/>
        </w:rPr>
      </w:pPr>
      <w:r>
        <w:rPr>
          <w:rFonts w:ascii="Arial" w:cs="Arial" w:eastAsia="Arial" w:hAnsi="Arial"/>
          <w:sz w:val="20"/>
          <w:szCs w:val="20"/>
          <w:color w:val="auto"/>
        </w:rPr>
        <w:t>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6" w:lineRule="exact"/>
        <w:rPr>
          <w:sz w:val="20"/>
          <w:szCs w:val="20"/>
          <w:color w:val="auto"/>
        </w:rPr>
      </w:pPr>
    </w:p>
    <w:p>
      <w:pPr>
        <w:jc w:val="both"/>
        <w:ind w:left="660" w:firstLine="644"/>
        <w:spacing w:after="0" w:line="243" w:lineRule="auto"/>
        <w:tabs>
          <w:tab w:leader="none" w:pos="194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SECTION 8.08.</w:t>
      </w:r>
      <w:r>
        <w:rPr>
          <w:rFonts w:ascii="Arial" w:cs="Arial" w:eastAsia="Arial" w:hAnsi="Arial"/>
          <w:sz w:val="18"/>
          <w:szCs w:val="18"/>
          <w:u w:val="single" w:color="auto"/>
          <w:color w:val="auto"/>
        </w:rPr>
        <w:t>Credit Bidding</w:t>
      </w:r>
      <w:r>
        <w:rPr>
          <w:rFonts w:ascii="Arial" w:cs="Arial" w:eastAsia="Arial" w:hAnsi="Arial"/>
          <w:sz w:val="18"/>
          <w:szCs w:val="18"/>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5" w:name="page146"/>
    <w:bookmarkEnd w:id="145"/>
    <w:p>
      <w:pPr>
        <w:jc w:val="both"/>
        <w:spacing w:after="0" w:line="256" w:lineRule="auto"/>
        <w:rPr>
          <w:sz w:val="20"/>
          <w:szCs w:val="20"/>
          <w:color w:val="auto"/>
        </w:rPr>
      </w:pPr>
      <w:r>
        <w:rPr>
          <w:rFonts w:ascii="Arial" w:cs="Arial" w:eastAsia="Arial" w:hAnsi="Arial"/>
          <w:sz w:val="19"/>
          <w:szCs w:val="19"/>
          <w:color w:val="auto"/>
        </w:rPr>
        <w:t>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8.09.</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82" w:lineRule="auto"/>
        <w:tabs>
          <w:tab w:leader="none" w:pos="19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at least one of the following is and will be true:</w:t>
      </w:r>
    </w:p>
    <w:p>
      <w:pPr>
        <w:spacing w:after="0" w:line="161" w:lineRule="exact"/>
        <w:rPr>
          <w:rFonts w:ascii="Arial" w:cs="Arial" w:eastAsia="Arial" w:hAnsi="Arial"/>
          <w:sz w:val="18"/>
          <w:szCs w:val="18"/>
          <w:color w:val="auto"/>
        </w:rPr>
      </w:pPr>
    </w:p>
    <w:p>
      <w:pPr>
        <w:ind w:left="1300" w:firstLine="652"/>
        <w:spacing w:after="0" w:line="260" w:lineRule="auto"/>
        <w:tabs>
          <w:tab w:leader="none" w:pos="2594" w:val="left"/>
        </w:tabs>
        <w:numPr>
          <w:ilvl w:val="1"/>
          <w:numId w:val="152"/>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76" w:lineRule="exact"/>
        <w:rPr>
          <w:rFonts w:ascii="Arial" w:cs="Arial" w:eastAsia="Arial" w:hAnsi="Arial"/>
          <w:sz w:val="20"/>
          <w:szCs w:val="20"/>
          <w:color w:val="auto"/>
        </w:rPr>
      </w:pPr>
    </w:p>
    <w:p>
      <w:pPr>
        <w:jc w:val="both"/>
        <w:ind w:left="1300" w:firstLine="652"/>
        <w:spacing w:after="0" w:line="274" w:lineRule="auto"/>
        <w:tabs>
          <w:tab w:leader="none" w:pos="2595"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8"/>
          <w:szCs w:val="18"/>
          <w:color w:val="auto"/>
        </w:rPr>
      </w:pPr>
    </w:p>
    <w:p>
      <w:pPr>
        <w:jc w:val="both"/>
        <w:ind w:left="1300" w:firstLine="652"/>
        <w:spacing w:after="0" w:line="269" w:lineRule="auto"/>
        <w:tabs>
          <w:tab w:leader="none" w:pos="259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3" w:lineRule="exact"/>
        <w:rPr>
          <w:rFonts w:ascii="Arial" w:cs="Arial" w:eastAsia="Arial" w:hAnsi="Arial"/>
          <w:sz w:val="18"/>
          <w:szCs w:val="18"/>
          <w:color w:val="auto"/>
        </w:rPr>
      </w:pPr>
    </w:p>
    <w:p>
      <w:pPr>
        <w:jc w:val="both"/>
        <w:ind w:left="1300"/>
        <w:spacing w:after="0" w:line="241" w:lineRule="auto"/>
        <w:rPr>
          <w:rFonts w:ascii="Arial" w:cs="Arial" w:eastAsia="Arial" w:hAnsi="Arial"/>
          <w:sz w:val="18"/>
          <w:szCs w:val="18"/>
          <w:color w:val="auto"/>
        </w:rPr>
      </w:pPr>
      <w:r>
        <w:rPr>
          <w:rFonts w:ascii="Arial" w:cs="Arial" w:eastAsia="Arial" w:hAnsi="Arial"/>
          <w:sz w:val="20"/>
          <w:szCs w:val="20"/>
          <w:color w:val="auto"/>
        </w:rPr>
        <w:t>(D)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6" w:name="page147"/>
    <w:bookmarkEnd w:id="146"/>
    <w:p>
      <w:pPr>
        <w:ind w:left="1300" w:firstLine="652"/>
        <w:spacing w:after="0" w:line="260" w:lineRule="auto"/>
        <w:tabs>
          <w:tab w:leader="none" w:pos="2585" w:val="left"/>
        </w:tabs>
        <w:numPr>
          <w:ilvl w:val="0"/>
          <w:numId w:val="153"/>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any Borrower or any other Loan Party, that none of the Administrative Agent or the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0" w:lineRule="exact"/>
        <w:rPr>
          <w:sz w:val="20"/>
          <w:szCs w:val="20"/>
          <w:color w:val="auto"/>
        </w:rPr>
      </w:pPr>
    </w:p>
    <w:p>
      <w:pPr>
        <w:jc w:val="both"/>
        <w:ind w:left="660" w:firstLine="644"/>
        <w:spacing w:after="0" w:line="271" w:lineRule="auto"/>
        <w:tabs>
          <w:tab w:leader="none" w:pos="19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Administrative Agent and the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SECTION 8.10.</w:t>
      </w:r>
      <w:r>
        <w:rPr>
          <w:rFonts w:ascii="Arial" w:cs="Arial" w:eastAsia="Arial" w:hAnsi="Arial"/>
          <w:sz w:val="19"/>
          <w:szCs w:val="19"/>
          <w:u w:val="single" w:color="auto"/>
          <w:color w:val="auto"/>
        </w:rPr>
        <w:t>Flood Laws</w:t>
      </w:r>
      <w:r>
        <w:rPr>
          <w:rFonts w:ascii="Arial" w:cs="Arial" w:eastAsia="Arial" w:hAnsi="Arial"/>
          <w:sz w:val="19"/>
          <w:szCs w:val="19"/>
          <w:color w:val="auto"/>
        </w:rPr>
        <w:t>. Chase has adopted internal policies and procedures that address requirements placed on federally regulated lenders under the National Flood Insurance Reform Act of 1994 and related legislation (the “</w:t>
      </w:r>
      <w:r>
        <w:rPr>
          <w:rFonts w:ascii="Arial" w:cs="Arial" w:eastAsia="Arial" w:hAnsi="Arial"/>
          <w:sz w:val="19"/>
          <w:szCs w:val="19"/>
          <w:u w:val="single" w:color="auto"/>
          <w:color w:val="auto"/>
        </w:rPr>
        <w:t>Flood Laws</w:t>
      </w:r>
      <w:r>
        <w:rPr>
          <w:rFonts w:ascii="Arial" w:cs="Arial" w:eastAsia="Arial" w:hAnsi="Arial"/>
          <w:sz w:val="19"/>
          <w:szCs w:val="19"/>
          <w:color w:val="auto"/>
        </w:rPr>
        <w:t>”). Chase, as administrative agent or collateral agent on a syndicated facility, will post on the applicable electronic platform (or otherwise distribute to each Lender in the syndicate) documents that it receives in connection with the Flood Laws. However, Chase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IX.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9.01.</w:t>
      </w:r>
      <w:r>
        <w:rPr>
          <w:rFonts w:ascii="Arial" w:cs="Arial" w:eastAsia="Arial" w:hAnsi="Arial"/>
          <w:sz w:val="20"/>
          <w:szCs w:val="20"/>
          <w:u w:val="single" w:color="auto"/>
          <w:color w:val="auto"/>
        </w:rPr>
        <w:t>Notices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0" w:lineRule="auto"/>
        <w:tabs>
          <w:tab w:leader="none" w:pos="1946"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7" w:name="page148"/>
    <w:bookmarkEnd w:id="147"/>
    <w:p>
      <w:pPr>
        <w:ind w:left="660"/>
        <w:spacing w:after="0"/>
        <w:rPr>
          <w:sz w:val="20"/>
          <w:szCs w:val="20"/>
          <w:color w:val="auto"/>
        </w:rPr>
      </w:pPr>
      <w:r>
        <w:rPr>
          <w:rFonts w:ascii="Arial" w:cs="Arial" w:eastAsia="Arial" w:hAnsi="Arial"/>
          <w:sz w:val="20"/>
          <w:szCs w:val="20"/>
          <w:color w:val="auto"/>
        </w:rPr>
        <w:t>by hand or overnight courier service, mailed by certified or registered mail or sent by fax, as follows:</w:t>
      </w:r>
    </w:p>
    <w:p>
      <w:pPr>
        <w:spacing w:after="0" w:line="216" w:lineRule="exact"/>
        <w:rPr>
          <w:sz w:val="20"/>
          <w:szCs w:val="20"/>
          <w:color w:val="auto"/>
        </w:rPr>
      </w:pPr>
    </w:p>
    <w:p>
      <w:pPr>
        <w:ind w:left="2600" w:hanging="648"/>
        <w:spacing w:after="0"/>
        <w:tabs>
          <w:tab w:leader="none" w:pos="260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if to any Loan Party, to it in care of the Borrower Representative at:</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The Honest Company,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12130 Millennium Drive, #500</w:t>
      </w:r>
    </w:p>
    <w:p>
      <w:pPr>
        <w:ind w:left="1960"/>
        <w:spacing w:after="0"/>
        <w:rPr>
          <w:sz w:val="20"/>
          <w:szCs w:val="20"/>
          <w:color w:val="auto"/>
        </w:rPr>
      </w:pPr>
      <w:r>
        <w:rPr>
          <w:rFonts w:ascii="Arial" w:cs="Arial" w:eastAsia="Arial" w:hAnsi="Arial"/>
          <w:sz w:val="20"/>
          <w:szCs w:val="20"/>
          <w:color w:val="auto"/>
        </w:rPr>
        <w:t>Los Angeles, CA 90094</w:t>
      </w:r>
    </w:p>
    <w:p>
      <w:pPr>
        <w:ind w:left="1960"/>
        <w:spacing w:after="0"/>
        <w:rPr>
          <w:sz w:val="20"/>
          <w:szCs w:val="20"/>
          <w:color w:val="auto"/>
        </w:rPr>
      </w:pPr>
      <w:r>
        <w:rPr>
          <w:rFonts w:ascii="Arial" w:cs="Arial" w:eastAsia="Arial" w:hAnsi="Arial"/>
          <w:sz w:val="20"/>
          <w:szCs w:val="20"/>
          <w:color w:val="auto"/>
        </w:rPr>
        <w:t>Attention: Kelly Kennedy</w:t>
      </w:r>
    </w:p>
    <w:p>
      <w:pPr>
        <w:ind w:left="1960"/>
        <w:spacing w:after="0"/>
        <w:rPr>
          <w:sz w:val="20"/>
          <w:szCs w:val="20"/>
          <w:color w:val="auto"/>
        </w:rPr>
      </w:pPr>
      <w:r>
        <w:rPr>
          <w:rFonts w:ascii="Arial" w:cs="Arial" w:eastAsia="Arial" w:hAnsi="Arial"/>
          <w:sz w:val="20"/>
          <w:szCs w:val="20"/>
          <w:color w:val="auto"/>
        </w:rPr>
        <w:t>Email: kkennedy@thehonestcompany.com</w:t>
      </w:r>
    </w:p>
    <w:p>
      <w:pPr>
        <w:spacing w:after="0" w:line="200" w:lineRule="exact"/>
        <w:rPr>
          <w:sz w:val="20"/>
          <w:szCs w:val="20"/>
          <w:color w:val="auto"/>
        </w:rPr>
      </w:pPr>
    </w:p>
    <w:p>
      <w:pPr>
        <w:ind w:left="2600" w:hanging="648"/>
        <w:spacing w:after="0"/>
        <w:tabs>
          <w:tab w:leader="none" w:pos="26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to the Administrative Agent or Chase in its capacity as an Issuing Bank, to JPMorgan Chase Bank, N.A.</w:t>
      </w:r>
    </w:p>
    <w:p>
      <w:pPr>
        <w:spacing w:after="0" w:line="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at:</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237 Park Avenue, Floor 6</w:t>
      </w:r>
    </w:p>
    <w:p>
      <w:pPr>
        <w:ind w:left="1960"/>
        <w:spacing w:after="0"/>
        <w:rPr>
          <w:sz w:val="20"/>
          <w:szCs w:val="20"/>
          <w:color w:val="auto"/>
        </w:rPr>
      </w:pPr>
      <w:r>
        <w:rPr>
          <w:rFonts w:ascii="Arial" w:cs="Arial" w:eastAsia="Arial" w:hAnsi="Arial"/>
          <w:sz w:val="20"/>
          <w:szCs w:val="20"/>
          <w:color w:val="auto"/>
        </w:rPr>
        <w:t>New York, NY, 10017</w:t>
      </w:r>
    </w:p>
    <w:p>
      <w:pPr>
        <w:ind w:left="1960"/>
        <w:spacing w:after="0"/>
        <w:rPr>
          <w:sz w:val="20"/>
          <w:szCs w:val="20"/>
          <w:color w:val="auto"/>
        </w:rPr>
      </w:pPr>
      <w:r>
        <w:rPr>
          <w:rFonts w:ascii="Arial" w:cs="Arial" w:eastAsia="Arial" w:hAnsi="Arial"/>
          <w:sz w:val="20"/>
          <w:szCs w:val="20"/>
          <w:color w:val="auto"/>
        </w:rPr>
        <w:t>Attention: Hormuz Kapadia</w:t>
      </w:r>
    </w:p>
    <w:p>
      <w:pPr>
        <w:ind w:left="1960"/>
        <w:spacing w:after="0"/>
        <w:rPr>
          <w:sz w:val="20"/>
          <w:szCs w:val="20"/>
          <w:color w:val="auto"/>
        </w:rPr>
      </w:pPr>
      <w:r>
        <w:rPr>
          <w:rFonts w:ascii="Arial" w:cs="Arial" w:eastAsia="Arial" w:hAnsi="Arial"/>
          <w:sz w:val="20"/>
          <w:szCs w:val="20"/>
          <w:color w:val="auto"/>
        </w:rPr>
        <w:t>Email: Hormuz.kapadia@jpmorgan.com</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Mayer Brown LLP</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71 S. Wacker Dr.</w:t>
      </w:r>
    </w:p>
    <w:p>
      <w:pPr>
        <w:ind w:left="1960"/>
        <w:spacing w:after="0"/>
        <w:rPr>
          <w:sz w:val="20"/>
          <w:szCs w:val="20"/>
          <w:color w:val="auto"/>
        </w:rPr>
      </w:pPr>
      <w:r>
        <w:rPr>
          <w:rFonts w:ascii="Arial" w:cs="Arial" w:eastAsia="Arial" w:hAnsi="Arial"/>
          <w:sz w:val="20"/>
          <w:szCs w:val="20"/>
          <w:color w:val="auto"/>
        </w:rPr>
        <w:t>Chicago, IL 60606</w:t>
      </w:r>
    </w:p>
    <w:p>
      <w:pPr>
        <w:ind w:left="1960"/>
        <w:spacing w:after="0"/>
        <w:rPr>
          <w:sz w:val="20"/>
          <w:szCs w:val="20"/>
          <w:color w:val="auto"/>
        </w:rPr>
      </w:pPr>
      <w:r>
        <w:rPr>
          <w:rFonts w:ascii="Arial" w:cs="Arial" w:eastAsia="Arial" w:hAnsi="Arial"/>
          <w:sz w:val="20"/>
          <w:szCs w:val="20"/>
          <w:color w:val="auto"/>
        </w:rPr>
        <w:t>Attention: Frederick C. Fisher</w:t>
      </w:r>
    </w:p>
    <w:p>
      <w:pPr>
        <w:ind w:left="1960"/>
        <w:spacing w:after="0"/>
        <w:rPr>
          <w:sz w:val="20"/>
          <w:szCs w:val="20"/>
          <w:color w:val="auto"/>
        </w:rPr>
      </w:pPr>
      <w:r>
        <w:rPr>
          <w:rFonts w:ascii="Arial" w:cs="Arial" w:eastAsia="Arial" w:hAnsi="Arial"/>
          <w:sz w:val="20"/>
          <w:szCs w:val="20"/>
          <w:color w:val="auto"/>
        </w:rPr>
        <w:t>Fax No: (312) 706-8179</w:t>
      </w:r>
    </w:p>
    <w:p>
      <w:pPr>
        <w:ind w:left="1960"/>
        <w:spacing w:after="0"/>
        <w:rPr>
          <w:sz w:val="20"/>
          <w:szCs w:val="20"/>
          <w:color w:val="auto"/>
        </w:rPr>
      </w:pPr>
      <w:r>
        <w:rPr>
          <w:rFonts w:ascii="Arial" w:cs="Arial" w:eastAsia="Arial" w:hAnsi="Arial"/>
          <w:sz w:val="20"/>
          <w:szCs w:val="20"/>
          <w:color w:val="auto"/>
        </w:rPr>
        <w:t>Email: ffisher@mayerbrown.com</w:t>
      </w:r>
    </w:p>
    <w:p>
      <w:pPr>
        <w:spacing w:after="0" w:line="227" w:lineRule="exact"/>
        <w:rPr>
          <w:sz w:val="20"/>
          <w:szCs w:val="20"/>
          <w:color w:val="auto"/>
        </w:rPr>
      </w:pPr>
    </w:p>
    <w:p>
      <w:pPr>
        <w:ind w:left="2600" w:hanging="648"/>
        <w:spacing w:after="0"/>
        <w:tabs>
          <w:tab w:leader="none" w:pos="26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to any other Lender or Issuing Bank, to it at its address or fax number set forth in its Administrative</w:t>
      </w:r>
    </w:p>
    <w:p>
      <w:pPr>
        <w:spacing w:after="0" w:line="2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Questionnaire.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 given during normal business hours for the recipient, such notice or communication shall be deemed to have been given at the opening of business on the next Business Day of the recipient, or (iii) delivered through Electronic Systems or Approved Electronic Platforms, as applicable, to the extent provided in paragraph (b) below shall be effective as provided in such paragraph.</w:t>
      </w:r>
    </w:p>
    <w:p>
      <w:pPr>
        <w:spacing w:after="0" w:line="180" w:lineRule="exact"/>
        <w:rPr>
          <w:sz w:val="20"/>
          <w:szCs w:val="20"/>
          <w:color w:val="auto"/>
        </w:rPr>
      </w:pPr>
    </w:p>
    <w:p>
      <w:pPr>
        <w:jc w:val="both"/>
        <w:ind w:left="660" w:firstLine="644"/>
        <w:spacing w:after="0" w:line="242" w:lineRule="auto"/>
        <w:tabs>
          <w:tab w:leader="none" w:pos="194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Notices and other communications to the Borrower Representative, any Loan Party, the Lenders and the Issuing Bank hereunder may be delivered or furnished by using Electronic Systems or Approved Electronic Platforms, as applicable, or pursuant to procedures approved by the Administrative Agent; provided that the foregoing shall not apply to notices pursuant to Article II unless otherwise agreed by the Administrative Agent and the applicable Lender. Each of the Administrative Agent and the Borrower Representative (on behalf of the Loan Parties) may, in its discretion, agree to accept notices and other communications to it hereunder by using Electronic Systems or Approved Electronic Platforms, as applicable, pursuant to procedures approved by it; provided that approval of such procedures may be limited to particular notices or communications. Unless the Administrative Agent otherwise proscribes,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8" w:name="page149"/>
    <w:bookmarkEnd w:id="148"/>
    <w:p>
      <w:pPr>
        <w:jc w:val="both"/>
        <w:ind w:left="660"/>
        <w:spacing w:after="0" w:line="256" w:lineRule="auto"/>
        <w:rPr>
          <w:sz w:val="20"/>
          <w:szCs w:val="20"/>
          <w:color w:val="auto"/>
        </w:rPr>
      </w:pPr>
      <w:r>
        <w:rPr>
          <w:rFonts w:ascii="Arial" w:cs="Arial" w:eastAsia="Arial" w:hAnsi="Arial"/>
          <w:sz w:val="19"/>
          <w:szCs w:val="19"/>
          <w:color w:val="auto"/>
        </w:rPr>
        <w:t>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a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4" w:lineRule="exact"/>
        <w:rPr>
          <w:sz w:val="20"/>
          <w:szCs w:val="20"/>
          <w:color w:val="auto"/>
        </w:rPr>
      </w:pPr>
    </w:p>
    <w:p>
      <w:pPr>
        <w:ind w:left="660" w:firstLine="644"/>
        <w:spacing w:after="0" w:line="260" w:lineRule="auto"/>
        <w:tabs>
          <w:tab w:leader="none" w:pos="1946"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Any party hereto may change its address, facsimile number or e-mail address for notices and other communications hereunder by notice to the other parties hereto.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9.02.</w:t>
      </w:r>
      <w:r>
        <w:rPr>
          <w:rFonts w:ascii="Arial" w:cs="Arial" w:eastAsia="Arial" w:hAnsi="Arial"/>
          <w:sz w:val="20"/>
          <w:szCs w:val="20"/>
          <w:u w:val="single" w:color="auto"/>
          <w:color w:val="auto"/>
        </w:rPr>
        <w:t>Waivers; Amendments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1" w:lineRule="auto"/>
        <w:tabs>
          <w:tab w:leader="none" w:pos="19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73" w:lineRule="exact"/>
        <w:rPr>
          <w:rFonts w:ascii="Arial" w:cs="Arial" w:eastAsia="Arial" w:hAnsi="Arial"/>
          <w:sz w:val="18"/>
          <w:szCs w:val="18"/>
          <w:color w:val="auto"/>
        </w:rPr>
      </w:pPr>
    </w:p>
    <w:p>
      <w:pPr>
        <w:jc w:val="both"/>
        <w:ind w:left="660" w:firstLine="644"/>
        <w:spacing w:after="0" w:line="270" w:lineRule="auto"/>
        <w:tabs>
          <w:tab w:leader="none" w:pos="19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Subject to Sections 2.09(f), 2.14(c) and 9.02(e),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(B)), (C) postpone any scheduled date of payment of the principal amount of any Loan or LC Disbursement, or any date for the payment of any interest, fees or other Obligations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49" w:name="page150"/>
    <w:bookmarkEnd w:id="149"/>
    <w:p>
      <w:pPr>
        <w:jc w:val="both"/>
        <w:ind w:left="660"/>
        <w:spacing w:after="0" w:line="268" w:lineRule="auto"/>
        <w:rPr>
          <w:sz w:val="20"/>
          <w:szCs w:val="20"/>
          <w:color w:val="auto"/>
        </w:rPr>
      </w:pPr>
      <w:r>
        <w:rPr>
          <w:rFonts w:ascii="Arial" w:cs="Arial" w:eastAsia="Arial" w:hAnsi="Arial"/>
          <w:sz w:val="18"/>
          <w:szCs w:val="18"/>
          <w:color w:val="auto"/>
        </w:rPr>
        <w:t>hereunder, or reduce the amount of, waive or excuse any such payment, or postpone the scheduled date of expiration of any Commitment, without the written consent of each Lender (including any such Lender that is a Defaulting Lender) directly affected thereby, (D) change Section 2.09(c) or Section 2.18(b) or (d) in a manner that would alter the ratable reduction of Commitments or the manner in which payments are shared, without the written consent of each Lender (other than any Defaulting Lender), (E)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(F) change Section 2.20, without the consent of each Lender (other than any Defaulting Lender),</w:t>
      </w:r>
    </w:p>
    <w:p>
      <w:pPr>
        <w:spacing w:after="0" w:line="3" w:lineRule="exact"/>
        <w:rPr>
          <w:sz w:val="20"/>
          <w:szCs w:val="20"/>
          <w:color w:val="auto"/>
        </w:rPr>
      </w:pPr>
    </w:p>
    <w:p>
      <w:pPr>
        <w:jc w:val="both"/>
        <w:ind w:left="660" w:hanging="4"/>
        <w:spacing w:after="0" w:line="268" w:lineRule="auto"/>
        <w:tabs>
          <w:tab w:leader="none" w:pos="100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release any Loan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modify or otherwise affect the rights or duties of the Administrative Agent or the Issuing Bank hereunder without the prior written consent of the Administrative Agent or the Issuing Bank, as the case may be (it being understood that any amendment to Section 2.20 shall require the consent of the Administrative Agent and the Issuing Bank);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such agreement shall amend or modify the provisions of Section 2.07 or any letter of credit application and any bilateral agreement between the Borrower Representative and the Issuing Bank regarding the Issuing Bank’s Issuing Bank Sublimit or the respective rights and obligations between the Borrower and the Issuing Bank in connection with the issuance of Letters of Credit without the prior written consent of the Administrative Agent and the Issuing Bank, respectively.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173" w:lineRule="exact"/>
        <w:rPr>
          <w:rFonts w:ascii="Arial" w:cs="Arial" w:eastAsia="Arial" w:hAnsi="Arial"/>
          <w:sz w:val="18"/>
          <w:szCs w:val="18"/>
          <w:color w:val="auto"/>
        </w:rPr>
      </w:pPr>
    </w:p>
    <w:p>
      <w:pPr>
        <w:jc w:val="both"/>
        <w:ind w:left="660" w:firstLine="644"/>
        <w:spacing w:after="0" w:line="271" w:lineRule="auto"/>
        <w:tabs>
          <w:tab w:leader="none" w:pos="194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0" w:name="page151"/>
    <w:bookmarkEnd w:id="150"/>
    <w:p>
      <w:pPr>
        <w:jc w:val="both"/>
        <w:ind w:left="660"/>
        <w:spacing w:after="0" w:line="273" w:lineRule="auto"/>
        <w:rPr>
          <w:sz w:val="20"/>
          <w:szCs w:val="20"/>
          <w:color w:val="auto"/>
        </w:rPr>
      </w:pPr>
      <w:r>
        <w:rPr>
          <w:rFonts w:ascii="Arial" w:cs="Arial" w:eastAsia="Arial" w:hAnsi="Arial"/>
          <w:sz w:val="18"/>
          <w:szCs w:val="18"/>
          <w:color w:val="auto"/>
        </w:rPr>
        <w:t xml:space="preserve">prior written authorization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 Representative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68" w:lineRule="exact"/>
        <w:rPr>
          <w:sz w:val="20"/>
          <w:szCs w:val="20"/>
          <w:color w:val="auto"/>
        </w:rPr>
      </w:pPr>
    </w:p>
    <w:p>
      <w:pPr>
        <w:jc w:val="both"/>
        <w:ind w:left="660" w:firstLine="644"/>
        <w:spacing w:after="0" w:line="268" w:lineRule="auto"/>
        <w:tabs>
          <w:tab w:leader="none" w:pos="194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then the Borrowers may elect to replace a Non-Consenting Lender as a Lender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1" w:lineRule="exact"/>
        <w:rPr>
          <w:rFonts w:ascii="Arial" w:cs="Arial" w:eastAsia="Arial" w:hAnsi="Arial"/>
          <w:sz w:val="18"/>
          <w:szCs w:val="18"/>
          <w:color w:val="auto"/>
        </w:rPr>
      </w:pPr>
    </w:p>
    <w:p>
      <w:pPr>
        <w:jc w:val="both"/>
        <w:ind w:left="660" w:firstLine="644"/>
        <w:spacing w:after="0" w:line="250" w:lineRule="auto"/>
        <w:tabs>
          <w:tab w:leader="none" w:pos="194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1" w:name="page152"/>
    <w:bookmarkEnd w:id="151"/>
    <w:p>
      <w:pPr>
        <w:ind w:left="660"/>
        <w:spacing w:after="0"/>
        <w:rPr>
          <w:sz w:val="20"/>
          <w:szCs w:val="20"/>
          <w:color w:val="auto"/>
        </w:rPr>
      </w:pPr>
      <w:r>
        <w:rPr>
          <w:rFonts w:ascii="Arial" w:cs="Arial" w:eastAsia="Arial" w:hAnsi="Arial"/>
          <w:sz w:val="20"/>
          <w:szCs w:val="20"/>
          <w:color w:val="auto"/>
        </w:rPr>
        <w:t>SECTION 9.03.</w:t>
      </w:r>
      <w:r>
        <w:rPr>
          <w:rFonts w:ascii="Arial" w:cs="Arial" w:eastAsia="Arial" w:hAnsi="Arial"/>
          <w:sz w:val="20"/>
          <w:szCs w:val="20"/>
          <w:u w:val="single" w:color="auto"/>
          <w:color w:val="auto"/>
        </w:rPr>
        <w:t>Expenses; Limitation of Liability; Indemnity; Etc.</w:t>
      </w:r>
    </w:p>
    <w:p>
      <w:pPr>
        <w:spacing w:after="0" w:line="216" w:lineRule="exact"/>
        <w:rPr>
          <w:sz w:val="20"/>
          <w:szCs w:val="20"/>
          <w:color w:val="auto"/>
        </w:rPr>
      </w:pPr>
    </w:p>
    <w:p>
      <w:pPr>
        <w:jc w:val="both"/>
        <w:ind w:left="660" w:firstLine="644"/>
        <w:spacing w:after="0" w:line="269" w:lineRule="auto"/>
        <w:tabs>
          <w:tab w:leader="none" w:pos="194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Loan Parties, jointly and severally, shall pay all (i) reasonable and documented out-of-pocket expenses incurred by the Administrative Agent and its Affiliates, including the reasonable and documented fees, charges and disbursements of counsel for the Administrative Agent (limited to one primary counsel, one local counsel in each reasonably necessary jurisdiction, one specialty counsel in each reasonably necessary specialty area, and one or more additional counsel if one or more actual conflicts of interest arise), in connection with the syndication and distribution (including, without limitation, via the internet or through an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Issuing Bank in connection with the issuance, amendment, renewal or extension of any Letter of Credit or any demand for payment thereunder and (iii) documented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documented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76" w:lineRule="exact"/>
        <w:rPr>
          <w:rFonts w:ascii="Arial" w:cs="Arial" w:eastAsia="Arial" w:hAnsi="Arial"/>
          <w:sz w:val="18"/>
          <w:szCs w:val="18"/>
          <w:color w:val="auto"/>
        </w:rPr>
      </w:pPr>
    </w:p>
    <w:p>
      <w:pPr>
        <w:ind w:left="2600" w:hanging="648"/>
        <w:spacing w:after="0"/>
        <w:tabs>
          <w:tab w:leader="none" w:pos="2600" w:val="left"/>
        </w:tabs>
        <w:numPr>
          <w:ilvl w:val="1"/>
          <w:numId w:val="164"/>
        </w:numPr>
        <w:rPr>
          <w:rFonts w:ascii="Arial" w:cs="Arial" w:eastAsia="Arial" w:hAnsi="Arial"/>
          <w:sz w:val="20"/>
          <w:szCs w:val="20"/>
          <w:color w:val="auto"/>
        </w:rPr>
      </w:pPr>
      <w:r>
        <w:rPr>
          <w:rFonts w:ascii="Arial" w:cs="Arial" w:eastAsia="Arial" w:hAnsi="Arial"/>
          <w:sz w:val="20"/>
          <w:szCs w:val="20"/>
          <w:color w:val="auto"/>
        </w:rPr>
        <w:t>appraisals and insurance reviews;</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595" w:val="left"/>
        </w:tabs>
        <w:numPr>
          <w:ilvl w:val="1"/>
          <w:numId w:val="164"/>
        </w:numPr>
        <w:rPr>
          <w:rFonts w:ascii="Arial" w:cs="Arial" w:eastAsia="Arial" w:hAnsi="Arial"/>
          <w:sz w:val="20"/>
          <w:szCs w:val="20"/>
          <w:color w:val="auto"/>
        </w:rPr>
      </w:pPr>
      <w:r>
        <w:rPr>
          <w:rFonts w:ascii="Arial" w:cs="Arial" w:eastAsia="Arial" w:hAnsi="Arial"/>
          <w:sz w:val="20"/>
          <w:szCs w:val="20"/>
          <w:color w:val="auto"/>
        </w:rPr>
        <w:t>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85" w:lineRule="exact"/>
        <w:rPr>
          <w:rFonts w:ascii="Arial" w:cs="Arial" w:eastAsia="Arial" w:hAnsi="Arial"/>
          <w:sz w:val="20"/>
          <w:szCs w:val="20"/>
          <w:color w:val="auto"/>
        </w:rPr>
      </w:pPr>
    </w:p>
    <w:p>
      <w:pPr>
        <w:ind w:left="1300" w:firstLine="652"/>
        <w:spacing w:after="0" w:line="260" w:lineRule="auto"/>
        <w:tabs>
          <w:tab w:leader="none" w:pos="25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background checks regarding senior management and/or key investors, as deemed necessary or appropriate in the sole discretion of the Administrative Agent;</w:t>
      </w:r>
    </w:p>
    <w:p>
      <w:pPr>
        <w:spacing w:after="0" w:line="176" w:lineRule="exact"/>
        <w:rPr>
          <w:rFonts w:ascii="Arial" w:cs="Arial" w:eastAsia="Arial" w:hAnsi="Arial"/>
          <w:sz w:val="20"/>
          <w:szCs w:val="20"/>
          <w:color w:val="auto"/>
        </w:rPr>
      </w:pPr>
    </w:p>
    <w:p>
      <w:pPr>
        <w:ind w:left="1300" w:right="20" w:firstLine="652"/>
        <w:spacing w:after="0" w:line="260" w:lineRule="auto"/>
        <w:tabs>
          <w:tab w:leader="none" w:pos="2585" w:val="left"/>
        </w:tabs>
        <w:numPr>
          <w:ilvl w:val="1"/>
          <w:numId w:val="164"/>
        </w:numPr>
        <w:rPr>
          <w:rFonts w:ascii="Arial" w:cs="Arial" w:eastAsia="Arial" w:hAnsi="Arial"/>
          <w:sz w:val="20"/>
          <w:szCs w:val="20"/>
          <w:color w:val="auto"/>
        </w:rPr>
      </w:pPr>
      <w:r>
        <w:rPr>
          <w:rFonts w:ascii="Arial" w:cs="Arial" w:eastAsia="Arial" w:hAnsi="Arial"/>
          <w:sz w:val="20"/>
          <w:szCs w:val="20"/>
          <w:color w:val="auto"/>
        </w:rPr>
        <w:t>Taxes, fees and other charges for lien searches and filing financing statements and continuations, and other actions to perfect, protect, and continue the Administrative Agent’s Liens;</w:t>
      </w:r>
    </w:p>
    <w:p>
      <w:pPr>
        <w:spacing w:after="0" w:line="176" w:lineRule="exact"/>
        <w:rPr>
          <w:rFonts w:ascii="Arial" w:cs="Arial" w:eastAsia="Arial" w:hAnsi="Arial"/>
          <w:sz w:val="20"/>
          <w:szCs w:val="20"/>
          <w:color w:val="auto"/>
        </w:rPr>
      </w:pPr>
    </w:p>
    <w:p>
      <w:pPr>
        <w:ind w:left="1300" w:firstLine="652"/>
        <w:spacing w:after="0" w:line="260" w:lineRule="auto"/>
        <w:tabs>
          <w:tab w:leader="none" w:pos="2584" w:val="left"/>
        </w:tabs>
        <w:numPr>
          <w:ilvl w:val="1"/>
          <w:numId w:val="164"/>
        </w:numPr>
        <w:rPr>
          <w:rFonts w:ascii="Arial" w:cs="Arial" w:eastAsia="Arial" w:hAnsi="Arial"/>
          <w:sz w:val="20"/>
          <w:szCs w:val="20"/>
          <w:color w:val="auto"/>
        </w:rPr>
      </w:pPr>
      <w:r>
        <w:rPr>
          <w:rFonts w:ascii="Arial" w:cs="Arial" w:eastAsia="Arial" w:hAnsi="Arial"/>
          <w:sz w:val="20"/>
          <w:szCs w:val="20"/>
          <w:color w:val="auto"/>
        </w:rPr>
        <w:t>sums paid or incurred to take any action required of any Loan Party under the Loan Documents that such Loan Party fails to pay or take; and</w:t>
      </w:r>
    </w:p>
    <w:p>
      <w:pPr>
        <w:spacing w:after="0" w:line="176" w:lineRule="exact"/>
        <w:rPr>
          <w:rFonts w:ascii="Arial" w:cs="Arial" w:eastAsia="Arial" w:hAnsi="Arial"/>
          <w:sz w:val="20"/>
          <w:szCs w:val="20"/>
          <w:color w:val="auto"/>
        </w:rPr>
      </w:pPr>
    </w:p>
    <w:p>
      <w:pPr>
        <w:ind w:left="1300" w:firstLine="652"/>
        <w:spacing w:after="0" w:line="260" w:lineRule="auto"/>
        <w:tabs>
          <w:tab w:leader="none" w:pos="2585" w:val="left"/>
        </w:tabs>
        <w:numPr>
          <w:ilvl w:val="1"/>
          <w:numId w:val="164"/>
        </w:numPr>
        <w:rPr>
          <w:rFonts w:ascii="Arial" w:cs="Arial" w:eastAsia="Arial" w:hAnsi="Arial"/>
          <w:sz w:val="20"/>
          <w:szCs w:val="20"/>
          <w:color w:val="auto"/>
        </w:rPr>
      </w:pPr>
      <w:r>
        <w:rPr>
          <w:rFonts w:ascii="Arial" w:cs="Arial" w:eastAsia="Arial" w:hAnsi="Arial"/>
          <w:sz w:val="20"/>
          <w:szCs w:val="20"/>
          <w:color w:val="auto"/>
        </w:rPr>
        <w:t>forwarding loan proceeds, collecting checks and other items of payment, and establishing and maintaining the accounts and lock boxes, and costs and expenses of preserving and protecting the Collateral.</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All of the foregoing fees, costs and expenses may be charged to the Borrowers as Revolving Loans or to another deposit account, all as described in Section 2.18(c).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2" w:name="page153"/>
    <w:bookmarkEnd w:id="152"/>
    <w:p>
      <w:pPr>
        <w:jc w:val="both"/>
        <w:ind w:left="660" w:firstLine="644"/>
        <w:spacing w:after="0" w:line="271" w:lineRule="auto"/>
        <w:tabs>
          <w:tab w:leader="none" w:pos="194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extent permitted by applicable law (i) neither any Borrower nor any other Loan Party shall assert, and each Borrower and each Loan Party hereby waives, any claim against the Administrative Agent, any Arranger, any Issuing Bank and any Lender, and any Related Party of any of the foregoing Persons (each such Person being called a “</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9.03(b) shall relieve any Borrower or any other Loan Party of any obligation it may have to indemnify an Indemnitee, as provided in Section 9.03(c), against any special, indirect, consequential or punitive damages asserted against such Indemnitee by a third party.</w:t>
      </w:r>
    </w:p>
    <w:p>
      <w:pPr>
        <w:spacing w:after="0" w:line="169" w:lineRule="exact"/>
        <w:rPr>
          <w:rFonts w:ascii="Arial" w:cs="Arial" w:eastAsia="Arial" w:hAnsi="Arial"/>
          <w:sz w:val="18"/>
          <w:szCs w:val="18"/>
          <w:color w:val="auto"/>
        </w:rPr>
      </w:pPr>
    </w:p>
    <w:p>
      <w:pPr>
        <w:jc w:val="both"/>
        <w:ind w:left="660" w:firstLine="644"/>
        <w:spacing w:after="0" w:line="269" w:lineRule="auto"/>
        <w:tabs>
          <w:tab w:leader="none" w:pos="1946"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The Loan Parties, jointly and severally, shall indemnify the Administrative Agent, each Arranger, each Issuing Bank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any action taken in connection with this Agreement, including, but not limited to, the payment of principal, interest and fees,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This </w:t>
      </w:r>
      <w:r>
        <w:rPr>
          <w:rFonts w:ascii="Arial" w:cs="Arial" w:eastAsia="Arial" w:hAnsi="Arial"/>
          <w:sz w:val="18"/>
          <w:szCs w:val="18"/>
          <w:u w:val="single" w:color="auto"/>
          <w:color w:val="auto"/>
        </w:rPr>
        <w:t>Section 9.03(b)</w:t>
      </w:r>
      <w:r>
        <w:rPr>
          <w:rFonts w:ascii="Arial" w:cs="Arial" w:eastAsia="Arial" w:hAnsi="Arial"/>
          <w:sz w:val="18"/>
          <w:szCs w:val="18"/>
          <w:color w:val="auto"/>
        </w:rPr>
        <w:t xml:space="preserve"> shall not apply with respect to Taxes other than any Taxes that represent losses or damages arising from any non-Tax claim.</w:t>
      </w:r>
    </w:p>
    <w:p>
      <w:pPr>
        <w:spacing w:after="0" w:line="171" w:lineRule="exact"/>
        <w:rPr>
          <w:rFonts w:ascii="Arial" w:cs="Arial" w:eastAsia="Arial" w:hAnsi="Arial"/>
          <w:sz w:val="18"/>
          <w:szCs w:val="18"/>
          <w:color w:val="auto"/>
        </w:rPr>
      </w:pPr>
    </w:p>
    <w:p>
      <w:pPr>
        <w:jc w:val="both"/>
        <w:ind w:left="660" w:firstLine="644"/>
        <w:spacing w:after="0" w:line="243" w:lineRule="auto"/>
        <w:tabs>
          <w:tab w:leader="none" w:pos="1944"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Lender Reimbursement</w:t>
      </w:r>
      <w:r>
        <w:rPr>
          <w:rFonts w:ascii="Arial" w:cs="Arial" w:eastAsia="Arial" w:hAnsi="Arial"/>
          <w:sz w:val="20"/>
          <w:szCs w:val="20"/>
          <w:color w:val="auto"/>
        </w:rPr>
        <w:t xml:space="preserve">. Each Lender severally agrees to pay any amount required to be paid by any Loan Party under paragraphs (a), (b) or (c) of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to the Administrative Agent and each Issuing Bank, and each Related Party of any of the foregoing Persons (each, an “</w:t>
      </w:r>
      <w:r>
        <w:rPr>
          <w:rFonts w:ascii="Arial" w:cs="Arial" w:eastAsia="Arial" w:hAnsi="Arial"/>
          <w:sz w:val="20"/>
          <w:szCs w:val="20"/>
          <w:u w:val="single" w:color="auto"/>
          <w:color w:val="auto"/>
        </w:rPr>
        <w:t>Agent-Related Person</w:t>
      </w:r>
      <w:r>
        <w:rPr>
          <w:rFonts w:ascii="Arial" w:cs="Arial" w:eastAsia="Arial" w:hAnsi="Arial"/>
          <w:sz w:val="20"/>
          <w:szCs w:val="20"/>
          <w:color w:val="auto"/>
        </w:rPr>
        <w:t>”) (to the extent not reimbursed by the Loan Parties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3" w:name="page154"/>
    <w:bookmarkEnd w:id="153"/>
    <w:p>
      <w:pPr>
        <w:jc w:val="both"/>
        <w:ind w:left="660"/>
        <w:spacing w:after="0" w:line="271" w:lineRule="auto"/>
        <w:rPr>
          <w:sz w:val="20"/>
          <w:szCs w:val="20"/>
          <w:color w:val="auto"/>
        </w:rPr>
      </w:pPr>
      <w:r>
        <w:rPr>
          <w:rFonts w:ascii="Arial" w:cs="Arial" w:eastAsia="Arial" w:hAnsi="Arial"/>
          <w:sz w:val="18"/>
          <w:szCs w:val="18"/>
          <w:color w:val="auto"/>
        </w:rPr>
        <w:t xml:space="preserve">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in Full of the Secured Obligations.</w:t>
      </w:r>
    </w:p>
    <w:p>
      <w:pPr>
        <w:spacing w:after="0" w:line="170" w:lineRule="exact"/>
        <w:rPr>
          <w:sz w:val="20"/>
          <w:szCs w:val="20"/>
          <w:color w:val="auto"/>
        </w:rPr>
      </w:pPr>
    </w:p>
    <w:p>
      <w:pPr>
        <w:ind w:left="660" w:right="740" w:firstLine="644"/>
        <w:spacing w:after="0" w:line="464" w:lineRule="auto"/>
        <w:tabs>
          <w:tab w:leader="none" w:pos="1946"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Section 9.03 shall be payable promptly after written demand therefor. SECTION 9.04.</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w:t>
      </w:r>
    </w:p>
    <w:p>
      <w:pPr>
        <w:spacing w:after="0" w:line="2" w:lineRule="exact"/>
        <w:rPr>
          <w:sz w:val="20"/>
          <w:szCs w:val="20"/>
          <w:color w:val="auto"/>
        </w:rPr>
      </w:pPr>
    </w:p>
    <w:p>
      <w:pPr>
        <w:jc w:val="both"/>
        <w:ind w:left="660" w:firstLine="644"/>
        <w:spacing w:after="0" w:line="241" w:lineRule="auto"/>
        <w:tabs>
          <w:tab w:leader="none" w:pos="194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01" w:lineRule="exact"/>
        <w:rPr>
          <w:rFonts w:ascii="Arial" w:cs="Arial" w:eastAsia="Arial" w:hAnsi="Arial"/>
          <w:sz w:val="20"/>
          <w:szCs w:val="20"/>
          <w:color w:val="auto"/>
        </w:rPr>
      </w:pPr>
    </w:p>
    <w:p>
      <w:pPr>
        <w:jc w:val="both"/>
        <w:ind w:left="660" w:firstLine="644"/>
        <w:spacing w:after="0" w:line="246" w:lineRule="auto"/>
        <w:tabs>
          <w:tab w:leader="none" w:pos="194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spacing w:after="0" w:line="191" w:lineRule="exact"/>
        <w:rPr>
          <w:rFonts w:ascii="Arial" w:cs="Arial" w:eastAsia="Arial" w:hAnsi="Arial"/>
          <w:sz w:val="20"/>
          <w:szCs w:val="20"/>
          <w:color w:val="auto"/>
        </w:rPr>
      </w:pPr>
    </w:p>
    <w:p>
      <w:pPr>
        <w:jc w:val="both"/>
        <w:ind w:left="660" w:firstLine="1945"/>
        <w:spacing w:after="0" w:line="260" w:lineRule="auto"/>
        <w:tabs>
          <w:tab w:leader="none" w:pos="318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the Borrower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Representative shall be deemed to have consented to an assignment of all or a portion of the Revolving Loans and Commitments unless it shall object thereto by written notice to the Administrative Agent within ten (10) Business Days after having received notice thereof,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4" w:name="page155"/>
    <w:bookmarkEnd w:id="154"/>
    <w:p>
      <w:pPr>
        <w:ind w:left="3060" w:hanging="455"/>
        <w:spacing w:after="0"/>
        <w:tabs>
          <w:tab w:leader="none" w:pos="30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Administrative Agent; and</w:t>
      </w:r>
    </w:p>
    <w:p>
      <w:pPr>
        <w:spacing w:after="0" w:line="215" w:lineRule="exact"/>
        <w:rPr>
          <w:rFonts w:ascii="Arial" w:cs="Arial" w:eastAsia="Arial" w:hAnsi="Arial"/>
          <w:sz w:val="20"/>
          <w:szCs w:val="20"/>
          <w:color w:val="auto"/>
        </w:rPr>
      </w:pPr>
    </w:p>
    <w:p>
      <w:pPr>
        <w:ind w:left="3060" w:hanging="455"/>
        <w:spacing w:after="0"/>
        <w:tabs>
          <w:tab w:leader="none" w:pos="30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Issuing Bank.</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jc w:val="both"/>
        <w:ind w:left="660" w:firstLine="1945"/>
        <w:spacing w:after="0" w:line="259" w:lineRule="auto"/>
        <w:tabs>
          <w:tab w:leader="none" w:pos="3111" w:val="left"/>
        </w:tabs>
        <w:numPr>
          <w:ilvl w:val="1"/>
          <w:numId w:val="169"/>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Representative shall be required if an Event of Default has occurred and is continuing;</w:t>
      </w:r>
    </w:p>
    <w:p>
      <w:pPr>
        <w:spacing w:after="0" w:line="178" w:lineRule="exact"/>
        <w:rPr>
          <w:rFonts w:ascii="Arial" w:cs="Arial" w:eastAsia="Arial" w:hAnsi="Arial"/>
          <w:sz w:val="19"/>
          <w:szCs w:val="19"/>
          <w:color w:val="auto"/>
        </w:rPr>
      </w:pPr>
    </w:p>
    <w:p>
      <w:pPr>
        <w:ind w:left="660" w:firstLine="1945"/>
        <w:spacing w:after="0" w:line="260" w:lineRule="auto"/>
        <w:tabs>
          <w:tab w:leader="none" w:pos="3152" w:val="left"/>
        </w:tabs>
        <w:numPr>
          <w:ilvl w:val="1"/>
          <w:numId w:val="169"/>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6" w:lineRule="exact"/>
        <w:rPr>
          <w:rFonts w:ascii="Arial" w:cs="Arial" w:eastAsia="Arial" w:hAnsi="Arial"/>
          <w:sz w:val="20"/>
          <w:szCs w:val="20"/>
          <w:color w:val="auto"/>
        </w:rPr>
      </w:pPr>
    </w:p>
    <w:p>
      <w:pPr>
        <w:jc w:val="both"/>
        <w:ind w:left="660" w:firstLine="1945"/>
        <w:spacing w:after="0" w:line="263" w:lineRule="auto"/>
        <w:tabs>
          <w:tab w:leader="none" w:pos="3074"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6" w:lineRule="exact"/>
        <w:rPr>
          <w:rFonts w:ascii="Arial" w:cs="Arial" w:eastAsia="Arial" w:hAnsi="Arial"/>
          <w:sz w:val="19"/>
          <w:szCs w:val="19"/>
          <w:color w:val="auto"/>
        </w:rPr>
      </w:pPr>
    </w:p>
    <w:p>
      <w:pPr>
        <w:jc w:val="both"/>
        <w:ind w:left="660" w:firstLine="1945"/>
        <w:spacing w:after="0" w:line="244" w:lineRule="auto"/>
        <w:tabs>
          <w:tab w:leader="none" w:pos="3144" w:val="left"/>
        </w:tabs>
        <w:numPr>
          <w:ilvl w:val="1"/>
          <w:numId w:val="169"/>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the purposes of this Section 9.04(b), the terms “</w:t>
      </w:r>
      <w:r>
        <w:rPr>
          <w:rFonts w:ascii="Arial" w:cs="Arial" w:eastAsia="Arial" w:hAnsi="Arial"/>
          <w:sz w:val="19"/>
          <w:szCs w:val="19"/>
          <w:u w:val="single" w:color="auto"/>
          <w:color w:val="auto"/>
        </w:rPr>
        <w:t>Approved Fund</w:t>
      </w:r>
      <w:r>
        <w:rPr>
          <w:rFonts w:ascii="Arial" w:cs="Arial" w:eastAsia="Arial" w:hAnsi="Arial"/>
          <w:sz w:val="19"/>
          <w:szCs w:val="19"/>
          <w:color w:val="auto"/>
        </w:rPr>
        <w:t>” and “</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have the following meanings:</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Ineligible Institution</w:t>
      </w:r>
      <w:r>
        <w:rPr>
          <w:rFonts w:ascii="Arial" w:cs="Arial" w:eastAsia="Arial" w:hAnsi="Arial"/>
          <w:sz w:val="19"/>
          <w:szCs w:val="19"/>
          <w:color w:val="auto"/>
        </w:rPr>
        <w:t xml:space="preserve">” means (a) a natural person, (b) a Defaulting Lender or its Parent, (c) holding company, investment vehicle or trust for, or owned and operated for the primary benefit of, a natural person or relative(s)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clause (c), such holding company, investment vehicle or trust shall not constitute an Ineligible Institution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assets greater than $25,000,000 and a significant part of its activities consist of making or purchasing commercial loans and similar extensions of credit in the ordinary course of its business; provided that upon the occurrence and during the continuance of an Event of Default, any Person (other than a Lender) shall be an Ineligible Institution if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5" w:name="page156"/>
    <w:bookmarkEnd w:id="155"/>
    <w:p>
      <w:pPr>
        <w:jc w:val="both"/>
        <w:spacing w:after="0" w:line="250" w:lineRule="auto"/>
        <w:rPr>
          <w:sz w:val="20"/>
          <w:szCs w:val="20"/>
          <w:color w:val="auto"/>
        </w:rPr>
      </w:pPr>
      <w:r>
        <w:rPr>
          <w:rFonts w:ascii="Arial" w:cs="Arial" w:eastAsia="Arial" w:hAnsi="Arial"/>
          <w:sz w:val="20"/>
          <w:szCs w:val="20"/>
          <w:color w:val="auto"/>
        </w:rPr>
        <w:t>to any proposed assignment to such Person, such Person would hold more than 25% of the then outstanding Aggregate Credit Exposure or Commitments, as the case may be, (d) a Loan Party or a Subsidiary or other Affiliate of a Loan Party or (e) so long as no Event of Default exists, any Competitor.</w:t>
      </w:r>
    </w:p>
    <w:p>
      <w:pPr>
        <w:spacing w:after="0" w:line="186" w:lineRule="exact"/>
        <w:rPr>
          <w:sz w:val="20"/>
          <w:szCs w:val="20"/>
          <w:color w:val="auto"/>
        </w:rPr>
      </w:pPr>
    </w:p>
    <w:p>
      <w:pPr>
        <w:jc w:val="both"/>
        <w:ind w:left="1300" w:firstLine="652"/>
        <w:spacing w:after="0" w:line="271" w:lineRule="auto"/>
        <w:tabs>
          <w:tab w:leader="none" w:pos="259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with respect to facts and circumstances occurring prior to the effective date of such assignment.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73" w:lineRule="exact"/>
        <w:rPr>
          <w:rFonts w:ascii="Arial" w:cs="Arial" w:eastAsia="Arial" w:hAnsi="Arial"/>
          <w:sz w:val="18"/>
          <w:szCs w:val="18"/>
          <w:color w:val="auto"/>
        </w:rPr>
      </w:pPr>
    </w:p>
    <w:p>
      <w:pPr>
        <w:jc w:val="both"/>
        <w:ind w:left="1300" w:firstLine="652"/>
        <w:spacing w:after="0" w:line="272" w:lineRule="auto"/>
        <w:tabs>
          <w:tab w:leader="none" w:pos="25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Borrowers, shall maintain at one of its offices in the United States a copy of each Assignment and Assumption delivered to it and a register for the recordation of the names and addresses of the Lenders, and the Commitment of, and principal amounts (and stated interest) of the Loans and LC Disbursements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 assignment shall be effective unless recorded in the Register pursuant to this Section 9.04(b)(iv). The Register shall be available for inspection by the Borrowers, the Issuing Bank and any Lender, at any reasonable time and from time to time upon reasonable prior notice.</w:t>
      </w:r>
    </w:p>
    <w:p>
      <w:pPr>
        <w:spacing w:after="0" w:line="170" w:lineRule="exact"/>
        <w:rPr>
          <w:rFonts w:ascii="Arial" w:cs="Arial" w:eastAsia="Arial" w:hAnsi="Arial"/>
          <w:sz w:val="18"/>
          <w:szCs w:val="18"/>
          <w:color w:val="auto"/>
        </w:rPr>
      </w:pPr>
    </w:p>
    <w:p>
      <w:pPr>
        <w:jc w:val="both"/>
        <w:ind w:left="1300" w:firstLine="652"/>
        <w:spacing w:after="0" w:line="255" w:lineRule="auto"/>
        <w:tabs>
          <w:tab w:leader="none" w:pos="258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6" w:name="page157"/>
    <w:bookmarkEnd w:id="156"/>
    <w:p>
      <w:pPr>
        <w:jc w:val="both"/>
        <w:ind w:left="660" w:firstLine="644"/>
        <w:spacing w:after="0" w:line="268" w:lineRule="auto"/>
        <w:tabs>
          <w:tab w:leader="none" w:pos="19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Lender may, without the consent of, or notice to, the Borrowers, the Administrative Agent or the Issuing Bank, sell participations to one or more banks or other entities (other than a natural Person, or a holding company, investment vehicle or trust for, or owned and operated for the primary benefit of, a natural person, or a Borrower or any Borrowers’ Affiliates or Subsidiaries)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other than an Ineligible Institution in all or a portion of such Lender’s rights and obligations under this Agreement (including all or a portion of its Commitment and/or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For the avoidance of doubt, each Lender shall be responsible for the indemnity under Section 9.03(c) with respect to any payments made by such Lender to its Participant(s).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 (it being understood that the documentation required under Section 2.17(f) shall be delivered to the participating Lender and the information and documentation required under Section 2.17(g) will be delivered to the Borrower Representative and the Administrative Agent)) to the same extent as if it were a Lender and had acquired its interest by assignment pursuant to paragraph (b)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sz w:val="20"/>
          <w:szCs w:val="20"/>
          <w:color w:val="auto"/>
        </w:rPr>
      </w:pPr>
    </w:p>
    <w:p>
      <w:pPr>
        <w:spacing w:after="0" w:line="210"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9"/>
          <w:szCs w:val="19"/>
          <w:color w:val="auto"/>
        </w:rPr>
        <w:t>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or, if different, under Sections 871(h) or 881(c) of the Code. The entries in the Participant Register shall be conclusive absent manifest error, and such Lender shall treat each Person whose name is recorded in the Participant Register as the owner of such participation for all purposes of this Agreement,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7" w:name="page158"/>
    <w:bookmarkEnd w:id="157"/>
    <w:p>
      <w:pPr>
        <w:ind w:left="660"/>
        <w:spacing w:after="0" w:line="260" w:lineRule="auto"/>
        <w:rPr>
          <w:sz w:val="20"/>
          <w:szCs w:val="20"/>
          <w:color w:val="auto"/>
        </w:rPr>
      </w:pPr>
      <w:r>
        <w:rPr>
          <w:rFonts w:ascii="Arial" w:cs="Arial" w:eastAsia="Arial" w:hAnsi="Arial"/>
          <w:sz w:val="20"/>
          <w:szCs w:val="20"/>
          <w:color w:val="auto"/>
        </w:rPr>
        <w:t>any notice to the contrary. For the avoidance of doubt, the Administrative Agent (in its capacity as Administrative Agent) shall have no responsibility for maintaining a Participant Register.</w:t>
      </w:r>
    </w:p>
    <w:p>
      <w:pPr>
        <w:spacing w:after="0" w:line="177" w:lineRule="exact"/>
        <w:rPr>
          <w:sz w:val="20"/>
          <w:szCs w:val="20"/>
          <w:color w:val="auto"/>
        </w:rPr>
      </w:pPr>
    </w:p>
    <w:p>
      <w:pPr>
        <w:jc w:val="both"/>
        <w:ind w:left="660" w:firstLine="644"/>
        <w:spacing w:after="0" w:line="244" w:lineRule="auto"/>
        <w:tabs>
          <w:tab w:leader="none" w:pos="1944" w:val="left"/>
        </w:tabs>
        <w:numPr>
          <w:ilvl w:val="0"/>
          <w:numId w:val="172"/>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9.06.</w:t>
      </w:r>
      <w:r>
        <w:rPr>
          <w:rFonts w:ascii="Arial" w:cs="Arial" w:eastAsia="Arial" w:hAnsi="Arial"/>
          <w:sz w:val="20"/>
          <w:szCs w:val="20"/>
          <w:u w:val="single" w:color="auto"/>
          <w:color w:val="auto"/>
        </w:rPr>
        <w:t>Counterparts; Integration; Effectiveness; Electronic Execution</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6" w:lineRule="auto"/>
        <w:tabs>
          <w:tab w:leader="none" w:pos="1946"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4" w:lineRule="exact"/>
        <w:rPr>
          <w:rFonts w:ascii="Arial" w:cs="Arial" w:eastAsia="Arial" w:hAnsi="Arial"/>
          <w:sz w:val="19"/>
          <w:szCs w:val="19"/>
          <w:color w:val="auto"/>
        </w:rPr>
      </w:pPr>
    </w:p>
    <w:p>
      <w:pPr>
        <w:ind w:left="1940" w:hanging="636"/>
        <w:spacing w:after="0"/>
        <w:tabs>
          <w:tab w:leader="none" w:pos="19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(x) this Agreement, (y) any other Loan Document and/or</w:t>
      </w:r>
    </w:p>
    <w:p>
      <w:pPr>
        <w:spacing w:after="0" w:line="38" w:lineRule="exact"/>
        <w:rPr>
          <w:rFonts w:ascii="Arial" w:cs="Arial" w:eastAsia="Arial" w:hAnsi="Arial"/>
          <w:sz w:val="18"/>
          <w:szCs w:val="18"/>
          <w:color w:val="auto"/>
        </w:rPr>
      </w:pPr>
    </w:p>
    <w:p>
      <w:pPr>
        <w:jc w:val="both"/>
        <w:ind w:left="660" w:hanging="4"/>
        <w:spacing w:after="0" w:line="256" w:lineRule="auto"/>
        <w:tabs>
          <w:tab w:leader="none" w:pos="948" w:val="left"/>
        </w:tabs>
        <w:numPr>
          <w:ilvl w:val="0"/>
          <w:numId w:val="174"/>
        </w:numPr>
        <w:rPr>
          <w:rFonts w:ascii="Arial" w:cs="Arial" w:eastAsia="Arial" w:hAnsi="Arial"/>
          <w:sz w:val="19"/>
          <w:szCs w:val="19"/>
          <w:color w:val="auto"/>
        </w:rPr>
      </w:pPr>
      <w:r>
        <w:rPr>
          <w:rFonts w:ascii="Arial" w:cs="Arial" w:eastAsia="Arial" w:hAnsi="Arial"/>
          <w:sz w:val="19"/>
          <w:szCs w:val="19"/>
          <w:color w:val="auto"/>
        </w:rPr>
        <w:t>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that is an Electronic Signature transmitted by telecopy, emailed pdf. or any other electronic means that reproduces an image of an actual executed signature page shall be effective as delivery of a manually executed counterpart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8" w:name="page159"/>
    <w:bookmarkEnd w:id="158"/>
    <w:p>
      <w:pPr>
        <w:jc w:val="both"/>
        <w:ind w:left="660"/>
        <w:spacing w:after="0" w:line="302" w:lineRule="auto"/>
        <w:rPr>
          <w:sz w:val="20"/>
          <w:szCs w:val="20"/>
          <w:color w:val="auto"/>
        </w:rPr>
      </w:pPr>
      <w:r>
        <w:rPr>
          <w:rFonts w:ascii="Arial" w:cs="Arial" w:eastAsia="Arial" w:hAnsi="Arial"/>
          <w:sz w:val="16"/>
          <w:szCs w:val="16"/>
          <w:color w:val="auto"/>
        </w:rPr>
        <w:t>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SECTION 9.07.</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9.08.</w:t>
      </w:r>
      <w:r>
        <w:rPr>
          <w:rFonts w:ascii="Arial" w:cs="Arial" w:eastAsia="Arial" w:hAnsi="Arial"/>
          <w:sz w:val="20"/>
          <w:szCs w:val="20"/>
          <w:u w:val="single" w:color="auto"/>
          <w:color w:val="auto"/>
        </w:rPr>
        <w:t>Right of Setoff</w:t>
      </w:r>
      <w:r>
        <w:rPr>
          <w:rFonts w:ascii="Arial" w:cs="Arial" w:eastAsia="Arial" w:hAnsi="Arial"/>
          <w:sz w:val="20"/>
          <w:szCs w:val="20"/>
          <w:color w:val="auto"/>
        </w:rPr>
        <w:t>. If an Event of Default shall have occurred and be continuing, each Lender, the Issuing Bank, and each of their respective Affiliates is hereby authorized at any time and from time to time, to the fullest extent permitted by law, to set off and apply any and all deposits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59" w:name="page160"/>
    <w:bookmarkEnd w:id="159"/>
    <w:p>
      <w:pPr>
        <w:jc w:val="both"/>
        <w:spacing w:after="0" w:line="269" w:lineRule="auto"/>
        <w:rPr>
          <w:sz w:val="20"/>
          <w:szCs w:val="20"/>
          <w:color w:val="auto"/>
        </w:rPr>
      </w:pPr>
      <w:r>
        <w:rPr>
          <w:rFonts w:ascii="Arial" w:cs="Arial" w:eastAsia="Arial" w:hAnsi="Arial"/>
          <w:sz w:val="18"/>
          <w:szCs w:val="18"/>
          <w:color w:val="auto"/>
        </w:rPr>
        <w:t xml:space="preserve">or special, time or demand, provisional or final) at any time held and other obligations at any time owing, by such Lender, such Issuing Bank or any such Affiliate to or for the credit or the account of any Loan Party against any and all of the Secured Obligations owing to such Lender or such Issuing Bank or their respective Affiliates, irrespective of whether or not such Lender, Issuing Bank or Affiliate shall have made any demand under this Agreement or any other Loan Document and although such obligations of the Loan Parties may be contingent or unmatured or are owed to a branch office or Affiliate of such Lender or such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or application under this Section. The rights of each Lender, the Issuing Bank and their respective Affiliates under this Section are in addition to other rights and remedies (including other rights of setoff) that such Lender, such Issuing Bank or their respective Affiliates may have.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9.09.</w:t>
      </w:r>
      <w:r>
        <w:rPr>
          <w:rFonts w:ascii="Arial" w:cs="Arial" w:eastAsia="Arial" w:hAnsi="Arial"/>
          <w:sz w:val="20"/>
          <w:szCs w:val="20"/>
          <w:u w:val="single" w:color="auto"/>
          <w:color w:val="auto"/>
        </w:rPr>
        <w:t>Governing Law; Jurisdiction; Consent to Service of Process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0" w:lineRule="auto"/>
        <w:tabs>
          <w:tab w:leader="none" w:pos="1946" w:val="left"/>
        </w:tabs>
        <w:numPr>
          <w:ilvl w:val="0"/>
          <w:numId w:val="175"/>
        </w:numPr>
        <w:rPr>
          <w:rFonts w:ascii="Arial" w:cs="Arial" w:eastAsia="Arial" w:hAnsi="Arial"/>
          <w:sz w:val="20"/>
          <w:szCs w:val="20"/>
          <w:color w:val="auto"/>
        </w:rPr>
      </w:pPr>
      <w:r>
        <w:rPr>
          <w:rFonts w:ascii="Arial" w:cs="Arial" w:eastAsia="Arial" w:hAnsi="Arial"/>
          <w:sz w:val="20"/>
          <w:szCs w:val="20"/>
          <w:color w:val="auto"/>
        </w:rPr>
        <w:t>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85" w:lineRule="exact"/>
        <w:rPr>
          <w:rFonts w:ascii="Arial" w:cs="Arial" w:eastAsia="Arial" w:hAnsi="Arial"/>
          <w:sz w:val="20"/>
          <w:szCs w:val="20"/>
          <w:color w:val="auto"/>
        </w:rPr>
      </w:pPr>
    </w:p>
    <w:p>
      <w:pPr>
        <w:jc w:val="both"/>
        <w:ind w:left="660" w:firstLine="644"/>
        <w:spacing w:after="0" w:line="244" w:lineRule="auto"/>
        <w:tabs>
          <w:tab w:leader="none" w:pos="1944" w:val="left"/>
        </w:tabs>
        <w:numPr>
          <w:ilvl w:val="0"/>
          <w:numId w:val="175"/>
        </w:numPr>
        <w:rPr>
          <w:rFonts w:ascii="Arial" w:cs="Arial" w:eastAsia="Arial" w:hAnsi="Arial"/>
          <w:sz w:val="20"/>
          <w:szCs w:val="20"/>
          <w:color w:val="auto"/>
        </w:rPr>
      </w:pPr>
      <w:r>
        <w:rPr>
          <w:rFonts w:ascii="Arial" w:cs="Arial" w:eastAsia="Arial" w:hAnsi="Arial"/>
          <w:sz w:val="20"/>
          <w:szCs w:val="20"/>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94" w:lineRule="exact"/>
        <w:rPr>
          <w:rFonts w:ascii="Arial" w:cs="Arial" w:eastAsia="Arial" w:hAnsi="Arial"/>
          <w:sz w:val="20"/>
          <w:szCs w:val="20"/>
          <w:color w:val="auto"/>
        </w:rPr>
      </w:pPr>
    </w:p>
    <w:p>
      <w:pPr>
        <w:jc w:val="both"/>
        <w:ind w:left="660" w:firstLine="644"/>
        <w:spacing w:after="0" w:line="271" w:lineRule="auto"/>
        <w:tabs>
          <w:tab w:leader="none" w:pos="19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0" w:name="page161"/>
    <w:bookmarkEnd w:id="160"/>
    <w:p>
      <w:pPr>
        <w:jc w:val="both"/>
        <w:ind w:left="660" w:firstLine="644"/>
        <w:spacing w:after="0" w:line="244" w:lineRule="auto"/>
        <w:tabs>
          <w:tab w:leader="none" w:pos="194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94"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56" w:lineRule="auto"/>
        <w:tabs>
          <w:tab w:leader="none" w:pos="194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rFonts w:ascii="Arial" w:cs="Arial" w:eastAsia="Arial" w:hAnsi="Arial"/>
          <w:sz w:val="19"/>
          <w:szCs w:val="19"/>
          <w:color w:val="auto"/>
        </w:rPr>
      </w:pPr>
    </w:p>
    <w:p>
      <w:pPr>
        <w:jc w:val="both"/>
        <w:ind w:left="660" w:firstLine="644"/>
        <w:spacing w:after="0" w:line="259" w:lineRule="auto"/>
        <w:tabs>
          <w:tab w:leader="none" w:pos="1944"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 THE EVENT ANY LEGAL PROCEEDING IS FILED IN A COURT OF THE STATE OF CALIFORNIA (THE “</w:t>
      </w:r>
      <w:r>
        <w:rPr>
          <w:rFonts w:ascii="Arial" w:cs="Arial" w:eastAsia="Arial" w:hAnsi="Arial"/>
          <w:sz w:val="19"/>
          <w:szCs w:val="19"/>
          <w:u w:val="single" w:color="auto"/>
          <w:color w:val="auto"/>
        </w:rPr>
        <w:t>COURT</w:t>
      </w:r>
      <w:r>
        <w:rPr>
          <w:rFonts w:ascii="Arial" w:cs="Arial" w:eastAsia="Arial" w:hAnsi="Arial"/>
          <w:sz w:val="19"/>
          <w:szCs w:val="19"/>
          <w:color w:val="auto"/>
        </w:rPr>
        <w:t>”) BY OR AGAINST EITHER PARTY HERETO IN CONNECTION WITH ANY CONTROVERSY, DISPUTE OR CLAIM DIRECTLY OR INDIRECTLY ARISING OUT OF OR RELATING TO THIS DOCUMENT OR THE TRANSACTIONS CONTEMPLATED HEREBY (WHETHER BASED ON CONTRACT, TORT OR ANY OTHER THEORY) (EACH, A “</w:t>
      </w:r>
      <w:r>
        <w:rPr>
          <w:rFonts w:ascii="Arial" w:cs="Arial" w:eastAsia="Arial" w:hAnsi="Arial"/>
          <w:sz w:val="19"/>
          <w:szCs w:val="19"/>
          <w:u w:val="single" w:color="auto"/>
          <w:color w:val="auto"/>
        </w:rPr>
        <w:t>CLAIM</w:t>
      </w:r>
      <w:r>
        <w:rPr>
          <w:rFonts w:ascii="Arial" w:cs="Arial" w:eastAsia="Arial" w:hAnsi="Arial"/>
          <w:sz w:val="19"/>
          <w:szCs w:val="19"/>
          <w:color w:val="auto"/>
        </w:rPr>
        <w:t>”) AND THE WAIVER SET FORTH IN THE PRECEDING PARAGRAPH IS NOT ENFORCEABLE IN SUCH ACTION OR PROCEEDING, EACH PARTY HERETO (BY ITS ACCEPTANCE HEREOF) AGREE AS FOLLOWS:</w:t>
      </w:r>
    </w:p>
    <w:p>
      <w:pPr>
        <w:spacing w:after="0" w:line="178" w:lineRule="exact"/>
        <w:rPr>
          <w:rFonts w:ascii="Arial" w:cs="Arial" w:eastAsia="Arial" w:hAnsi="Arial"/>
          <w:sz w:val="19"/>
          <w:szCs w:val="19"/>
          <w:color w:val="auto"/>
        </w:rPr>
      </w:pPr>
    </w:p>
    <w:p>
      <w:pPr>
        <w:jc w:val="both"/>
        <w:ind w:left="1300" w:firstLine="652"/>
        <w:spacing w:after="0" w:line="257" w:lineRule="auto"/>
        <w:tabs>
          <w:tab w:leader="none" w:pos="259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WITH THE EXCEPTION OF THE MATTERS SPECIFIED IN PARAGRAPH (ii) BELOW, ANY CLAIM WILL BE DETERMINED BY A GENERAL REFERENCE PROCEEDING IN ACCORDANCE WITH THE PROVISIONS OF CALIFORNIA CODE OF CIVIL PROCEDURE SECTIONS 638 THROUGH 645.2, INCLUDING ANY REVISION OR REPLACEMENT OF SUCH STATUTES OR RULES HEREAFTER ENACTED. EACH PARTY HERETO INTEND THIS GENERAL REFERENCE AGREEMENT TO BE SPECIFICALLY ENFORCEABLE IN ACCORDANCE WITH CALIFORNIA CODE OF CIVIL PROCEDURE SECTION 638, INCLUDING ANY REVISION OR REPLACEMENT OF SUCH STATUTE OR RULE HEREAFTER ENACTED. EXCEPT AS OTHERWISE PROVIDED IN THIS AND THE OTHER RELATED DOCUMENTS, VENUE FOR THE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1" w:name="page162"/>
    <w:bookmarkEnd w:id="161"/>
    <w:p>
      <w:pPr>
        <w:ind w:left="1300"/>
        <w:spacing w:after="0" w:line="260" w:lineRule="auto"/>
        <w:rPr>
          <w:sz w:val="20"/>
          <w:szCs w:val="20"/>
          <w:color w:val="auto"/>
        </w:rPr>
      </w:pPr>
      <w:r>
        <w:rPr>
          <w:rFonts w:ascii="Arial" w:cs="Arial" w:eastAsia="Arial" w:hAnsi="Arial"/>
          <w:sz w:val="20"/>
          <w:szCs w:val="20"/>
          <w:color w:val="auto"/>
        </w:rPr>
        <w:t>PROCEEDING WILL BE IN THE STATE OR FEDERAL COURT IN THE COUNTY OR DISTRICT WHERE VENUE IS OTHERWISE APPROPRIATE UNDER APPLICABLE LAW.</w:t>
      </w:r>
    </w:p>
    <w:p>
      <w:pPr>
        <w:spacing w:after="0" w:line="177" w:lineRule="exact"/>
        <w:rPr>
          <w:sz w:val="20"/>
          <w:szCs w:val="20"/>
          <w:color w:val="auto"/>
        </w:rPr>
      </w:pPr>
    </w:p>
    <w:p>
      <w:pPr>
        <w:jc w:val="both"/>
        <w:ind w:left="1300" w:firstLine="652"/>
        <w:spacing w:after="0" w:line="257" w:lineRule="auto"/>
        <w:tabs>
          <w:tab w:leader="none" w:pos="259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FOLLOWING MATTERS SHALL NOT BE SUBJECT TO A GENERAL REFERENCE PROCEEDING: (A) NON-JUDICIAL FORECLOSURE OF ANY SECURITY INTERESTS IN REAL OR PERSONAL PROPERTY; (B) EXERCISE OF SELF-HELP REMEDIES (INCLUDING, WITHOUT LIMITATION, SET-OFF);</w:t>
      </w:r>
    </w:p>
    <w:p>
      <w:pPr>
        <w:spacing w:after="0" w:line="2" w:lineRule="exact"/>
        <w:rPr>
          <w:rFonts w:ascii="Arial" w:cs="Arial" w:eastAsia="Arial" w:hAnsi="Arial"/>
          <w:sz w:val="19"/>
          <w:szCs w:val="19"/>
          <w:color w:val="auto"/>
        </w:rPr>
      </w:pPr>
    </w:p>
    <w:p>
      <w:pPr>
        <w:jc w:val="both"/>
        <w:ind w:left="1300" w:firstLine="4"/>
        <w:spacing w:after="0"/>
        <w:tabs>
          <w:tab w:leader="none" w:pos="166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APPOINTMENT OF A RECEIVER; AND (D) TEMPORARY, PROVISIONAL OR ANCILLARY REMEDIES (INCLUDING, WITHOUT LIMITATION, WRITS OF ATTACHMENT, WRITS OF POSSESSION, TEMPORARY RESTRAINING ORDERS OR PRELIMINARY INJUNCTIONS). THIS DOCUMENT DOES NOT LIMIT THE RIGHT OF ANY PARTY HERETO TO EXERCISE OR OPPOSE ANY OF THE RIGHTS AND REMEDIES DESCRIBED IN CLAUSES (A) - (D) AND ANY SUCH EXERCISE OR OPPOSITION DOES NOT WAIVE THE RIGHT OF EACH PARTY HERETO TO A REFERENCE PROCEEDING PURSUANT TO THIS DOCUMENT.</w:t>
      </w:r>
    </w:p>
    <w:p>
      <w:pPr>
        <w:spacing w:after="0" w:line="197" w:lineRule="exact"/>
        <w:rPr>
          <w:rFonts w:ascii="Arial" w:cs="Arial" w:eastAsia="Arial" w:hAnsi="Arial"/>
          <w:sz w:val="20"/>
          <w:szCs w:val="20"/>
          <w:color w:val="auto"/>
        </w:rPr>
      </w:pPr>
    </w:p>
    <w:p>
      <w:pPr>
        <w:jc w:val="both"/>
        <w:ind w:left="1300" w:firstLine="652"/>
        <w:spacing w:after="0" w:line="243" w:lineRule="auto"/>
        <w:tabs>
          <w:tab w:leader="none" w:pos="2596" w:val="left"/>
        </w:tabs>
        <w:numPr>
          <w:ilvl w:val="1"/>
          <w:numId w:val="179"/>
        </w:numPr>
        <w:rPr>
          <w:rFonts w:ascii="Arial" w:cs="Arial" w:eastAsia="Arial" w:hAnsi="Arial"/>
          <w:sz w:val="20"/>
          <w:szCs w:val="20"/>
          <w:color w:val="auto"/>
        </w:rPr>
      </w:pPr>
      <w:r>
        <w:rPr>
          <w:rFonts w:ascii="Arial" w:cs="Arial" w:eastAsia="Arial" w:hAnsi="Arial"/>
          <w:sz w:val="20"/>
          <w:szCs w:val="20"/>
          <w:color w:val="auto"/>
        </w:rPr>
        <w:t>UPON THE WRITTEN REQUEST OF ANY PARTY HERETO, EACH PARTY HERETO SHALL SELECT A SINGLE REFEREE, WHO SHALL BE A RETIRED JUDGE OR JUSTICE. IF THE PARTIES HERETO DO NOT AGREE UPON A REFEREE WITHIN TEN (10) DAYS OF SUCH WRITTEN REQUEST, THEN EACH PARTY HERETO MAY REQUEST THE COURT TO APPOINT A REFEREE PURSUANT TO CALIFORNIA CODE OF CIVIL PROCEDURE SECTION 640(B), INCLUDING ANY REVISION OR REPLACEMENT OF SUCH STATUTE OR RULE HEREAFTER ENACTED.</w:t>
      </w:r>
    </w:p>
    <w:p>
      <w:pPr>
        <w:spacing w:after="0" w:line="195" w:lineRule="exact"/>
        <w:rPr>
          <w:rFonts w:ascii="Arial" w:cs="Arial" w:eastAsia="Arial" w:hAnsi="Arial"/>
          <w:sz w:val="20"/>
          <w:szCs w:val="20"/>
          <w:color w:val="auto"/>
        </w:rPr>
      </w:pPr>
    </w:p>
    <w:p>
      <w:pPr>
        <w:jc w:val="both"/>
        <w:ind w:left="1300" w:firstLine="652"/>
        <w:spacing w:after="0" w:line="243" w:lineRule="auto"/>
        <w:tabs>
          <w:tab w:leader="none" w:pos="2585" w:val="left"/>
        </w:tabs>
        <w:numPr>
          <w:ilvl w:val="1"/>
          <w:numId w:val="179"/>
        </w:numPr>
        <w:rPr>
          <w:rFonts w:ascii="Arial" w:cs="Arial" w:eastAsia="Arial" w:hAnsi="Arial"/>
          <w:sz w:val="20"/>
          <w:szCs w:val="20"/>
          <w:color w:val="auto"/>
        </w:rPr>
      </w:pPr>
      <w:r>
        <w:rPr>
          <w:rFonts w:ascii="Arial" w:cs="Arial" w:eastAsia="Arial" w:hAnsi="Arial"/>
          <w:sz w:val="20"/>
          <w:szCs w:val="20"/>
          <w:color w:val="auto"/>
        </w:rPr>
        <w:t>ALL PROCEEDINGS AND HEARINGS CONDUCTED BEFORE THE REFEREE, EXCEPT FOR TRIAL, SHALL BE CONDUCTED WITHOUT A COURT REPORTER, EXCEPT WHEN EITHER PARTY HERETO SO REQUESTS, A COURT REPORTER WILL BE USED AND THE REFEREE WILL BE PROVIDED A COURTESY COPY OF THE TRANSCRIPT. THE PARTY MAKING SUCH REQUEST SHALL HAVE THE OBLIGATION TO ARRANGE FOR AND PAY COSTS OF THE COURT REPORTER, PROVIDED THAT SUCH COSTS, ALONG WITH THE REFEREE’S FEES, SHALL ULTIMATELY BE BORNE BY THE PARTY WHO DOES NOT PREVAIL, AS DETERMINED BY THE REFEREE.</w:t>
      </w:r>
    </w:p>
    <w:p>
      <w:pPr>
        <w:spacing w:after="0" w:line="192" w:lineRule="exact"/>
        <w:rPr>
          <w:rFonts w:ascii="Arial" w:cs="Arial" w:eastAsia="Arial" w:hAnsi="Arial"/>
          <w:sz w:val="20"/>
          <w:szCs w:val="20"/>
          <w:color w:val="auto"/>
        </w:rPr>
      </w:pPr>
    </w:p>
    <w:p>
      <w:pPr>
        <w:jc w:val="both"/>
        <w:ind w:left="1300" w:firstLine="652"/>
        <w:spacing w:after="0" w:line="256" w:lineRule="auto"/>
        <w:tabs>
          <w:tab w:leader="none" w:pos="2584"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REFEREE MAY REQUIRE ONE OR MORE PREHEARING CONFERENCES. EACH PARTY HERETO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2" w:name="page163"/>
    <w:bookmarkEnd w:id="162"/>
    <w:p>
      <w:pPr>
        <w:ind w:left="1300"/>
        <w:spacing w:after="0" w:line="260" w:lineRule="auto"/>
        <w:rPr>
          <w:sz w:val="20"/>
          <w:szCs w:val="20"/>
          <w:color w:val="auto"/>
        </w:rPr>
      </w:pPr>
      <w:r>
        <w:rPr>
          <w:rFonts w:ascii="Arial" w:cs="Arial" w:eastAsia="Arial" w:hAnsi="Arial"/>
          <w:sz w:val="20"/>
          <w:szCs w:val="20"/>
          <w:color w:val="auto"/>
        </w:rPr>
        <w:t>JUDGMENT. THE REFEREE SHALL REPORT THE REFEREE’S DECISION, WHICH REPORT SHALL ALSO INCLUDE FINDINGS OF FACT AND CONCLUSIONS OF LAW.</w:t>
      </w:r>
    </w:p>
    <w:p>
      <w:pPr>
        <w:spacing w:after="0" w:line="177" w:lineRule="exact"/>
        <w:rPr>
          <w:sz w:val="20"/>
          <w:szCs w:val="20"/>
          <w:color w:val="auto"/>
        </w:rPr>
      </w:pPr>
    </w:p>
    <w:p>
      <w:pPr>
        <w:jc w:val="both"/>
        <w:ind w:left="1300" w:firstLine="652"/>
        <w:spacing w:after="0" w:line="250" w:lineRule="auto"/>
        <w:tabs>
          <w:tab w:leader="none" w:pos="2585" w:val="left"/>
        </w:tabs>
        <w:numPr>
          <w:ilvl w:val="0"/>
          <w:numId w:val="180"/>
        </w:numPr>
        <w:rPr>
          <w:rFonts w:ascii="Arial" w:cs="Arial" w:eastAsia="Arial" w:hAnsi="Arial"/>
          <w:sz w:val="20"/>
          <w:szCs w:val="20"/>
          <w:color w:val="auto"/>
        </w:rPr>
      </w:pPr>
      <w:r>
        <w:rPr>
          <w:rFonts w:ascii="Arial" w:cs="Arial" w:eastAsia="Arial" w:hAnsi="Arial"/>
          <w:sz w:val="20"/>
          <w:szCs w:val="20"/>
          <w:color w:val="auto"/>
        </w:rPr>
        <w:t>EACH PARTY HERETO RECOGNIZE AND AGREE THAT ALL CLAIMS RESOLVED IN A GENERAL REFERENCE PROCEEDING PURSUANT HERETO WILL BE DECIDED BY A REFEREE AND NOT BY A JURY.</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SECTION 9.11.</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SECTION 9.12.</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with the consent of the Borrower Representative, (h)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 or (i) to the extent such Information (x) becomes publicly available other than as a result of a breach of this Section or (y) becomes available to the Administrative Agent, the Issuing Bank or any Lender on a non-confidential basis from a source other than the Borrowers. For the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EACH LENDER ACKNOWLEDGES THAT INFORMATION AS DEFINED IN </w:t>
      </w:r>
      <w:r>
        <w:rPr>
          <w:rFonts w:ascii="Arial" w:cs="Arial" w:eastAsia="Arial" w:hAnsi="Arial"/>
          <w:sz w:val="20"/>
          <w:szCs w:val="20"/>
          <w:b w:val="1"/>
          <w:bCs w:val="1"/>
          <w:u w:val="single" w:color="auto"/>
          <w:color w:val="auto"/>
        </w:rPr>
        <w:t>SECTION 9.12</w:t>
      </w:r>
      <w:r>
        <w:rPr>
          <w:rFonts w:ascii="Arial" w:cs="Arial" w:eastAsia="Arial" w:hAnsi="Arial"/>
          <w:sz w:val="20"/>
          <w:szCs w:val="20"/>
          <w:b w:val="1"/>
          <w:bCs w:val="1"/>
          <w:color w:val="auto"/>
        </w:rPr>
        <w:t xml:space="preserve"> FURNISHED TO IT PURSUANT TO THIS AGREEMENT MAY INCLUDE MATERIAL NON-PUBLIC INFORMATION CONCERNING THE BORROWERS, THE OTHER LOAN PARTIES AND THEIR RELATED PARTIES OR THEIR RESPECTIVE SECURITIES, AND CONFIRMS THAT IT HAS DEVELOPED COMPLIANCE PROCEDURES REGARDING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3" w:name="page164"/>
    <w:bookmarkEnd w:id="163"/>
    <w:p>
      <w:pPr>
        <w:jc w:val="both"/>
        <w:spacing w:after="0" w:line="253" w:lineRule="auto"/>
        <w:rPr>
          <w:sz w:val="20"/>
          <w:szCs w:val="20"/>
          <w:color w:val="auto"/>
        </w:rPr>
      </w:pPr>
      <w:r>
        <w:rPr>
          <w:rFonts w:ascii="Arial" w:cs="Arial" w:eastAsia="Arial" w:hAnsi="Arial"/>
          <w:sz w:val="20"/>
          <w:szCs w:val="20"/>
          <w:b w:val="1"/>
          <w:bCs w:val="1"/>
          <w:color w:val="auto"/>
        </w:rPr>
        <w:t>MATERIAL NON-PUBLIC INFORMATION AND THAT IT WILL HANDLE SUCH MATERIAL NON-PUBLIC INFORMATION IN ACCORDANCE WITH THOSE PROCEDURES AND APPLICABLE LAW, INCLUDING FEDERAL AND STATE SECURITIES LAWS.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color w:val="auto"/>
        </w:rPr>
        <w:t>ALL INFORMATION, INCLUDING REQUESTS FOR WAIVERS AND AMENDMENTS, FURNISHED BY ANY BORROWER OR THE ADMINISTRATIVE AGENT PURSUANT TO, OR IN THE COURSE OF ADMINISTERING, THIS AGREEMENT WILL BE SYNDICATE-LEVEL INFORMATION, WHICH MAY CONTAIN MATERIAL NON-PUBLIC INFORMATION ABOUT THE BORROWERS,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SECTION 9.13.</w:t>
      </w:r>
      <w:r>
        <w:rPr>
          <w:rFonts w:ascii="Arial" w:cs="Arial" w:eastAsia="Arial" w:hAnsi="Arial"/>
          <w:sz w:val="20"/>
          <w:szCs w:val="20"/>
          <w:u w:val="single" w:color="auto"/>
          <w:color w:val="auto"/>
        </w:rPr>
        <w:t>Several Obligations; Nonreliance; Violation of Law</w:t>
      </w:r>
      <w:r>
        <w:rPr>
          <w:rFonts w:ascii="Arial" w:cs="Arial" w:eastAsia="Arial" w:hAnsi="Arial"/>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SECTION 9.14.</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9.15.</w:t>
      </w:r>
      <w:r>
        <w:rPr>
          <w:rFonts w:ascii="Arial" w:cs="Arial" w:eastAsia="Arial" w:hAnsi="Arial"/>
          <w:sz w:val="20"/>
          <w:szCs w:val="20"/>
          <w:u w:val="single" w:color="auto"/>
          <w:color w:val="auto"/>
        </w:rPr>
        <w:t>Disclosure</w:t>
      </w:r>
      <w:r>
        <w:rPr>
          <w:rFonts w:ascii="Arial" w:cs="Arial" w:eastAsia="Arial" w:hAnsi="Arial"/>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Appointment for Perfection</w:t>
      </w:r>
      <w:r>
        <w:rPr>
          <w:rFonts w:ascii="Arial" w:cs="Arial" w:eastAsia="Arial" w:hAnsi="Arial"/>
          <w:sz w:val="20"/>
          <w:szCs w:val="20"/>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8"/>
          <w:szCs w:val="18"/>
          <w:u w:val="single" w:color="auto"/>
          <w:color w:val="auto"/>
        </w:rPr>
        <w:t>Charges</w:t>
      </w:r>
      <w:r>
        <w:rPr>
          <w:rFonts w:ascii="Arial" w:cs="Arial" w:eastAsia="Arial" w:hAnsi="Arial"/>
          <w:sz w:val="18"/>
          <w:szCs w:val="18"/>
          <w:color w:val="auto"/>
        </w:rPr>
        <w:t>”),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which may be contracted for, charged, taken, received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43" w:lineRule="auto"/>
        <w:rPr>
          <w:sz w:val="20"/>
          <w:szCs w:val="20"/>
          <w:color w:val="auto"/>
        </w:rPr>
      </w:pPr>
      <w:r>
        <w:rPr>
          <w:rFonts w:ascii="Arial" w:cs="Arial" w:eastAsia="Arial" w:hAnsi="Arial"/>
          <w:sz w:val="20"/>
          <w:szCs w:val="20"/>
          <w:color w:val="auto"/>
        </w:rPr>
        <w:t>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9.18.</w:t>
      </w:r>
      <w:r>
        <w:rPr>
          <w:rFonts w:ascii="Arial" w:cs="Arial" w:eastAsia="Arial" w:hAnsi="Arial"/>
          <w:sz w:val="20"/>
          <w:szCs w:val="20"/>
          <w:u w:val="single" w:color="auto"/>
          <w:color w:val="auto"/>
        </w:rPr>
        <w:t>No Fiduciary Duty, etc</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1" w:lineRule="auto"/>
        <w:tabs>
          <w:tab w:leader="none" w:pos="19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The Borrowers shall consult with their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73" w:lineRule="exact"/>
        <w:rPr>
          <w:rFonts w:ascii="Arial" w:cs="Arial" w:eastAsia="Arial" w:hAnsi="Arial"/>
          <w:sz w:val="18"/>
          <w:szCs w:val="18"/>
          <w:color w:val="auto"/>
        </w:rPr>
      </w:pPr>
    </w:p>
    <w:p>
      <w:pPr>
        <w:jc w:val="both"/>
        <w:ind w:left="660" w:firstLine="644"/>
        <w:spacing w:after="0" w:line="273" w:lineRule="auto"/>
        <w:tabs>
          <w:tab w:leader="none" w:pos="19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and other companies with which the Borrowers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68" w:lineRule="exact"/>
        <w:rPr>
          <w:rFonts w:ascii="Arial" w:cs="Arial" w:eastAsia="Arial" w:hAnsi="Arial"/>
          <w:sz w:val="18"/>
          <w:szCs w:val="18"/>
          <w:color w:val="auto"/>
        </w:rPr>
      </w:pPr>
    </w:p>
    <w:p>
      <w:pPr>
        <w:jc w:val="both"/>
        <w:ind w:left="660" w:firstLine="644"/>
        <w:spacing w:after="0" w:line="273" w:lineRule="auto"/>
        <w:tabs>
          <w:tab w:leader="none" w:pos="19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Borrowers may have conflicting interests regarding the transactions described herein and otherwise. No Credit Party will use confidential information obtained from any Borrower by virtue of the transactions contemplated by the Loan Documents or its other relationships with the Borrowers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5" w:name="page166"/>
    <w:bookmarkEnd w:id="165"/>
    <w:p>
      <w:pPr>
        <w:jc w:val="both"/>
        <w:ind w:firstLine="648"/>
        <w:spacing w:after="0" w:line="244" w:lineRule="auto"/>
        <w:rPr>
          <w:sz w:val="20"/>
          <w:szCs w:val="20"/>
          <w:color w:val="auto"/>
        </w:rPr>
      </w:pPr>
      <w:r>
        <w:rPr>
          <w:rFonts w:ascii="Arial" w:cs="Arial" w:eastAsia="Arial" w:hAnsi="Arial"/>
          <w:sz w:val="20"/>
          <w:szCs w:val="20"/>
          <w:color w:val="auto"/>
        </w:rPr>
        <w:t>SECTION 9.19.</w:t>
      </w:r>
      <w:r>
        <w:rPr>
          <w:rFonts w:ascii="Arial" w:cs="Arial" w:eastAsia="Arial" w:hAnsi="Arial"/>
          <w:sz w:val="20"/>
          <w:szCs w:val="20"/>
          <w:u w:val="single" w:color="auto"/>
          <w:color w:val="auto"/>
        </w:rPr>
        <w:t>Marketing Consent</w:t>
      </w:r>
      <w:r>
        <w:rPr>
          <w:rFonts w:ascii="Arial" w:cs="Arial" w:eastAsia="Arial" w:hAnsi="Arial"/>
          <w:sz w:val="20"/>
          <w:szCs w:val="20"/>
          <w:color w:val="auto"/>
        </w:rPr>
        <w:t>. The Borrowers hereby authorize Chase and its affiliates (collectively, the “</w:t>
      </w:r>
      <w:r>
        <w:rPr>
          <w:rFonts w:ascii="Arial" w:cs="Arial" w:eastAsia="Arial" w:hAnsi="Arial"/>
          <w:sz w:val="20"/>
          <w:szCs w:val="20"/>
          <w:u w:val="single" w:color="auto"/>
          <w:color w:val="auto"/>
        </w:rPr>
        <w:t>Chase Parties</w:t>
      </w:r>
      <w:r>
        <w:rPr>
          <w:rFonts w:ascii="Arial" w:cs="Arial" w:eastAsia="Arial" w:hAnsi="Arial"/>
          <w:sz w:val="20"/>
          <w:szCs w:val="20"/>
          <w:color w:val="auto"/>
        </w:rPr>
        <w:t>”), at their respective sole expense, and without any prior approval by the Borrowers, to include the Borrowers’ name and logo in advertising, marketing, tombstones, case studies and training materials, and to give such other publicity to this Agreement as each may from time to time determine in its sole discretion. The foregoing authorization shall remain in effect unless the Borrower Representative notifies Chase in writing that such authorization is revoked.</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SECTION 9.20.</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61" w:lineRule="exact"/>
        <w:rPr>
          <w:sz w:val="20"/>
          <w:szCs w:val="20"/>
          <w:color w:val="auto"/>
        </w:rPr>
      </w:pPr>
    </w:p>
    <w:p>
      <w:pPr>
        <w:ind w:left="660" w:firstLine="644"/>
        <w:spacing w:after="0" w:line="287" w:lineRule="auto"/>
        <w:tabs>
          <w:tab w:leader="none" w:pos="1946"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2" w:lineRule="exact"/>
        <w:rPr>
          <w:rFonts w:ascii="Arial" w:cs="Arial" w:eastAsia="Arial" w:hAnsi="Arial"/>
          <w:sz w:val="19"/>
          <w:szCs w:val="19"/>
          <w:color w:val="auto"/>
        </w:rPr>
      </w:pPr>
    </w:p>
    <w:p>
      <w:pPr>
        <w:ind w:left="1940" w:hanging="636"/>
        <w:spacing w:after="0"/>
        <w:tabs>
          <w:tab w:leader="none" w:pos="19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5" w:val="left"/>
        </w:tabs>
        <w:numPr>
          <w:ilvl w:val="1"/>
          <w:numId w:val="18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52"/>
        <w:spacing w:after="0" w:line="260" w:lineRule="auto"/>
        <w:tabs>
          <w:tab w:leader="none" w:pos="2596" w:val="left"/>
        </w:tabs>
        <w:numPr>
          <w:ilvl w:val="1"/>
          <w:numId w:val="18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9.21.Acknowledgement Regarding Any Supported QFCs.</w:t>
      </w:r>
    </w:p>
    <w:p>
      <w:pPr>
        <w:spacing w:after="0" w:line="216" w:lineRule="exact"/>
        <w:rPr>
          <w:sz w:val="20"/>
          <w:szCs w:val="20"/>
          <w:color w:val="auto"/>
        </w:rPr>
      </w:pPr>
    </w:p>
    <w:p>
      <w:pPr>
        <w:jc w:val="both"/>
        <w:ind w:left="660" w:firstLine="644"/>
        <w:spacing w:after="0" w:line="274" w:lineRule="auto"/>
        <w:tabs>
          <w:tab w:leader="none" w:pos="194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the extent that the Loan Documents provide support, through a guarantee or otherwise, for Swap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68" w:lineRule="exact"/>
        <w:rPr>
          <w:rFonts w:ascii="Arial" w:cs="Arial" w:eastAsia="Arial" w:hAnsi="Arial"/>
          <w:sz w:val="18"/>
          <w:szCs w:val="18"/>
          <w:color w:val="auto"/>
        </w:rPr>
      </w:pPr>
    </w:p>
    <w:p>
      <w:pPr>
        <w:jc w:val="both"/>
        <w:ind w:left="660" w:firstLine="644"/>
        <w:spacing w:after="0" w:line="244" w:lineRule="auto"/>
        <w:tabs>
          <w:tab w:leader="none" w:pos="194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 the event a Covered Entity that is party to a Supported QFC (each, a “</w:t>
      </w:r>
      <w:r>
        <w:rPr>
          <w:rFonts w:ascii="Arial" w:cs="Arial" w:eastAsia="Arial" w:hAnsi="Arial"/>
          <w:sz w:val="20"/>
          <w:szCs w:val="20"/>
          <w:u w:val="single" w:color="auto"/>
          <w:color w:val="auto"/>
        </w:rPr>
        <w:t>Covered Party</w:t>
      </w:r>
      <w:r>
        <w:rPr>
          <w:rFonts w:ascii="Arial" w:cs="Arial" w:eastAsia="Arial" w:hAnsi="Arial"/>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6" w:name="page167"/>
    <w:bookmarkEnd w:id="166"/>
    <w:p>
      <w:pPr>
        <w:jc w:val="both"/>
        <w:ind w:left="660"/>
        <w:spacing w:after="0" w:line="311" w:lineRule="auto"/>
        <w:rPr>
          <w:sz w:val="20"/>
          <w:szCs w:val="20"/>
          <w:color w:val="auto"/>
        </w:rPr>
      </w:pPr>
      <w:r>
        <w:rPr>
          <w:rFonts w:ascii="Arial" w:cs="Arial" w:eastAsia="Arial" w:hAnsi="Arial"/>
          <w:sz w:val="16"/>
          <w:szCs w:val="16"/>
          <w:color w:val="auto"/>
        </w:rPr>
        <w:t>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SECTION 9.22.Joint and Several. Each Borrower hereby unconditionally and irrevocably agrees it is jointly and severally liable to the Administrative Agent, the Issuing Banks and the Lenders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Loan Documents unless and until the Administrative Agent, each Issuing Bank and each Lender has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7" w:name="page168"/>
    <w:bookmarkEnd w:id="167"/>
    <w:p>
      <w:pPr>
        <w:jc w:val="both"/>
        <w:spacing w:after="0" w:line="244" w:lineRule="auto"/>
        <w:rPr>
          <w:sz w:val="20"/>
          <w:szCs w:val="20"/>
          <w:color w:val="auto"/>
        </w:rPr>
      </w:pPr>
      <w:r>
        <w:rPr>
          <w:rFonts w:ascii="Arial" w:cs="Arial" w:eastAsia="Arial" w:hAnsi="Arial"/>
          <w:sz w:val="20"/>
          <w:szCs w:val="20"/>
          <w:color w:val="auto"/>
        </w:rPr>
        <w:t>or against any Collateral or other security for the payment or performance of any of the Secured Obligations, and each Borrower waives any provision that might otherwise require the Administrative Agent or the Lenders under applicable law to pursue or exhaust its remedies against any Collateral or other Loan Party before pursuing such Borrower or its property. Each Borrower consents and agrees that neither the Administrative Agent nor any Lender shall be under no obligation to marshal any assets in favor of any Loan Party or against or in payment of any or all of the Secured Obligations.</w:t>
      </w:r>
    </w:p>
    <w:p>
      <w:pPr>
        <w:spacing w:after="0" w:line="20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Loan Guaranty</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Guaranty</w:t>
      </w:r>
      <w:r>
        <w:rPr>
          <w:rFonts w:ascii="Arial" w:cs="Arial" w:eastAsia="Arial" w:hAnsi="Arial"/>
          <w:sz w:val="19"/>
          <w:szCs w:val="19"/>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reasonable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Arial" w:cs="Arial" w:eastAsia="Arial" w:hAnsi="Arial"/>
          <w:sz w:val="19"/>
          <w:szCs w:val="19"/>
          <w:u w:val="single" w:color="auto"/>
          <w:color w:val="auto"/>
        </w:rPr>
        <w:t>Guaranteed Obligations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u w:val="single" w:color="auto"/>
          <w:color w:val="auto"/>
        </w:rPr>
        <w:t>Guaranty of Payment</w:t>
      </w:r>
      <w:r>
        <w:rPr>
          <w:rFonts w:ascii="Arial" w:cs="Arial" w:eastAsia="Arial" w:hAnsi="Arial"/>
          <w:sz w:val="19"/>
          <w:szCs w:val="19"/>
          <w:color w:val="auto"/>
        </w:rPr>
        <w:t>. This Loan Guaranty is a guaranty of payment and not of collection. Each Loan Guarantor waives any right to require the Administrative Agent, the Issuing Bank or any Lender to sue any Borrower or any Loan Guarantor, or any other guarantor of, or any other Person obligated for, all or any part of the Guaranteed Obligations (each, an “</w:t>
      </w:r>
      <w:r>
        <w:rPr>
          <w:rFonts w:ascii="Arial" w:cs="Arial" w:eastAsia="Arial" w:hAnsi="Arial"/>
          <w:sz w:val="19"/>
          <w:szCs w:val="19"/>
          <w:u w:val="single" w:color="auto"/>
          <w:color w:val="auto"/>
        </w:rPr>
        <w:t>Obligated Party</w:t>
      </w:r>
      <w:r>
        <w:rPr>
          <w:rFonts w:ascii="Arial" w:cs="Arial" w:eastAsia="Arial" w:hAnsi="Arial"/>
          <w:sz w:val="19"/>
          <w:szCs w:val="19"/>
          <w:color w:val="auto"/>
        </w:rPr>
        <w:t>”), or otherwise to enforce its payment against any collateral securing all or any part of the Guaranteed Obligations.</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No Discharge or Diminishment of Loan Guaranty</w:t>
      </w:r>
      <w:r>
        <w:rPr>
          <w:rFonts w:ascii="Arial" w:cs="Arial" w:eastAsia="Arial" w:hAnsi="Arial"/>
          <w:sz w:val="18"/>
          <w:szCs w:val="18"/>
          <w:color w:val="auto"/>
        </w:rPr>
        <w:t>. (a) 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w:t>
      </w:r>
    </w:p>
    <w:p>
      <w:pPr>
        <w:spacing w:after="0" w:line="3" w:lineRule="exact"/>
        <w:rPr>
          <w:sz w:val="20"/>
          <w:szCs w:val="20"/>
          <w:color w:val="auto"/>
        </w:rPr>
      </w:pPr>
    </w:p>
    <w:p>
      <w:pPr>
        <w:jc w:val="both"/>
        <w:ind w:firstLine="8"/>
        <w:spacing w:after="0"/>
        <w:tabs>
          <w:tab w:leader="none" w:pos="328" w:val="left"/>
        </w:tabs>
        <w:numPr>
          <w:ilvl w:val="0"/>
          <w:numId w:val="184"/>
        </w:numPr>
        <w:rPr>
          <w:rFonts w:ascii="Arial" w:cs="Arial" w:eastAsia="Arial" w:hAnsi="Arial"/>
          <w:sz w:val="20"/>
          <w:szCs w:val="20"/>
          <w:color w:val="auto"/>
        </w:rPr>
      </w:pPr>
      <w:r>
        <w:rPr>
          <w:rFonts w:ascii="Arial" w:cs="Arial" w:eastAsia="Arial" w:hAnsi="Arial"/>
          <w:sz w:val="20"/>
          <w:szCs w:val="20"/>
          <w:color w:val="auto"/>
        </w:rPr>
        <w:t>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8" w:name="page169"/>
    <w:bookmarkEnd w:id="168"/>
    <w:p>
      <w:pPr>
        <w:jc w:val="both"/>
        <w:ind w:left="660" w:firstLine="644"/>
        <w:spacing w:after="0" w:line="246" w:lineRule="auto"/>
        <w:tabs>
          <w:tab w:leader="none" w:pos="194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91" w:lineRule="exact"/>
        <w:rPr>
          <w:rFonts w:ascii="Arial" w:cs="Arial" w:eastAsia="Arial" w:hAnsi="Arial"/>
          <w:sz w:val="20"/>
          <w:szCs w:val="20"/>
          <w:color w:val="auto"/>
        </w:rPr>
      </w:pPr>
    </w:p>
    <w:p>
      <w:pPr>
        <w:jc w:val="both"/>
        <w:ind w:left="660" w:firstLine="644"/>
        <w:spacing w:after="0" w:line="271" w:lineRule="auto"/>
        <w:tabs>
          <w:tab w:leader="none" w:pos="194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Defenses Waived</w:t>
      </w:r>
      <w:r>
        <w:rPr>
          <w:rFonts w:ascii="Arial" w:cs="Arial" w:eastAsia="Arial" w:hAnsi="Arial"/>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10.06. </w:t>
      </w:r>
      <w:r>
        <w:rPr>
          <w:rFonts w:ascii="Arial" w:cs="Arial" w:eastAsia="Arial" w:hAnsi="Arial"/>
          <w:sz w:val="20"/>
          <w:szCs w:val="20"/>
          <w:u w:val="single" w:color="auto"/>
          <w:color w:val="auto"/>
        </w:rPr>
        <w:t>Reinstatement; Stay of Acceleration</w:t>
      </w:r>
      <w:r>
        <w:rPr>
          <w:rFonts w:ascii="Arial" w:cs="Arial" w:eastAsia="Arial" w:hAnsi="Arial"/>
          <w:sz w:val="20"/>
          <w:szCs w:val="20"/>
          <w:color w:val="auto"/>
        </w:rPr>
        <w:t>. If at any time any payment of any portion of the Guaranteed Obligations (including a payment effected through exercise of a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69" w:name="page170"/>
    <w:bookmarkEnd w:id="169"/>
    <w:p>
      <w:pPr>
        <w:jc w:val="both"/>
        <w:spacing w:after="0" w:line="257" w:lineRule="auto"/>
        <w:rPr>
          <w:sz w:val="20"/>
          <w:szCs w:val="20"/>
          <w:color w:val="auto"/>
        </w:rPr>
      </w:pPr>
      <w:r>
        <w:rPr>
          <w:rFonts w:ascii="Arial" w:cs="Arial" w:eastAsia="Arial" w:hAnsi="Arial"/>
          <w:sz w:val="19"/>
          <w:szCs w:val="19"/>
          <w:color w:val="auto"/>
        </w:rPr>
        <w:t>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Information</w:t>
      </w:r>
      <w:r>
        <w:rPr>
          <w:rFonts w:ascii="Arial" w:cs="Arial" w:eastAsia="Arial" w:hAnsi="Arial"/>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9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10.08. </w:t>
      </w:r>
      <w:r>
        <w:rPr>
          <w:rFonts w:ascii="Arial" w:cs="Arial" w:eastAsia="Arial" w:hAnsi="Arial"/>
          <w:sz w:val="20"/>
          <w:szCs w:val="20"/>
          <w:u w:val="single" w:color="auto"/>
          <w:color w:val="auto"/>
        </w:rPr>
        <w:t>Termination</w:t>
      </w:r>
      <w:r>
        <w:rPr>
          <w:rFonts w:ascii="Arial" w:cs="Arial" w:eastAsia="Arial" w:hAnsi="Arial"/>
          <w:sz w:val="20"/>
          <w:szCs w:val="20"/>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197"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10.09.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Maximum Liability</w:t>
      </w:r>
      <w:r>
        <w:rPr>
          <w:rFonts w:ascii="Arial" w:cs="Arial" w:eastAsia="Arial" w:hAnsi="Arial"/>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93"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8" w:lineRule="auto"/>
        <w:tabs>
          <w:tab w:leader="none" w:pos="194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70" w:name="page171"/>
    <w:bookmarkEnd w:id="170"/>
    <w:p>
      <w:pPr>
        <w:jc w:val="both"/>
        <w:ind w:left="660"/>
        <w:spacing w:after="0" w:line="244" w:lineRule="auto"/>
        <w:rPr>
          <w:sz w:val="20"/>
          <w:szCs w:val="20"/>
          <w:color w:val="auto"/>
        </w:rPr>
      </w:pPr>
      <w:r>
        <w:rPr>
          <w:rFonts w:ascii="Arial" w:cs="Arial" w:eastAsia="Arial" w:hAnsi="Arial"/>
          <w:sz w:val="20"/>
          <w:szCs w:val="20"/>
          <w:color w:val="auto"/>
        </w:rPr>
        <w:t>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4" w:lineRule="exact"/>
        <w:rPr>
          <w:sz w:val="20"/>
          <w:szCs w:val="20"/>
          <w:color w:val="auto"/>
        </w:rPr>
      </w:pPr>
    </w:p>
    <w:p>
      <w:pPr>
        <w:jc w:val="both"/>
        <w:ind w:left="660" w:firstLine="644"/>
        <w:spacing w:after="0" w:line="260" w:lineRule="auto"/>
        <w:tabs>
          <w:tab w:leader="none" w:pos="1944"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0" w:lineRule="exact"/>
        <w:rPr>
          <w:rFonts w:ascii="Arial" w:cs="Arial" w:eastAsia="Arial" w:hAnsi="Arial"/>
          <w:sz w:val="19"/>
          <w:szCs w:val="19"/>
          <w:color w:val="auto"/>
        </w:rPr>
      </w:pPr>
    </w:p>
    <w:p>
      <w:pPr>
        <w:jc w:val="both"/>
        <w:ind w:left="660" w:firstLine="644"/>
        <w:spacing w:after="0" w:line="269" w:lineRule="auto"/>
        <w:tabs>
          <w:tab w:leader="none" w:pos="194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69" w:lineRule="exact"/>
        <w:rPr>
          <w:rFonts w:ascii="Arial" w:cs="Arial" w:eastAsia="Arial" w:hAnsi="Arial"/>
          <w:sz w:val="19"/>
          <w:szCs w:val="19"/>
          <w:color w:val="auto"/>
        </w:rPr>
      </w:pPr>
    </w:p>
    <w:p>
      <w:pPr>
        <w:ind w:left="660" w:firstLine="644"/>
        <w:spacing w:after="0" w:line="260" w:lineRule="auto"/>
        <w:tabs>
          <w:tab w:leader="none" w:pos="1944"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76" w:lineRule="exact"/>
        <w:rPr>
          <w:rFonts w:ascii="Arial" w:cs="Arial" w:eastAsia="Arial" w:hAnsi="Arial"/>
          <w:sz w:val="20"/>
          <w:szCs w:val="20"/>
          <w:color w:val="auto"/>
        </w:rPr>
      </w:pPr>
    </w:p>
    <w:p>
      <w:pPr>
        <w:ind w:left="660" w:firstLine="644"/>
        <w:spacing w:after="0" w:line="260" w:lineRule="auto"/>
        <w:tabs>
          <w:tab w:leader="none" w:pos="194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rights of the indemnifying Loan Guarantors against other Loan Guarantors under this Section 10.11 shall be exercisable upon the Payment in Full of the Guaranteed Obligations and the termination of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Liability Cumulative</w:t>
      </w:r>
      <w:r>
        <w:rPr>
          <w:rFonts w:ascii="Arial" w:cs="Arial" w:eastAsia="Arial" w:hAnsi="Arial"/>
          <w:sz w:val="20"/>
          <w:szCs w:val="20"/>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19" w:right="339" w:bottom="1440" w:gutter="0" w:footer="0" w:header="0"/>
        </w:sectPr>
      </w:pPr>
    </w:p>
    <w:bookmarkStart w:id="171" w:name="page172"/>
    <w:bookmarkEnd w:id="171"/>
    <w:p>
      <w:pPr>
        <w:spacing w:after="0" w:line="23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ARTICLE IX</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Borrower Representative.</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Appointment; Nature of Relationship</w:t>
      </w:r>
      <w:r>
        <w:rPr>
          <w:rFonts w:ascii="Arial" w:cs="Arial" w:eastAsia="Arial" w:hAnsi="Arial"/>
          <w:sz w:val="19"/>
          <w:szCs w:val="19"/>
          <w:color w:val="auto"/>
        </w:rPr>
        <w:t>. The Company is hereby appointed by each of the Borrowers as its contractual representative (herein referred to as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provided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Powers</w:t>
      </w:r>
      <w:r>
        <w:rPr>
          <w:rFonts w:ascii="Arial" w:cs="Arial" w:eastAsia="Arial" w:hAnsi="Arial"/>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Employment of Agents</w:t>
      </w:r>
      <w:r>
        <w:rPr>
          <w:rFonts w:ascii="Arial" w:cs="Arial" w:eastAsia="Arial" w:hAnsi="Arial"/>
          <w:sz w:val="20"/>
          <w:szCs w:val="20"/>
          <w:color w:val="auto"/>
        </w:rPr>
        <w:t>. The Borrower Representative may execute any of its duties as the Borrower Representative hereunder and under any other Loan Document by or through authorized officers.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u w:val="single" w:color="auto"/>
          <w:color w:val="auto"/>
        </w:rPr>
        <w:t>Notices</w:t>
      </w:r>
      <w:r>
        <w:rPr>
          <w:rFonts w:ascii="Arial" w:cs="Arial" w:eastAsia="Arial" w:hAnsi="Arial"/>
          <w:sz w:val="19"/>
          <w:szCs w:val="19"/>
          <w:color w:val="auto"/>
        </w:rPr>
        <w:t>. Each Borrower shall immediately notify the Borrower Representative of the occurrence of any Default or Event of Default hereunder, refer to this Agreement, describe such Default or Event of Default, and state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Successor Borrower Representative</w:t>
      </w:r>
      <w:r>
        <w:rPr>
          <w:rFonts w:ascii="Arial" w:cs="Arial" w:eastAsia="Arial" w:hAnsi="Arial"/>
          <w:sz w:val="20"/>
          <w:szCs w:val="20"/>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11.06. </w:t>
      </w:r>
      <w:r>
        <w:rPr>
          <w:rFonts w:ascii="Arial" w:cs="Arial" w:eastAsia="Arial" w:hAnsi="Arial"/>
          <w:sz w:val="20"/>
          <w:szCs w:val="20"/>
          <w:u w:val="single" w:color="auto"/>
          <w:color w:val="auto"/>
        </w:rPr>
        <w:t>Execution of Loan Documents</w:t>
      </w:r>
      <w:r>
        <w:rPr>
          <w:rFonts w:ascii="Arial" w:cs="Arial" w:eastAsia="Arial" w:hAnsi="Arial"/>
          <w:sz w:val="20"/>
          <w:szCs w:val="20"/>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Compliance Certificates. Each Borrower agrees that any action taken by the Borrower Representative or the Borrowers in accordance with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260" w:lineRule="auto"/>
        <w:rPr>
          <w:sz w:val="20"/>
          <w:szCs w:val="20"/>
          <w:color w:val="auto"/>
        </w:rPr>
      </w:pPr>
      <w:r>
        <w:rPr>
          <w:rFonts w:ascii="Arial" w:cs="Arial" w:eastAsia="Arial" w:hAnsi="Arial"/>
          <w:sz w:val="20"/>
          <w:szCs w:val="20"/>
          <w:color w:val="auto"/>
        </w:rPr>
        <w:t>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[Signatures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20"/>
          </w:cols>
          <w:pgMar w:left="320" w:top="1419" w:right="359" w:bottom="1440" w:gutter="0" w:footer="0" w:header="0"/>
        </w:sectPr>
      </w:pPr>
    </w:p>
    <w:bookmarkStart w:id="173" w:name="page174"/>
    <w:bookmarkEnd w:id="17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and delivered by their respective authorized officers as of the day and year first above written.</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THE HONEST COMPANY, INC.</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Kelly Kennedy__________________________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r>
        <w:rPr>
          <w:rFonts w:ascii="Arial" w:cs="Arial" w:eastAsia="Arial" w:hAnsi="Arial"/>
          <w:sz w:val="20"/>
          <w:szCs w:val="20"/>
          <w:u w:val="single" w:color="auto"/>
          <w:color w:val="auto"/>
        </w:rPr>
        <w:t>_Kelly Kennedy__________________________</w:t>
      </w:r>
    </w:p>
    <w:p>
      <w:pPr>
        <w:ind w:left="3900"/>
        <w:spacing w:after="0"/>
        <w:rPr>
          <w:sz w:val="20"/>
          <w:szCs w:val="20"/>
          <w:color w:val="auto"/>
        </w:rPr>
      </w:pPr>
      <w:r>
        <w:rPr>
          <w:rFonts w:ascii="Arial" w:cs="Arial" w:eastAsia="Arial" w:hAnsi="Arial"/>
          <w:sz w:val="20"/>
          <w:szCs w:val="20"/>
          <w:color w:val="auto"/>
        </w:rPr>
        <w:t>Title:</w:t>
      </w:r>
      <w:r>
        <w:rPr>
          <w:rFonts w:ascii="Arial" w:cs="Arial" w:eastAsia="Arial" w:hAnsi="Arial"/>
          <w:sz w:val="20"/>
          <w:szCs w:val="20"/>
          <w:u w:val="single" w:color="auto"/>
          <w:color w:val="auto"/>
        </w:rPr>
        <w:t>_Chief Financial Officer_____________________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40"/>
          </w:cols>
          <w:pgMar w:left="320" w:top="1162" w:right="339" w:bottom="1440" w:gutter="0" w:footer="0" w:header="0"/>
        </w:sectPr>
      </w:pPr>
    </w:p>
    <w:bookmarkStart w:id="174" w:name="page175"/>
    <w:bookmarkEnd w:id="174"/>
    <w:p>
      <w:pPr>
        <w:ind w:left="3900"/>
        <w:spacing w:after="0" w:line="260" w:lineRule="auto"/>
        <w:rPr>
          <w:sz w:val="20"/>
          <w:szCs w:val="20"/>
          <w:color w:val="auto"/>
        </w:rPr>
      </w:pPr>
      <w:r>
        <w:rPr>
          <w:rFonts w:ascii="Arial" w:cs="Arial" w:eastAsia="Arial" w:hAnsi="Arial"/>
          <w:sz w:val="20"/>
          <w:szCs w:val="20"/>
          <w:color w:val="auto"/>
        </w:rPr>
        <w:t>JPMORGAN CHASE BANK, N.A., individually, and as Administrative Agent and Issuing Bank</w:t>
      </w:r>
    </w:p>
    <w:p>
      <w:pPr>
        <w:spacing w:after="0" w:line="19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_/s/ Hormuz Kapadia__________________________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r>
        <w:rPr>
          <w:rFonts w:ascii="Arial" w:cs="Arial" w:eastAsia="Arial" w:hAnsi="Arial"/>
          <w:sz w:val="20"/>
          <w:szCs w:val="20"/>
          <w:u w:val="single" w:color="auto"/>
          <w:color w:val="auto"/>
        </w:rPr>
        <w:t>_Hormuz Kapadia__________________________</w:t>
      </w:r>
    </w:p>
    <w:p>
      <w:pPr>
        <w:ind w:left="39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_Authorized Officer_________________________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120"/>
          </w:cols>
          <w:pgMar w:left="320" w:top="1162" w:right="45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ASSIGNMENT AND ASSUMPTION</w:t>
      </w:r>
    </w:p>
    <w:p>
      <w:pPr>
        <w:spacing w:after="0" w:line="200" w:lineRule="exact"/>
        <w:rPr>
          <w:sz w:val="20"/>
          <w:szCs w:val="20"/>
          <w:color w:val="auto"/>
        </w:rPr>
      </w:pPr>
    </w:p>
    <w:p>
      <w:pPr>
        <w:spacing w:after="0" w:line="270" w:lineRule="exact"/>
        <w:rPr>
          <w:sz w:val="20"/>
          <w:szCs w:val="20"/>
          <w:color w:val="auto"/>
        </w:rPr>
      </w:pPr>
    </w:p>
    <w:p>
      <w:pPr>
        <w:ind w:right="100" w:firstLine="392"/>
        <w:spacing w:after="0" w:line="259" w:lineRule="auto"/>
        <w:rPr>
          <w:sz w:val="20"/>
          <w:szCs w:val="20"/>
          <w:color w:val="auto"/>
        </w:rPr>
      </w:pPr>
      <w:r>
        <w:rPr>
          <w:rFonts w:ascii="Arial" w:cs="Arial" w:eastAsia="Arial" w:hAnsi="Arial"/>
          <w:sz w:val="19"/>
          <w:szCs w:val="19"/>
          <w:color w:val="auto"/>
        </w:rPr>
        <w:t>This Assignment and Assumption (this “</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is dated as of the Effective Date set forth below and is entered into by and between [</w:t>
      </w:r>
      <w:r>
        <w:rPr>
          <w:rFonts w:ascii="Arial" w:cs="Arial" w:eastAsia="Arial" w:hAnsi="Arial"/>
          <w:sz w:val="19"/>
          <w:szCs w:val="19"/>
          <w:i w:val="1"/>
          <w:iCs w:val="1"/>
          <w:color w:val="auto"/>
        </w:rPr>
        <w:t>Insert name of Assignor</w:t>
      </w:r>
      <w:r>
        <w:rPr>
          <w:rFonts w:ascii="Arial" w:cs="Arial" w:eastAsia="Arial" w:hAnsi="Arial"/>
          <w:sz w:val="19"/>
          <w:szCs w:val="19"/>
          <w:color w:val="auto"/>
        </w:rPr>
        <w:t>] (the “</w:t>
      </w:r>
      <w:r>
        <w:rPr>
          <w:rFonts w:ascii="Arial" w:cs="Arial" w:eastAsia="Arial" w:hAnsi="Arial"/>
          <w:sz w:val="19"/>
          <w:szCs w:val="19"/>
          <w:u w:val="single" w:color="auto"/>
          <w:color w:val="auto"/>
        </w:rPr>
        <w:t>Assignor</w:t>
      </w:r>
      <w:r>
        <w:rPr>
          <w:rFonts w:ascii="Arial" w:cs="Arial" w:eastAsia="Arial" w:hAnsi="Arial"/>
          <w:sz w:val="19"/>
          <w:szCs w:val="19"/>
          <w:color w:val="auto"/>
        </w:rPr>
        <w:t>”) and [</w:t>
      </w:r>
      <w:r>
        <w:rPr>
          <w:rFonts w:ascii="Arial" w:cs="Arial" w:eastAsia="Arial" w:hAnsi="Arial"/>
          <w:sz w:val="19"/>
          <w:szCs w:val="19"/>
          <w:i w:val="1"/>
          <w:iCs w:val="1"/>
          <w:color w:val="auto"/>
        </w:rPr>
        <w:t>Insert name of Assignee</w:t>
      </w:r>
      <w:r>
        <w:rPr>
          <w:rFonts w:ascii="Arial" w:cs="Arial" w:eastAsia="Arial" w:hAnsi="Arial"/>
          <w:sz w:val="19"/>
          <w:szCs w:val="19"/>
          <w:color w:val="auto"/>
        </w:rPr>
        <w:t>] (the “</w:t>
      </w:r>
      <w:r>
        <w:rPr>
          <w:rFonts w:ascii="Arial" w:cs="Arial" w:eastAsia="Arial" w:hAnsi="Arial"/>
          <w:sz w:val="19"/>
          <w:szCs w:val="19"/>
          <w:u w:val="single" w:color="auto"/>
          <w:color w:val="auto"/>
        </w:rPr>
        <w:t>Assignee</w:t>
      </w:r>
      <w:r>
        <w:rPr>
          <w:rFonts w:ascii="Arial" w:cs="Arial" w:eastAsia="Arial" w:hAnsi="Arial"/>
          <w:sz w:val="19"/>
          <w:szCs w:val="19"/>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05" w:lineRule="exact"/>
        <w:rPr>
          <w:sz w:val="20"/>
          <w:szCs w:val="20"/>
          <w:color w:val="auto"/>
        </w:rPr>
      </w:pPr>
    </w:p>
    <w:p>
      <w:pPr>
        <w:ind w:firstLine="396"/>
        <w:spacing w:after="0" w:line="270"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and guarantees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199" w:lineRule="exact"/>
        <w:rPr>
          <w:sz w:val="20"/>
          <w:szCs w:val="20"/>
          <w:color w:val="auto"/>
        </w:rPr>
      </w:pPr>
    </w:p>
    <w:p>
      <w:pPr>
        <w:spacing w:after="0"/>
        <w:tabs>
          <w:tab w:leader="none" w:pos="320" w:val="left"/>
          <w:tab w:leader="none" w:pos="1480" w:val="left"/>
        </w:tabs>
        <w:rPr>
          <w:sz w:val="20"/>
          <w:szCs w:val="20"/>
          <w:color w:val="auto"/>
        </w:rPr>
      </w:pPr>
      <w:r>
        <w:rPr>
          <w:rFonts w:ascii="Arial" w:cs="Arial" w:eastAsia="Arial" w:hAnsi="Arial"/>
          <w:sz w:val="20"/>
          <w:szCs w:val="20"/>
          <w:color w:val="auto"/>
        </w:rPr>
        <w:t>1.</w:t>
        <w:tab/>
        <w:t>Assignor:</w:t>
      </w:r>
      <w:r>
        <w:rPr>
          <w:sz w:val="20"/>
          <w:szCs w:val="20"/>
          <w:color w:val="auto"/>
        </w:rPr>
        <w:tab/>
      </w:r>
      <w:r>
        <w:rPr>
          <w:rFonts w:ascii="Arial" w:cs="Arial" w:eastAsia="Arial" w:hAnsi="Arial"/>
          <w:sz w:val="16"/>
          <w:szCs w:val="16"/>
          <w:color w:val="auto"/>
        </w:rPr>
        <w:t>______________________________</w:t>
      </w:r>
    </w:p>
    <w:p>
      <w:pPr>
        <w:spacing w:after="0" w:line="243" w:lineRule="exact"/>
        <w:rPr>
          <w:sz w:val="20"/>
          <w:szCs w:val="20"/>
          <w:color w:val="auto"/>
        </w:rPr>
      </w:pPr>
    </w:p>
    <w:p>
      <w:pPr>
        <w:spacing w:after="0"/>
        <w:tabs>
          <w:tab w:leader="none" w:pos="320" w:val="left"/>
          <w:tab w:leader="none" w:pos="1500" w:val="left"/>
        </w:tabs>
        <w:rPr>
          <w:sz w:val="20"/>
          <w:szCs w:val="20"/>
          <w:color w:val="auto"/>
        </w:rPr>
      </w:pPr>
      <w:r>
        <w:rPr>
          <w:rFonts w:ascii="Arial" w:cs="Arial" w:eastAsia="Arial" w:hAnsi="Arial"/>
          <w:sz w:val="20"/>
          <w:szCs w:val="20"/>
          <w:color w:val="auto"/>
        </w:rPr>
        <w:t>2.</w:t>
        <w:tab/>
        <w:t>Assignee:</w:t>
      </w:r>
      <w:r>
        <w:rPr>
          <w:sz w:val="20"/>
          <w:szCs w:val="20"/>
          <w:color w:val="auto"/>
        </w:rPr>
        <w:tab/>
      </w:r>
      <w:r>
        <w:rPr>
          <w:rFonts w:ascii="Arial" w:cs="Arial" w:eastAsia="Arial" w:hAnsi="Arial"/>
          <w:sz w:val="16"/>
          <w:szCs w:val="16"/>
          <w:color w:val="auto"/>
        </w:rPr>
        <w:t>______________________________</w:t>
      </w:r>
    </w:p>
    <w:p>
      <w:pPr>
        <w:spacing w:after="0" w:line="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[and is an Affiliate/Approved Fund of [</w:t>
      </w:r>
      <w:r>
        <w:rPr>
          <w:rFonts w:ascii="Arial" w:cs="Arial" w:eastAsia="Arial" w:hAnsi="Arial"/>
          <w:sz w:val="20"/>
          <w:szCs w:val="20"/>
          <w:i w:val="1"/>
          <w:iCs w:val="1"/>
          <w:color w:val="auto"/>
        </w:rPr>
        <w:t>identify Lender</w:t>
      </w:r>
      <w:r>
        <w:rPr>
          <w:rFonts w:ascii="Arial" w:cs="Arial" w:eastAsia="Arial" w:hAnsi="Arial"/>
          <w:sz w:val="20"/>
          <w:szCs w:val="20"/>
          <w:color w:val="auto"/>
        </w:rPr>
        <w:t>]</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175" w:lineRule="exact"/>
        <w:rPr>
          <w:sz w:val="20"/>
          <w:szCs w:val="20"/>
          <w:color w:val="auto"/>
        </w:rPr>
      </w:pPr>
    </w:p>
    <w:p>
      <w:pPr>
        <w:spacing w:after="0"/>
        <w:tabs>
          <w:tab w:leader="none" w:pos="340" w:val="left"/>
          <w:tab w:leader="none" w:pos="1620" w:val="left"/>
        </w:tabs>
        <w:rPr>
          <w:sz w:val="20"/>
          <w:szCs w:val="20"/>
          <w:color w:val="auto"/>
        </w:rPr>
      </w:pPr>
      <w:r>
        <w:rPr>
          <w:rFonts w:ascii="Arial" w:cs="Arial" w:eastAsia="Arial" w:hAnsi="Arial"/>
          <w:sz w:val="20"/>
          <w:szCs w:val="20"/>
          <w:color w:val="auto"/>
        </w:rPr>
        <w:t>3.</w:t>
        <w:tab/>
        <w:t>Borrowers:</w:t>
      </w:r>
      <w:r>
        <w:rPr>
          <w:sz w:val="20"/>
          <w:szCs w:val="20"/>
          <w:color w:val="auto"/>
        </w:rPr>
        <w:tab/>
      </w:r>
      <w:r>
        <w:rPr>
          <w:rFonts w:ascii="Arial" w:cs="Arial" w:eastAsia="Arial" w:hAnsi="Arial"/>
          <w:sz w:val="16"/>
          <w:szCs w:val="16"/>
          <w:color w:val="auto"/>
        </w:rPr>
        <w:t>______________________________</w:t>
      </w:r>
    </w:p>
    <w:p>
      <w:pPr>
        <w:spacing w:after="0" w:line="243"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Administrative Agent:  JPMorgan Chase Bank, N.A., as the administrative agent under the Credit Agreement</w:t>
      </w:r>
    </w:p>
    <w:p>
      <w:pPr>
        <w:spacing w:after="0" w:line="242" w:lineRule="exact"/>
        <w:rPr>
          <w:rFonts w:ascii="Arial" w:cs="Arial" w:eastAsia="Arial" w:hAnsi="Arial"/>
          <w:sz w:val="20"/>
          <w:szCs w:val="20"/>
          <w:color w:val="auto"/>
        </w:rPr>
      </w:pPr>
    </w:p>
    <w:p>
      <w:pPr>
        <w:ind w:left="2600" w:right="240" w:hanging="2592"/>
        <w:spacing w:after="0" w:line="250" w:lineRule="auto"/>
        <w:tabs>
          <w:tab w:leader="none" w:pos="35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Credit Agreement: The Credit Agreement dated as of April 30, 2021 among The Honest Company, Inc., a Delaware corporation, the other Borrowers party thereto, the Lenders party thereto, JPMorgan Chase Bank, N.A., as Administrative Agent,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5" w:lineRule="exact"/>
        <w:rPr>
          <w:sz w:val="20"/>
          <w:szCs w:val="20"/>
          <w:color w:val="auto"/>
        </w:rPr>
      </w:pPr>
    </w:p>
    <w:p>
      <w:pPr>
        <w:ind w:left="100" w:hanging="92"/>
        <w:spacing w:after="0"/>
        <w:tabs>
          <w:tab w:leader="none" w:pos="100" w:val="left"/>
        </w:tabs>
        <w:numPr>
          <w:ilvl w:val="0"/>
          <w:numId w:val="189"/>
        </w:numPr>
        <w:rPr>
          <w:rFonts w:ascii="Arial" w:cs="Arial" w:eastAsia="Arial" w:hAnsi="Arial"/>
          <w:sz w:val="21"/>
          <w:szCs w:val="21"/>
          <w:color w:val="auto"/>
          <w:vertAlign w:val="superscript"/>
        </w:rPr>
      </w:pPr>
      <w:r>
        <w:rPr>
          <w:rFonts w:ascii="Arial" w:cs="Arial" w:eastAsia="Arial" w:hAnsi="Arial"/>
          <w:sz w:val="16"/>
          <w:szCs w:val="16"/>
          <w:color w:val="auto"/>
        </w:rPr>
        <w:t>Select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20"/>
          </w:cols>
          <w:pgMar w:left="320" w:top="1440" w:right="359" w:bottom="1440" w:gutter="0" w:footer="0" w:header="0"/>
        </w:sectPr>
      </w:pPr>
    </w:p>
    <w:bookmarkStart w:id="176" w:name="page177"/>
    <w:bookmarkEnd w:id="176"/>
    <w:p>
      <w:pPr>
        <w:spacing w:after="0"/>
        <w:tabs>
          <w:tab w:leader="none" w:pos="380" w:val="left"/>
        </w:tabs>
        <w:rPr>
          <w:sz w:val="20"/>
          <w:szCs w:val="20"/>
          <w:color w:val="auto"/>
        </w:rPr>
      </w:pPr>
      <w:r>
        <w:rPr>
          <w:rFonts w:ascii="Arial" w:cs="Arial" w:eastAsia="Arial" w:hAnsi="Arial"/>
          <w:sz w:val="20"/>
          <w:szCs w:val="20"/>
          <w:color w:val="auto"/>
        </w:rPr>
        <w:t>6.</w:t>
        <w:tab/>
        <w:t>Assigned Interest:</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760" w:type="dxa"/>
            <w:vAlign w:val="bottom"/>
            <w:tcBorders>
              <w:top w:val="single" w:sz="8" w:color="auto"/>
              <w:left w:val="single" w:sz="8" w:color="auto"/>
              <w:right w:val="single" w:sz="8" w:color="auto"/>
            </w:tcBorders>
          </w:tcPr>
          <w:p>
            <w:pPr>
              <w:ind w:left="660"/>
              <w:spacing w:after="0" w:line="253" w:lineRule="exact"/>
              <w:rPr>
                <w:sz w:val="20"/>
                <w:szCs w:val="20"/>
                <w:color w:val="auto"/>
              </w:rPr>
            </w:pPr>
            <w:r>
              <w:rPr>
                <w:rFonts w:ascii="Arial" w:cs="Arial" w:eastAsia="Arial" w:hAnsi="Arial"/>
                <w:sz w:val="20"/>
                <w:szCs w:val="20"/>
                <w:color w:val="auto"/>
              </w:rPr>
              <w:t>Facility Assigned</w:t>
            </w:r>
            <w:r>
              <w:rPr>
                <w:rFonts w:ascii="Arial" w:cs="Arial" w:eastAsia="Arial" w:hAnsi="Arial"/>
                <w:sz w:val="25"/>
                <w:szCs w:val="25"/>
                <w:color w:val="auto"/>
                <w:vertAlign w:val="superscript"/>
              </w:rPr>
              <w:t>2</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Aggregate Amount of</w:t>
            </w:r>
          </w:p>
        </w:tc>
        <w:tc>
          <w:tcPr>
            <w:tcW w:w="2840" w:type="dxa"/>
            <w:vAlign w:val="bottom"/>
            <w:tcBorders>
              <w:top w:val="single" w:sz="8" w:color="auto"/>
              <w:right w:val="single" w:sz="8" w:color="auto"/>
            </w:tcBorders>
          </w:tcPr>
          <w:p>
            <w:pPr>
              <w:jc w:val="right"/>
              <w:ind w:right="81"/>
              <w:spacing w:after="0"/>
              <w:rPr>
                <w:sz w:val="20"/>
                <w:szCs w:val="20"/>
                <w:color w:val="auto"/>
              </w:rPr>
            </w:pPr>
            <w:r>
              <w:rPr>
                <w:rFonts w:ascii="Arial" w:cs="Arial" w:eastAsia="Arial" w:hAnsi="Arial"/>
                <w:sz w:val="20"/>
                <w:szCs w:val="20"/>
                <w:color w:val="auto"/>
                <w:w w:val="97"/>
              </w:rPr>
              <w:t>Amount of Commitment/Loans</w:t>
            </w:r>
          </w:p>
        </w:tc>
        <w:tc>
          <w:tcPr>
            <w:tcW w:w="272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Percentage Assigned of</w:t>
            </w:r>
          </w:p>
        </w:tc>
      </w:tr>
      <w:tr>
        <w:trPr>
          <w:trHeight w:val="230"/>
        </w:trPr>
        <w:tc>
          <w:tcPr>
            <w:tcW w:w="2760" w:type="dxa"/>
            <w:vAlign w:val="bottom"/>
            <w:tcBorders>
              <w:left w:val="single" w:sz="8" w:color="auto"/>
              <w:right w:val="single" w:sz="8" w:color="auto"/>
            </w:tcBorders>
          </w:tcPr>
          <w:p>
            <w:pPr>
              <w:spacing w:after="0"/>
              <w:rPr>
                <w:sz w:val="19"/>
                <w:szCs w:val="19"/>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Commitment/Loans for all</w:t>
            </w:r>
          </w:p>
        </w:tc>
        <w:tc>
          <w:tcPr>
            <w:tcW w:w="2840" w:type="dxa"/>
            <w:vAlign w:val="bottom"/>
            <w:tcBorders>
              <w:right w:val="single" w:sz="8" w:color="auto"/>
            </w:tcBorders>
          </w:tcPr>
          <w:p>
            <w:pPr>
              <w:jc w:val="right"/>
              <w:ind w:right="961"/>
              <w:spacing w:after="0"/>
              <w:rPr>
                <w:sz w:val="20"/>
                <w:szCs w:val="20"/>
                <w:color w:val="auto"/>
              </w:rPr>
            </w:pPr>
            <w:r>
              <w:rPr>
                <w:rFonts w:ascii="Arial" w:cs="Arial" w:eastAsia="Arial" w:hAnsi="Arial"/>
                <w:sz w:val="20"/>
                <w:szCs w:val="20"/>
                <w:color w:val="auto"/>
              </w:rPr>
              <w:t>Assigned</w:t>
            </w:r>
          </w:p>
        </w:tc>
        <w:tc>
          <w:tcPr>
            <w:tcW w:w="2720" w:type="dxa"/>
            <w:vAlign w:val="bottom"/>
            <w:tcBorders>
              <w:right w:val="single" w:sz="8" w:color="auto"/>
            </w:tcBorders>
          </w:tcPr>
          <w:p>
            <w:pPr>
              <w:jc w:val="right"/>
              <w:ind w:right="441"/>
              <w:spacing w:after="0" w:line="229" w:lineRule="exact"/>
              <w:rPr>
                <w:sz w:val="20"/>
                <w:szCs w:val="20"/>
                <w:color w:val="auto"/>
              </w:rPr>
            </w:pPr>
            <w:r>
              <w:rPr>
                <w:rFonts w:ascii="Arial" w:cs="Arial" w:eastAsia="Arial" w:hAnsi="Arial"/>
                <w:sz w:val="20"/>
                <w:szCs w:val="20"/>
                <w:color w:val="auto"/>
              </w:rPr>
              <w:t>Commitment/Loans</w:t>
            </w:r>
            <w:r>
              <w:rPr>
                <w:rFonts w:ascii="Arial" w:cs="Arial" w:eastAsia="Arial" w:hAnsi="Arial"/>
                <w:sz w:val="25"/>
                <w:szCs w:val="25"/>
                <w:color w:val="auto"/>
                <w:vertAlign w:val="superscript"/>
              </w:rPr>
              <w:t>3</w:t>
            </w:r>
          </w:p>
        </w:tc>
      </w:tr>
      <w:tr>
        <w:trPr>
          <w:trHeight w:val="250"/>
        </w:trPr>
        <w:tc>
          <w:tcPr>
            <w:tcW w:w="276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Lenders</w:t>
            </w:r>
          </w:p>
        </w:tc>
        <w:tc>
          <w:tcPr>
            <w:tcW w:w="2840" w:type="dxa"/>
            <w:vAlign w:val="bottom"/>
            <w:tcBorders>
              <w:right w:val="single" w:sz="8" w:color="auto"/>
            </w:tcBorders>
          </w:tcPr>
          <w:p>
            <w:pPr>
              <w:spacing w:after="0"/>
              <w:rPr>
                <w:sz w:val="21"/>
                <w:szCs w:val="21"/>
                <w:color w:val="auto"/>
              </w:rPr>
            </w:pPr>
          </w:p>
        </w:tc>
        <w:tc>
          <w:tcPr>
            <w:tcW w:w="2720" w:type="dxa"/>
            <w:vAlign w:val="bottom"/>
            <w:tcBorders>
              <w:right w:val="single" w:sz="8" w:color="auto"/>
            </w:tcBorders>
          </w:tcPr>
          <w:p>
            <w:pPr>
              <w:spacing w:after="0"/>
              <w:rPr>
                <w:sz w:val="21"/>
                <w:szCs w:val="21"/>
                <w:color w:val="auto"/>
              </w:rPr>
            </w:pP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spacing w:after="0"/>
              <w:rPr>
                <w:sz w:val="22"/>
                <w:szCs w:val="22"/>
                <w:color w:val="auto"/>
              </w:rPr>
            </w:pP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spacing w:after="0"/>
              <w:rPr>
                <w:sz w:val="22"/>
                <w:szCs w:val="22"/>
                <w:color w:val="auto"/>
              </w:rPr>
            </w:pP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54"/>
        </w:trPr>
        <w:tc>
          <w:tcPr>
            <w:tcW w:w="2760" w:type="dxa"/>
            <w:vAlign w:val="bottom"/>
            <w:tcBorders>
              <w:left w:val="single" w:sz="8" w:color="auto"/>
              <w:right w:val="single" w:sz="8" w:color="auto"/>
            </w:tcBorders>
          </w:tcPr>
          <w:p>
            <w:pPr>
              <w:spacing w:after="0"/>
              <w:rPr>
                <w:sz w:val="22"/>
                <w:szCs w:val="22"/>
                <w:color w:val="auto"/>
              </w:rPr>
            </w:pP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840" w:type="dxa"/>
            <w:vAlign w:val="bottom"/>
            <w:tcBorders>
              <w:right w:val="single" w:sz="8" w:color="auto"/>
            </w:tcBorders>
          </w:tcPr>
          <w:p>
            <w:pPr>
              <w:jc w:val="right"/>
              <w:ind w:right="2581"/>
              <w:spacing w:after="0"/>
              <w:rPr>
                <w:sz w:val="20"/>
                <w:szCs w:val="20"/>
                <w:color w:val="auto"/>
              </w:rPr>
            </w:pPr>
            <w:r>
              <w:rPr>
                <w:rFonts w:ascii="Arial" w:cs="Arial" w:eastAsia="Arial" w:hAnsi="Arial"/>
                <w:sz w:val="20"/>
                <w:szCs w:val="20"/>
                <w:color w:val="auto"/>
              </w:rPr>
              <w:t>$</w:t>
            </w:r>
          </w:p>
        </w:tc>
        <w:tc>
          <w:tcPr>
            <w:tcW w:w="2720" w:type="dxa"/>
            <w:vAlign w:val="bottom"/>
            <w:tcBorders>
              <w:right w:val="single" w:sz="8" w:color="auto"/>
            </w:tcBorders>
          </w:tcPr>
          <w:p>
            <w:pPr>
              <w:jc w:val="right"/>
              <w:ind w:right="1741"/>
              <w:spacing w:after="0"/>
              <w:rPr>
                <w:sz w:val="20"/>
                <w:szCs w:val="20"/>
                <w:color w:val="auto"/>
              </w:rPr>
            </w:pPr>
            <w:r>
              <w:rPr>
                <w:rFonts w:ascii="Arial" w:cs="Arial" w:eastAsia="Arial" w:hAnsi="Arial"/>
                <w:sz w:val="20"/>
                <w:szCs w:val="20"/>
                <w:color w:val="auto"/>
              </w:rPr>
              <w:t>%</w:t>
            </w:r>
          </w:p>
        </w:tc>
      </w:tr>
      <w:tr>
        <w:trPr>
          <w:trHeight w:val="23"/>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2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auto"/>
        </w:rPr>
        <w:t>ASSIGNOR</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 OF ASSIGNOR]</w:t>
      </w:r>
    </w:p>
    <w:p>
      <w:pPr>
        <w:spacing w:after="0" w:line="200" w:lineRule="exact"/>
        <w:rPr>
          <w:sz w:val="20"/>
          <w:szCs w:val="20"/>
          <w:color w:val="auto"/>
        </w:rPr>
      </w:pPr>
    </w:p>
    <w:p>
      <w:pPr>
        <w:spacing w:after="0" w:line="28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By:______________________________</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Name:____________________________</w:t>
      </w:r>
    </w:p>
    <w:p>
      <w:pPr>
        <w:ind w:left="1200"/>
        <w:spacing w:after="0"/>
        <w:rPr>
          <w:sz w:val="20"/>
          <w:szCs w:val="20"/>
          <w:color w:val="auto"/>
        </w:rPr>
      </w:pPr>
      <w:r>
        <w:rPr>
          <w:rFonts w:ascii="Arial" w:cs="Arial" w:eastAsia="Arial" w:hAnsi="Arial"/>
          <w:sz w:val="20"/>
          <w:szCs w:val="20"/>
          <w:color w:val="auto"/>
        </w:rPr>
        <w:t>Title:_____________________________</w:t>
      </w:r>
    </w:p>
    <w:p>
      <w:pPr>
        <w:spacing w:after="0" w:line="200" w:lineRule="exact"/>
        <w:rPr>
          <w:sz w:val="20"/>
          <w:szCs w:val="20"/>
          <w:color w:val="auto"/>
        </w:rPr>
      </w:pPr>
    </w:p>
    <w:p>
      <w:pPr>
        <w:spacing w:after="0" w:line="270" w:lineRule="exact"/>
        <w:rPr>
          <w:sz w:val="20"/>
          <w:szCs w:val="20"/>
          <w:color w:val="auto"/>
        </w:rPr>
      </w:pPr>
    </w:p>
    <w:p>
      <w:pPr>
        <w:ind w:left="1200"/>
        <w:spacing w:after="0"/>
        <w:rPr>
          <w:sz w:val="20"/>
          <w:szCs w:val="20"/>
          <w:color w:val="auto"/>
        </w:rPr>
      </w:pPr>
      <w:r>
        <w:rPr>
          <w:rFonts w:ascii="Arial" w:cs="Arial" w:eastAsia="Arial" w:hAnsi="Arial"/>
          <w:sz w:val="20"/>
          <w:szCs w:val="20"/>
          <w:u w:val="single" w:color="auto"/>
          <w:color w:val="auto"/>
        </w:rPr>
        <w:t>ASSIGNEE</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 OF ASSIGNEE]</w:t>
      </w:r>
    </w:p>
    <w:p>
      <w:pPr>
        <w:spacing w:after="0" w:line="200" w:lineRule="exact"/>
        <w:rPr>
          <w:sz w:val="20"/>
          <w:szCs w:val="20"/>
          <w:color w:val="auto"/>
        </w:rPr>
      </w:pPr>
    </w:p>
    <w:p>
      <w:pPr>
        <w:spacing w:after="0" w:line="286"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By:______________________________</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Name:___________________________</w:t>
      </w:r>
    </w:p>
    <w:p>
      <w:pPr>
        <w:ind w:left="1200"/>
        <w:spacing w:after="0"/>
        <w:rPr>
          <w:sz w:val="20"/>
          <w:szCs w:val="20"/>
          <w:color w:val="auto"/>
        </w:rPr>
      </w:pPr>
      <w:r>
        <w:rPr>
          <w:rFonts w:ascii="Arial" w:cs="Arial" w:eastAsia="Arial" w:hAnsi="Arial"/>
          <w:sz w:val="20"/>
          <w:szCs w:val="20"/>
          <w:color w:val="auto"/>
        </w:rPr>
        <w:t>Title:_____________________________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714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20" w:firstLine="8"/>
        <w:spacing w:after="0" w:line="221" w:lineRule="auto"/>
        <w:tabs>
          <w:tab w:leader="none" w:pos="93" w:val="left"/>
        </w:tabs>
        <w:numPr>
          <w:ilvl w:val="0"/>
          <w:numId w:val="190"/>
        </w:numPr>
        <w:rPr>
          <w:rFonts w:ascii="Arial" w:cs="Arial" w:eastAsia="Arial" w:hAnsi="Arial"/>
          <w:sz w:val="21"/>
          <w:szCs w:val="21"/>
          <w:color w:val="auto"/>
          <w:vertAlign w:val="superscript"/>
        </w:rPr>
      </w:pPr>
      <w:r>
        <w:rPr>
          <w:rFonts w:ascii="Arial" w:cs="Arial" w:eastAsia="Arial" w:hAnsi="Arial"/>
          <w:sz w:val="16"/>
          <w:szCs w:val="16"/>
          <w:color w:val="auto"/>
        </w:rPr>
        <w:t>Fill in the appropriate terminology for the types of facilities under the Credit Agreement that are being assigned under this Assignment (e.g. “Revolving Commitment,” etc.)</w:t>
      </w:r>
    </w:p>
    <w:p>
      <w:pPr>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Set forth, to at least 9 decimals, as a percentage of the Commitment/Loans of all Lenders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180"/>
          </w:cols>
          <w:pgMar w:left="320" w:top="1405" w:right="39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4</w:t>
      </w:r>
      <w:r>
        <w:rPr>
          <w:rFonts w:ascii="Arial" w:cs="Arial" w:eastAsia="Arial" w:hAnsi="Arial"/>
          <w:sz w:val="20"/>
          <w:szCs w:val="20"/>
          <w:color w:val="auto"/>
        </w:rPr>
        <w:t xml:space="preserve"> Accepted: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Issuing Bank</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Name:______________________________</w:t>
      </w:r>
    </w:p>
    <w:p>
      <w:pPr>
        <w:spacing w:after="0"/>
        <w:rPr>
          <w:sz w:val="20"/>
          <w:szCs w:val="20"/>
          <w:color w:val="auto"/>
        </w:rPr>
      </w:pPr>
      <w:r>
        <w:rPr>
          <w:rFonts w:ascii="Arial" w:cs="Arial" w:eastAsia="Arial" w:hAnsi="Arial"/>
          <w:sz w:val="20"/>
          <w:szCs w:val="20"/>
          <w:color w:val="auto"/>
        </w:rPr>
        <w:t>Title:_______________________________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[THE HONEST COMPANY,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Name:_____________________________</w:t>
      </w:r>
    </w:p>
    <w:p>
      <w:pPr>
        <w:spacing w:after="0"/>
        <w:rPr>
          <w:sz w:val="20"/>
          <w:szCs w:val="20"/>
          <w:color w:val="auto"/>
        </w:rPr>
      </w:pPr>
      <w:r>
        <w:rPr>
          <w:rFonts w:ascii="Arial" w:cs="Arial" w:eastAsia="Arial" w:hAnsi="Arial"/>
          <w:sz w:val="20"/>
          <w:szCs w:val="20"/>
          <w:color w:val="auto"/>
        </w:rPr>
        <w:t>Title:_______________________________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14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0" w:hanging="92"/>
        <w:spacing w:after="0"/>
        <w:tabs>
          <w:tab w:leader="none" w:pos="100" w:val="left"/>
        </w:tabs>
        <w:numPr>
          <w:ilvl w:val="0"/>
          <w:numId w:val="191"/>
        </w:numPr>
        <w:rPr>
          <w:rFonts w:ascii="Arial" w:cs="Arial" w:eastAsia="Arial" w:hAnsi="Arial"/>
          <w:sz w:val="20"/>
          <w:szCs w:val="20"/>
          <w:color w:val="auto"/>
          <w:vertAlign w:val="superscript"/>
        </w:rPr>
      </w:pPr>
      <w:r>
        <w:rPr>
          <w:rFonts w:ascii="Arial" w:cs="Arial" w:eastAsia="Arial" w:hAnsi="Arial"/>
          <w:sz w:val="15"/>
          <w:szCs w:val="15"/>
          <w:color w:val="auto"/>
        </w:rPr>
        <w:t>To be added only if the consent of the Administrative Agent and/or Issuing Bank, as applicable, is required by the terms of the Credit Agreement.</w:t>
      </w:r>
    </w:p>
    <w:p>
      <w:pPr>
        <w:ind w:left="100" w:hanging="92"/>
        <w:spacing w:after="0" w:line="227" w:lineRule="auto"/>
        <w:tabs>
          <w:tab w:leader="none" w:pos="100" w:val="left"/>
        </w:tabs>
        <w:numPr>
          <w:ilvl w:val="0"/>
          <w:numId w:val="192"/>
        </w:numPr>
        <w:rPr>
          <w:rFonts w:ascii="Arial" w:cs="Arial" w:eastAsia="Arial" w:hAnsi="Arial"/>
          <w:sz w:val="18"/>
          <w:szCs w:val="18"/>
          <w:color w:val="auto"/>
          <w:vertAlign w:val="superscript"/>
        </w:rPr>
      </w:pPr>
      <w:r>
        <w:rPr>
          <w:rFonts w:ascii="Arial" w:cs="Arial" w:eastAsia="Arial" w:hAnsi="Arial"/>
          <w:sz w:val="14"/>
          <w:szCs w:val="14"/>
          <w:color w:val="auto"/>
        </w:rPr>
        <w:t>To be added only if the consent of the Borrower Representative and/or other parties (e.g. Issuing Bank)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0139"/>
          </w:cols>
          <w:pgMar w:left="320" w:top="1162" w:right="1440"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20"/>
          <w:szCs w:val="20"/>
          <w:color w:val="auto"/>
        </w:rPr>
        <w:t>ANNEX 1 to ASSIGNMENT AND ASSUMPTION</w:t>
      </w:r>
    </w:p>
    <w:p>
      <w:pPr>
        <w:spacing w:after="0" w:line="24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[__________________]</w:t>
      </w:r>
      <w:r>
        <w:rPr>
          <w:rFonts w:ascii="Arial" w:cs="Arial" w:eastAsia="Arial" w:hAnsi="Arial"/>
          <w:sz w:val="25"/>
          <w:szCs w:val="25"/>
          <w:color w:val="auto"/>
          <w:vertAlign w:val="superscript"/>
        </w:rPr>
        <w:t>6</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ASSIGNMENT AND ASSUMPTION</w:t>
      </w:r>
    </w:p>
    <w:p>
      <w:pPr>
        <w:spacing w:after="0" w:line="227" w:lineRule="exact"/>
        <w:rPr>
          <w:sz w:val="20"/>
          <w:szCs w:val="20"/>
          <w:color w:val="auto"/>
        </w:rPr>
      </w:pPr>
    </w:p>
    <w:p>
      <w:pPr>
        <w:ind w:left="600" w:hanging="196"/>
        <w:spacing w:after="0"/>
        <w:tabs>
          <w:tab w:leader="none" w:pos="600"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43" w:lineRule="exact"/>
        <w:rPr>
          <w:sz w:val="20"/>
          <w:szCs w:val="20"/>
          <w:color w:val="auto"/>
        </w:rPr>
      </w:pPr>
    </w:p>
    <w:p>
      <w:pPr>
        <w:ind w:right="100" w:firstLine="396"/>
        <w:spacing w:after="0" w:line="255"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Subsidiary or Affiliate or any other Person obligated in respect of any Loan Document (iv) any requirements under applicable law for the Assignee to become a lender under the Credit Agreement or any other Loan Document or to charge interest at the rate set forth therein from time to time or (v) the performance or observance by any Borrower, any Subsidiary or Affiliate, or any other Person of any of their respective obligations under any Loan Document.</w:t>
      </w:r>
    </w:p>
    <w:p>
      <w:pPr>
        <w:spacing w:after="0" w:line="217" w:lineRule="exact"/>
        <w:rPr>
          <w:sz w:val="20"/>
          <w:szCs w:val="20"/>
          <w:color w:val="auto"/>
        </w:rPr>
      </w:pPr>
    </w:p>
    <w:p>
      <w:pPr>
        <w:ind w:firstLine="396"/>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the Arranger, the Assignor or any other Lender or any of their respective Related Parties,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06" w:lineRule="exact"/>
        <w:rPr>
          <w:sz w:val="20"/>
          <w:szCs w:val="20"/>
          <w:color w:val="auto"/>
        </w:rPr>
      </w:pPr>
    </w:p>
    <w:p>
      <w:pPr>
        <w:ind w:right="280" w:firstLine="404"/>
        <w:spacing w:after="0" w:line="269" w:lineRule="auto"/>
        <w:tabs>
          <w:tab w:leader="none" w:pos="594"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96" w:lineRule="exact"/>
        <w:rPr>
          <w:rFonts w:ascii="Arial" w:cs="Arial" w:eastAsia="Arial" w:hAnsi="Arial"/>
          <w:sz w:val="19"/>
          <w:szCs w:val="19"/>
          <w:color w:val="auto"/>
        </w:rPr>
      </w:pPr>
    </w:p>
    <w:p>
      <w:pPr>
        <w:ind w:right="200" w:firstLine="404"/>
        <w:spacing w:after="0" w:line="260" w:lineRule="auto"/>
        <w:tabs>
          <w:tab w:leader="none" w:pos="594"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0" w:lineRule="exact"/>
        <w:rPr>
          <w:sz w:val="20"/>
          <w:szCs w:val="20"/>
          <w:color w:val="auto"/>
        </w:rPr>
      </w:pPr>
    </w:p>
    <w:p>
      <w:pPr>
        <w:ind w:left="100" w:hanging="92"/>
        <w:spacing w:after="0"/>
        <w:tabs>
          <w:tab w:leader="none" w:pos="100" w:val="left"/>
        </w:tabs>
        <w:numPr>
          <w:ilvl w:val="0"/>
          <w:numId w:val="195"/>
        </w:numPr>
        <w:rPr>
          <w:rFonts w:ascii="Arial" w:cs="Arial" w:eastAsia="Arial" w:hAnsi="Arial"/>
          <w:sz w:val="21"/>
          <w:szCs w:val="21"/>
          <w:color w:val="auto"/>
          <w:vertAlign w:val="superscript"/>
        </w:rPr>
      </w:pPr>
      <w:r>
        <w:rPr>
          <w:rFonts w:ascii="Arial" w:cs="Arial" w:eastAsia="Arial" w:hAnsi="Arial"/>
          <w:sz w:val="16"/>
          <w:szCs w:val="16"/>
          <w:color w:val="auto"/>
        </w:rPr>
        <w:t>Describe Credit Agreement at option of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20"/>
          </w:cols>
          <w:pgMar w:left="320" w:top="1162" w:right="359" w:bottom="1440" w:gutter="0" w:footer="0" w:header="0"/>
        </w:sectPr>
      </w:pPr>
    </w:p>
    <w:bookmarkStart w:id="179" w:name="page180"/>
    <w:bookmarkEnd w:id="179"/>
    <w:p>
      <w:pPr>
        <w:spacing w:after="0" w:line="282" w:lineRule="auto"/>
        <w:rPr>
          <w:sz w:val="20"/>
          <w:szCs w:val="20"/>
          <w:color w:val="auto"/>
        </w:rPr>
      </w:pPr>
      <w:r>
        <w:rPr>
          <w:rFonts w:ascii="Arial" w:cs="Arial" w:eastAsia="Arial" w:hAnsi="Arial"/>
          <w:sz w:val="18"/>
          <w:szCs w:val="18"/>
          <w:color w:val="auto"/>
        </w:rPr>
        <w:t>Assumption may be executed in any number of counterparts, which together shall constitute one instrument. Acceptance and adoption of the terms of this Assignment and Assumption by the Assignee and the Assignor by Electronic Signature (as defined in the Credit Agreement) or delivery of an executed counterpart of a signature page of this Assignment and Assumption by any Approved Electronic Platform (as defined in the Credit Agreement)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740334942</w:t>
      </w:r>
    </w:p>
    <w:p>
      <w:pPr>
        <w:sectPr>
          <w:pgSz w:w="11900" w:h="16838" w:orient="portrait"/>
          <w:cols w:equalWidth="0" w:num="1">
            <w:col w:w="11200"/>
          </w:cols>
          <w:pgMar w:left="320" w:top="1162" w:right="37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20"/>
          <w:szCs w:val="20"/>
          <w:b w:val="1"/>
          <w:bCs w:val="1"/>
          <w:color w:val="auto"/>
        </w:rPr>
        <w:t>EXHIBIT B-1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FORM OF BORROWING REQUEST</w:t>
      </w:r>
    </w:p>
    <w:p>
      <w:pPr>
        <w:jc w:val="center"/>
        <w:ind w:right="-59"/>
        <w:spacing w:after="0"/>
        <w:rPr>
          <w:sz w:val="20"/>
          <w:szCs w:val="20"/>
          <w:color w:val="auto"/>
        </w:rPr>
      </w:pPr>
      <w:r>
        <w:rPr>
          <w:rFonts w:ascii="Arial" w:cs="Arial" w:eastAsia="Arial" w:hAnsi="Arial"/>
          <w:sz w:val="20"/>
          <w:szCs w:val="20"/>
          <w:color w:val="auto"/>
        </w:rPr>
        <w:t>THE HONEST COMPANY, INC.</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237 Park Avenue, Floor 6</w:t>
      </w:r>
    </w:p>
    <w:p>
      <w:pPr>
        <w:spacing w:after="0"/>
        <w:rPr>
          <w:sz w:val="20"/>
          <w:szCs w:val="20"/>
          <w:color w:val="auto"/>
        </w:rPr>
      </w:pPr>
      <w:r>
        <w:rPr>
          <w:rFonts w:ascii="Arial" w:cs="Arial" w:eastAsia="Arial" w:hAnsi="Arial"/>
          <w:sz w:val="20"/>
          <w:szCs w:val="20"/>
          <w:color w:val="auto"/>
        </w:rPr>
        <w:t>New York, NY, 10017</w:t>
      </w:r>
    </w:p>
    <w:p>
      <w:pPr>
        <w:spacing w:after="0"/>
        <w:rPr>
          <w:sz w:val="20"/>
          <w:szCs w:val="20"/>
          <w:color w:val="auto"/>
        </w:rPr>
      </w:pPr>
      <w:r>
        <w:rPr>
          <w:rFonts w:ascii="Arial" w:cs="Arial" w:eastAsia="Arial" w:hAnsi="Arial"/>
          <w:sz w:val="20"/>
          <w:szCs w:val="20"/>
          <w:color w:val="auto"/>
        </w:rPr>
        <w:t>Attention: Hormuz Kapadia</w:t>
      </w:r>
    </w:p>
    <w:p>
      <w:pPr>
        <w:spacing w:after="0"/>
        <w:rPr>
          <w:sz w:val="20"/>
          <w:szCs w:val="20"/>
          <w:color w:val="auto"/>
        </w:rPr>
      </w:pPr>
      <w:r>
        <w:rPr>
          <w:rFonts w:ascii="Arial" w:cs="Arial" w:eastAsia="Arial" w:hAnsi="Arial"/>
          <w:sz w:val="20"/>
          <w:szCs w:val="20"/>
          <w:color w:val="auto"/>
        </w:rPr>
        <w:t>Email: Hormuz.kapadia@jpmorgan.com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 xml:space="preserve">This Borrowing Request is furnished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of that certain Credit Agreement dated as of April 30, 2021 (as amended, restated,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The Honest Company, Inc., a Delaware corporation (as the “</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the other Loan Parties, the lenders party thereto and JPMorgan Chase Bank, N.A. (“</w:t>
      </w:r>
      <w:r>
        <w:rPr>
          <w:rFonts w:ascii="Arial" w:cs="Arial" w:eastAsia="Arial" w:hAnsi="Arial"/>
          <w:sz w:val="20"/>
          <w:szCs w:val="20"/>
          <w:u w:val="single" w:color="auto"/>
          <w:color w:val="auto"/>
        </w:rPr>
        <w:t>Chase</w:t>
      </w:r>
      <w:r>
        <w:rPr>
          <w:rFonts w:ascii="Arial" w:cs="Arial" w:eastAsia="Arial" w:hAnsi="Arial"/>
          <w:sz w:val="20"/>
          <w:szCs w:val="20"/>
          <w:color w:val="auto"/>
        </w:rPr>
        <w:t xml:space="preserve">”), as Agent for the Lenders. Unless otherwise defined herein, capitalized terms used in this Borrowing Request have the meanings ascribed thereto in the Agreement. The Borrower Representative represents that, as of this date, the conditions precedent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are satisfied.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The Borrower Representative hereby notifies Chase of its request for the following Borrowing:</w:t>
      </w:r>
    </w:p>
    <w:p>
      <w:pPr>
        <w:spacing w:after="0" w:line="227" w:lineRule="exact"/>
        <w:rPr>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Revolving Borrowing</w:t>
      </w:r>
    </w:p>
    <w:p>
      <w:pPr>
        <w:spacing w:after="0" w:line="215" w:lineRule="exact"/>
        <w:rPr>
          <w:rFonts w:ascii="Arial" w:cs="Arial" w:eastAsia="Arial" w:hAnsi="Arial"/>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Aggregate Amount of the Revolving Borrowing</w:t>
      </w:r>
      <w:r>
        <w:rPr>
          <w:rFonts w:ascii="Courier New" w:cs="Courier New" w:eastAsia="Courier New" w:hAnsi="Courier New"/>
          <w:sz w:val="25"/>
          <w:szCs w:val="25"/>
          <w:color w:val="auto"/>
          <w:vertAlign w:val="superscript"/>
        </w:rPr>
        <w:t>7</w:t>
      </w:r>
      <w:r>
        <w:rPr>
          <w:rFonts w:ascii="Arial" w:cs="Arial" w:eastAsia="Arial" w:hAnsi="Arial"/>
          <w:sz w:val="20"/>
          <w:szCs w:val="20"/>
          <w:color w:val="auto"/>
        </w:rPr>
        <w:t>: $_________________</w:t>
      </w:r>
    </w:p>
    <w:p>
      <w:pPr>
        <w:spacing w:after="0" w:line="135" w:lineRule="exact"/>
        <w:rPr>
          <w:rFonts w:ascii="Arial" w:cs="Arial" w:eastAsia="Arial" w:hAnsi="Arial"/>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Name[s] of the applicable Borrower[s] ____________________</w:t>
      </w:r>
    </w:p>
    <w:p>
      <w:pPr>
        <w:spacing w:after="0" w:line="215" w:lineRule="exact"/>
        <w:rPr>
          <w:rFonts w:ascii="Arial" w:cs="Arial" w:eastAsia="Arial" w:hAnsi="Arial"/>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Borrowing Date of the Borrowing (must be a Business Day): ____________________</w:t>
      </w:r>
    </w:p>
    <w:p>
      <w:pPr>
        <w:spacing w:after="0" w:line="215" w:lineRule="exact"/>
        <w:rPr>
          <w:rFonts w:ascii="Arial" w:cs="Arial" w:eastAsia="Arial" w:hAnsi="Arial"/>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The Borrowing shall be a ___ CBFR Borrowing or ___ Eurodollar Borrowing</w:t>
      </w:r>
      <w:r>
        <w:rPr>
          <w:rFonts w:ascii="Arial" w:cs="Arial" w:eastAsia="Arial" w:hAnsi="Arial"/>
          <w:sz w:val="25"/>
          <w:szCs w:val="25"/>
          <w:color w:val="auto"/>
          <w:vertAlign w:val="superscript"/>
        </w:rPr>
        <w:t>8</w:t>
      </w:r>
    </w:p>
    <w:p>
      <w:pPr>
        <w:spacing w:after="0" w:line="158" w:lineRule="exact"/>
        <w:rPr>
          <w:rFonts w:ascii="Arial" w:cs="Arial" w:eastAsia="Arial" w:hAnsi="Arial"/>
          <w:sz w:val="20"/>
          <w:szCs w:val="20"/>
          <w:color w:val="auto"/>
        </w:rPr>
      </w:pPr>
    </w:p>
    <w:p>
      <w:pPr>
        <w:ind w:left="980" w:hanging="648"/>
        <w:spacing w:after="0"/>
        <w:tabs>
          <w:tab w:leader="none" w:pos="980"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If a Eurodollar Borrowing, the duration of Interest Period </w:t>
      </w:r>
      <w:r>
        <w:rPr>
          <w:rFonts w:ascii="Arial" w:cs="Arial" w:eastAsia="Arial" w:hAnsi="Arial"/>
          <w:sz w:val="25"/>
          <w:szCs w:val="25"/>
          <w:color w:val="auto"/>
          <w:vertAlign w:val="superscript"/>
        </w:rPr>
        <w:t>9</w:t>
      </w:r>
      <w:r>
        <w:rPr>
          <w:rFonts w:ascii="Arial" w:cs="Arial" w:eastAsia="Arial" w:hAnsi="Arial"/>
          <w:sz w:val="20"/>
          <w:szCs w:val="20"/>
          <w:color w:val="auto"/>
        </w:rPr>
        <w:t>:</w:t>
      </w:r>
    </w:p>
    <w:p>
      <w:pPr>
        <w:spacing w:after="0" w:line="158" w:lineRule="exact"/>
        <w:rPr>
          <w:sz w:val="20"/>
          <w:szCs w:val="20"/>
          <w:color w:val="auto"/>
        </w:rPr>
      </w:pPr>
    </w:p>
    <w:p>
      <w:pPr>
        <w:ind w:left="660"/>
        <w:spacing w:after="0"/>
        <w:tabs>
          <w:tab w:leader="none" w:pos="1800" w:val="left"/>
          <w:tab w:leader="none" w:pos="2980" w:val="left"/>
          <w:tab w:leader="none" w:pos="4280" w:val="left"/>
          <w:tab w:leader="none" w:pos="5480" w:val="left"/>
          <w:tab w:leader="none" w:pos="6600" w:val="left"/>
        </w:tabs>
        <w:rPr>
          <w:sz w:val="20"/>
          <w:szCs w:val="20"/>
          <w:color w:val="auto"/>
        </w:rPr>
      </w:pPr>
      <w:r>
        <w:rPr>
          <w:rFonts w:ascii="Arial" w:cs="Arial" w:eastAsia="Arial" w:hAnsi="Arial"/>
          <w:sz w:val="20"/>
          <w:szCs w:val="20"/>
          <w:color w:val="auto"/>
        </w:rPr>
        <w:t>One Month</w:t>
        <w:tab/>
        <w:t>__________</w:t>
        <w:tab/>
        <w:t>Three Months</w:t>
        <w:tab/>
        <w:t>__________</w:t>
        <w:tab/>
        <w:t>Six Months</w:t>
      </w:r>
      <w:r>
        <w:rPr>
          <w:sz w:val="20"/>
          <w:szCs w:val="20"/>
          <w:color w:val="auto"/>
        </w:rPr>
        <w:tab/>
      </w:r>
      <w:r>
        <w:rPr>
          <w:rFonts w:ascii="Arial" w:cs="Arial" w:eastAsia="Arial" w:hAnsi="Arial"/>
          <w:sz w:val="16"/>
          <w:szCs w:val="16"/>
          <w:color w:val="auto"/>
        </w:rPr>
        <w:t>__________</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THE HONEST COMPANY, INC.</w:t>
      </w:r>
    </w:p>
    <w:p>
      <w:pPr>
        <w:spacing w:after="0" w:line="24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9" w:lineRule="exact"/>
        <w:rPr>
          <w:sz w:val="20"/>
          <w:szCs w:val="20"/>
          <w:color w:val="auto"/>
        </w:rPr>
      </w:pPr>
    </w:p>
    <w:p>
      <w:pPr>
        <w:ind w:left="120" w:hanging="112"/>
        <w:spacing w:after="0"/>
        <w:tabs>
          <w:tab w:leader="none" w:pos="120" w:val="left"/>
        </w:tabs>
        <w:numPr>
          <w:ilvl w:val="0"/>
          <w:numId w:val="197"/>
        </w:numPr>
        <w:rPr>
          <w:rFonts w:ascii="Arial" w:cs="Arial" w:eastAsia="Arial" w:hAnsi="Arial"/>
          <w:sz w:val="23"/>
          <w:szCs w:val="23"/>
          <w:color w:val="auto"/>
          <w:vertAlign w:val="superscript"/>
        </w:rPr>
      </w:pPr>
      <w:r>
        <w:rPr>
          <w:rFonts w:ascii="Arial" w:cs="Arial" w:eastAsia="Arial" w:hAnsi="Arial"/>
          <w:sz w:val="16"/>
          <w:szCs w:val="16"/>
          <w:color w:val="auto"/>
        </w:rPr>
        <w:t>Must comply with Section 2.02(c) of the Agreement</w:t>
      </w:r>
    </w:p>
    <w:p>
      <w:pPr>
        <w:ind w:left="100" w:hanging="92"/>
        <w:spacing w:after="0" w:line="194" w:lineRule="auto"/>
        <w:tabs>
          <w:tab w:leader="none" w:pos="100" w:val="left"/>
        </w:tabs>
        <w:numPr>
          <w:ilvl w:val="0"/>
          <w:numId w:val="198"/>
        </w:numPr>
        <w:rPr>
          <w:rFonts w:ascii="Arial" w:cs="Arial" w:eastAsia="Arial" w:hAnsi="Arial"/>
          <w:sz w:val="21"/>
          <w:szCs w:val="21"/>
          <w:color w:val="auto"/>
          <w:vertAlign w:val="superscript"/>
        </w:rPr>
      </w:pPr>
      <w:r>
        <w:rPr>
          <w:rFonts w:ascii="Arial" w:cs="Arial" w:eastAsia="Arial" w:hAnsi="Arial"/>
          <w:sz w:val="16"/>
          <w:szCs w:val="16"/>
          <w:color w:val="auto"/>
        </w:rPr>
        <w:t>If no election is made, then the requested Borrowing shall be a CBFR Borrowing</w:t>
      </w:r>
    </w:p>
    <w:p>
      <w:pPr>
        <w:ind w:right="60" w:firstLine="8"/>
        <w:spacing w:after="0" w:line="217" w:lineRule="auto"/>
        <w:tabs>
          <w:tab w:leader="none" w:pos="93" w:val="left"/>
        </w:tabs>
        <w:numPr>
          <w:ilvl w:val="0"/>
          <w:numId w:val="199"/>
        </w:numPr>
        <w:rPr>
          <w:rFonts w:ascii="Arial" w:cs="Arial" w:eastAsia="Arial" w:hAnsi="Arial"/>
          <w:sz w:val="21"/>
          <w:szCs w:val="21"/>
          <w:color w:val="auto"/>
          <w:vertAlign w:val="superscript"/>
        </w:rPr>
      </w:pPr>
      <w:r>
        <w:rPr>
          <w:rFonts w:ascii="Arial" w:cs="Arial" w:eastAsia="Arial" w:hAnsi="Arial"/>
          <w:sz w:val="16"/>
          <w:szCs w:val="16"/>
          <w:color w:val="auto"/>
        </w:rPr>
        <w:t>Shall be subject to the definition of “Interest Period.” Cannot extend beyond the Maturity Date. If an Interest Period is not specified, then the Borrower shall be deemed to have selected an Interest Period of one month’s duration.</w:t>
      </w:r>
    </w:p>
    <w:p>
      <w:pPr>
        <w:sectPr>
          <w:pgSz w:w="11900" w:h="16838" w:orient="portrait"/>
          <w:cols w:equalWidth="0" w:num="1">
            <w:col w:w="11200"/>
          </w:cols>
          <w:pgMar w:left="320" w:top="1413" w:right="379"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20"/>
          <w:szCs w:val="20"/>
          <w:b w:val="1"/>
          <w:bCs w:val="1"/>
          <w:color w:val="auto"/>
        </w:rPr>
        <w:t>EXHIBIT B-2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INTEREST ELECTION REQUEST</w:t>
      </w:r>
    </w:p>
    <w:p>
      <w:pPr>
        <w:jc w:val="center"/>
        <w:ind w:right="-39"/>
        <w:spacing w:after="0"/>
        <w:rPr>
          <w:sz w:val="20"/>
          <w:szCs w:val="20"/>
          <w:color w:val="auto"/>
        </w:rPr>
      </w:pPr>
      <w:r>
        <w:rPr>
          <w:rFonts w:ascii="Arial" w:cs="Arial" w:eastAsia="Arial" w:hAnsi="Arial"/>
          <w:sz w:val="20"/>
          <w:szCs w:val="20"/>
          <w:color w:val="auto"/>
        </w:rPr>
        <w:t>THE HONEST COMPANY,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237 Park Avenue, Floor 6</w:t>
      </w:r>
    </w:p>
    <w:p>
      <w:pPr>
        <w:spacing w:after="0"/>
        <w:rPr>
          <w:sz w:val="20"/>
          <w:szCs w:val="20"/>
          <w:color w:val="auto"/>
        </w:rPr>
      </w:pPr>
      <w:r>
        <w:rPr>
          <w:rFonts w:ascii="Arial" w:cs="Arial" w:eastAsia="Arial" w:hAnsi="Arial"/>
          <w:sz w:val="20"/>
          <w:szCs w:val="20"/>
          <w:color w:val="auto"/>
        </w:rPr>
        <w:t>New York, NY, 10017</w:t>
      </w:r>
    </w:p>
    <w:p>
      <w:pPr>
        <w:spacing w:after="0"/>
        <w:rPr>
          <w:sz w:val="20"/>
          <w:szCs w:val="20"/>
          <w:color w:val="auto"/>
        </w:rPr>
      </w:pPr>
      <w:r>
        <w:rPr>
          <w:rFonts w:ascii="Arial" w:cs="Arial" w:eastAsia="Arial" w:hAnsi="Arial"/>
          <w:sz w:val="20"/>
          <w:szCs w:val="20"/>
          <w:color w:val="auto"/>
        </w:rPr>
        <w:t>Attention: Hormuz Kapadia</w:t>
      </w:r>
    </w:p>
    <w:p>
      <w:pPr>
        <w:spacing w:after="0"/>
        <w:rPr>
          <w:sz w:val="20"/>
          <w:szCs w:val="20"/>
          <w:color w:val="auto"/>
        </w:rPr>
      </w:pPr>
      <w:r>
        <w:rPr>
          <w:rFonts w:ascii="Arial" w:cs="Arial" w:eastAsia="Arial" w:hAnsi="Arial"/>
          <w:sz w:val="20"/>
          <w:szCs w:val="20"/>
          <w:color w:val="auto"/>
        </w:rPr>
        <w:t>Email: Hormuz.kapadia@jpmorgan.com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 xml:space="preserve">This Interest Election Request is furnished pursuant to </w:t>
      </w:r>
      <w:r>
        <w:rPr>
          <w:rFonts w:ascii="Arial" w:cs="Arial" w:eastAsia="Arial" w:hAnsi="Arial"/>
          <w:sz w:val="20"/>
          <w:szCs w:val="20"/>
          <w:u w:val="single" w:color="auto"/>
          <w:color w:val="auto"/>
        </w:rPr>
        <w:t>Section 2.08(c)</w:t>
      </w:r>
      <w:r>
        <w:rPr>
          <w:rFonts w:ascii="Arial" w:cs="Arial" w:eastAsia="Arial" w:hAnsi="Arial"/>
          <w:sz w:val="20"/>
          <w:szCs w:val="20"/>
          <w:color w:val="auto"/>
        </w:rPr>
        <w:t xml:space="preserve"> of that certain Credit Agreement dated as of April 30, 2021 (as amended, restated,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The Honest Company, Inc., a Delaware corporation (as the “</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the other Loan Parties, the lenders party thereto and JPMorgan Chase Bank, N.A. (“</w:t>
      </w:r>
      <w:r>
        <w:rPr>
          <w:rFonts w:ascii="Arial" w:cs="Arial" w:eastAsia="Arial" w:hAnsi="Arial"/>
          <w:sz w:val="20"/>
          <w:szCs w:val="20"/>
          <w:u w:val="single" w:color="auto"/>
          <w:color w:val="auto"/>
        </w:rPr>
        <w:t>Chase</w:t>
      </w:r>
      <w:r>
        <w:rPr>
          <w:rFonts w:ascii="Arial" w:cs="Arial" w:eastAsia="Arial" w:hAnsi="Arial"/>
          <w:sz w:val="20"/>
          <w:szCs w:val="20"/>
          <w:color w:val="auto"/>
        </w:rPr>
        <w:t>”), as Agent for the Lenders. Unless otherwise defined herein, capitalized terms used in this Borrowing Request have the meanings ascribed thereto in the Agreement.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Borrower Representative is hereby requesting to convert or continue certain Borrowings as follows:</w:t>
      </w:r>
    </w:p>
    <w:p>
      <w:pPr>
        <w:spacing w:after="0" w:line="16" w:lineRule="exact"/>
        <w:rPr>
          <w:sz w:val="20"/>
          <w:szCs w:val="20"/>
          <w:color w:val="auto"/>
        </w:rPr>
      </w:pPr>
    </w:p>
    <w:p>
      <w:pPr>
        <w:ind w:left="980" w:hanging="648"/>
        <w:spacing w:after="0"/>
        <w:tabs>
          <w:tab w:leader="none" w:pos="9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Borrowing to which this Interest Election Request applies: ___________________________</w:t>
      </w:r>
    </w:p>
    <w:p>
      <w:pPr>
        <w:spacing w:after="0" w:line="199" w:lineRule="exact"/>
        <w:rPr>
          <w:rFonts w:ascii="Arial" w:cs="Arial" w:eastAsia="Arial" w:hAnsi="Arial"/>
          <w:sz w:val="20"/>
          <w:szCs w:val="20"/>
          <w:color w:val="auto"/>
        </w:rPr>
      </w:pPr>
    </w:p>
    <w:p>
      <w:pPr>
        <w:ind w:left="980" w:hanging="648"/>
        <w:spacing w:after="0"/>
        <w:tabs>
          <w:tab w:leader="none" w:pos="98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Date of conversion/continuation (must be a Business Day): __________________, 20____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-14605</wp:posOffset>
            </wp:positionV>
            <wp:extent cx="31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96" w:lineRule="exact"/>
        <w:rPr>
          <w:sz w:val="20"/>
          <w:szCs w:val="20"/>
          <w:color w:val="auto"/>
        </w:rPr>
      </w:pPr>
    </w:p>
    <w:p>
      <w:pPr>
        <w:ind w:left="720" w:hanging="388"/>
        <w:spacing w:after="0"/>
        <w:tabs>
          <w:tab w:leader="none" w:pos="72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Amount of Borrowings being converted/continued:  $ _______________</w:t>
      </w:r>
    </w:p>
    <w:p>
      <w:pPr>
        <w:spacing w:after="0" w:line="16" w:lineRule="exact"/>
        <w:rPr>
          <w:sz w:val="20"/>
          <w:szCs w:val="20"/>
          <w:color w:val="auto"/>
        </w:rPr>
      </w:pPr>
    </w:p>
    <w:p>
      <w:pPr>
        <w:ind w:left="700" w:hanging="368"/>
        <w:spacing w:after="0"/>
        <w:tabs>
          <w:tab w:leader="none" w:pos="70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Nature of conversion/continuation:</w:t>
      </w:r>
    </w:p>
    <w:p>
      <w:pPr>
        <w:spacing w:after="0" w:line="199" w:lineRule="exact"/>
        <w:rPr>
          <w:rFonts w:ascii="Arial" w:cs="Arial" w:eastAsia="Arial" w:hAnsi="Arial"/>
          <w:sz w:val="20"/>
          <w:szCs w:val="20"/>
          <w:color w:val="auto"/>
        </w:rPr>
      </w:pPr>
    </w:p>
    <w:p>
      <w:pPr>
        <w:ind w:left="880" w:hanging="224"/>
        <w:spacing w:after="0"/>
        <w:tabs>
          <w:tab w:leader="none" w:pos="880" w:val="left"/>
        </w:tabs>
        <w:numPr>
          <w:ilvl w:val="1"/>
          <w:numId w:val="202"/>
        </w:numPr>
        <w:rPr>
          <w:rFonts w:ascii="MS PGothic" w:cs="MS PGothic" w:eastAsia="MS PGothic" w:hAnsi="MS PGothic"/>
          <w:sz w:val="20"/>
          <w:szCs w:val="20"/>
          <w:color w:val="auto"/>
        </w:rPr>
      </w:pPr>
      <w:r>
        <w:rPr>
          <w:rFonts w:ascii="Arial" w:cs="Arial" w:eastAsia="Arial" w:hAnsi="Arial"/>
          <w:sz w:val="20"/>
          <w:szCs w:val="20"/>
          <w:color w:val="auto"/>
        </w:rPr>
        <w:t>a. Conversion of CBFR Borrowings to Eurodollar Borrowings</w:t>
      </w:r>
    </w:p>
    <w:p>
      <w:pPr>
        <w:spacing w:after="0" w:line="215" w:lineRule="exact"/>
        <w:rPr>
          <w:rFonts w:ascii="MS PGothic" w:cs="MS PGothic" w:eastAsia="MS PGothic" w:hAnsi="MS PGothic"/>
          <w:sz w:val="20"/>
          <w:szCs w:val="20"/>
          <w:color w:val="auto"/>
        </w:rPr>
      </w:pPr>
    </w:p>
    <w:p>
      <w:pPr>
        <w:ind w:left="880" w:hanging="224"/>
        <w:spacing w:after="0"/>
        <w:tabs>
          <w:tab w:leader="none" w:pos="880" w:val="left"/>
        </w:tabs>
        <w:numPr>
          <w:ilvl w:val="1"/>
          <w:numId w:val="202"/>
        </w:numPr>
        <w:rPr>
          <w:rFonts w:ascii="MS PGothic" w:cs="MS PGothic" w:eastAsia="MS PGothic" w:hAnsi="MS PGothic"/>
          <w:sz w:val="20"/>
          <w:szCs w:val="20"/>
          <w:color w:val="auto"/>
        </w:rPr>
      </w:pPr>
      <w:r>
        <w:rPr>
          <w:rFonts w:ascii="Arial" w:cs="Arial" w:eastAsia="Arial" w:hAnsi="Arial"/>
          <w:sz w:val="20"/>
          <w:szCs w:val="20"/>
          <w:color w:val="auto"/>
        </w:rPr>
        <w:t>b. Conversion of Eurodollar Borrowings to CBFR Borrowings</w:t>
      </w:r>
    </w:p>
    <w:p>
      <w:pPr>
        <w:spacing w:after="0" w:line="215" w:lineRule="exact"/>
        <w:rPr>
          <w:rFonts w:ascii="MS PGothic" w:cs="MS PGothic" w:eastAsia="MS PGothic" w:hAnsi="MS PGothic"/>
          <w:sz w:val="20"/>
          <w:szCs w:val="20"/>
          <w:color w:val="auto"/>
        </w:rPr>
      </w:pPr>
    </w:p>
    <w:p>
      <w:pPr>
        <w:ind w:left="880" w:hanging="224"/>
        <w:spacing w:after="0"/>
        <w:tabs>
          <w:tab w:leader="none" w:pos="880" w:val="left"/>
        </w:tabs>
        <w:numPr>
          <w:ilvl w:val="1"/>
          <w:numId w:val="202"/>
        </w:numPr>
        <w:rPr>
          <w:rFonts w:ascii="MS PGothic" w:cs="MS PGothic" w:eastAsia="MS PGothic" w:hAnsi="MS PGothic"/>
          <w:sz w:val="20"/>
          <w:szCs w:val="20"/>
          <w:color w:val="auto"/>
        </w:rPr>
      </w:pPr>
      <w:r>
        <w:rPr>
          <w:rFonts w:ascii="Arial" w:cs="Arial" w:eastAsia="Arial" w:hAnsi="Arial"/>
          <w:sz w:val="20"/>
          <w:szCs w:val="20"/>
          <w:color w:val="auto"/>
        </w:rPr>
        <w:t>c. Continuation of Eurodollar Borrowings as such</w:t>
      </w:r>
    </w:p>
    <w:p>
      <w:pPr>
        <w:spacing w:after="0" w:line="215" w:lineRule="exact"/>
        <w:rPr>
          <w:rFonts w:ascii="MS PGothic" w:cs="MS PGothic" w:eastAsia="MS PGothic" w:hAnsi="MS PGothic"/>
          <w:sz w:val="20"/>
          <w:szCs w:val="20"/>
          <w:color w:val="auto"/>
        </w:rPr>
      </w:pPr>
    </w:p>
    <w:p>
      <w:pPr>
        <w:ind w:left="660" w:right="20" w:hanging="328"/>
        <w:spacing w:after="0" w:line="250" w:lineRule="auto"/>
        <w:tabs>
          <w:tab w:leader="none" w:pos="6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If Borrowings are being continued as or converted to Eurodollar Borrowings, the duration of the new Interest Period that commences on the conversion/continuation date</w:t>
      </w:r>
      <w:r>
        <w:rPr>
          <w:rFonts w:ascii="Courier New" w:cs="Courier New" w:eastAsia="Courier New" w:hAnsi="Courier New"/>
          <w:sz w:val="25"/>
          <w:szCs w:val="25"/>
          <w:color w:val="auto"/>
          <w:vertAlign w:val="superscript"/>
        </w:rPr>
        <w:t>10</w:t>
      </w:r>
      <w:r>
        <w:rPr>
          <w:rFonts w:ascii="Arial" w:cs="Arial" w:eastAsia="Arial" w:hAnsi="Arial"/>
          <w:sz w:val="20"/>
          <w:szCs w:val="20"/>
          <w:color w:val="auto"/>
        </w:rPr>
        <w:t>:</w:t>
      </w:r>
    </w:p>
    <w:p>
      <w:pPr>
        <w:spacing w:after="0" w:line="113" w:lineRule="exact"/>
        <w:rPr>
          <w:sz w:val="20"/>
          <w:szCs w:val="20"/>
          <w:color w:val="auto"/>
        </w:rPr>
      </w:pPr>
    </w:p>
    <w:p>
      <w:pPr>
        <w:ind w:left="660"/>
        <w:spacing w:after="0"/>
        <w:tabs>
          <w:tab w:leader="none" w:pos="1800" w:val="left"/>
          <w:tab w:leader="none" w:pos="2980" w:val="left"/>
          <w:tab w:leader="none" w:pos="4280" w:val="left"/>
          <w:tab w:leader="none" w:pos="5480" w:val="left"/>
          <w:tab w:leader="none" w:pos="6600" w:val="left"/>
        </w:tabs>
        <w:rPr>
          <w:sz w:val="20"/>
          <w:szCs w:val="20"/>
          <w:color w:val="auto"/>
        </w:rPr>
      </w:pPr>
      <w:r>
        <w:rPr>
          <w:rFonts w:ascii="Arial" w:cs="Arial" w:eastAsia="Arial" w:hAnsi="Arial"/>
          <w:sz w:val="20"/>
          <w:szCs w:val="20"/>
          <w:color w:val="auto"/>
        </w:rPr>
        <w:t>One Month</w:t>
        <w:tab/>
        <w:t>__________</w:t>
        <w:tab/>
        <w:t>Three Months</w:t>
        <w:tab/>
        <w:t>__________</w:t>
        <w:tab/>
        <w:t>Six Months</w:t>
      </w:r>
      <w:r>
        <w:rPr>
          <w:sz w:val="20"/>
          <w:szCs w:val="20"/>
          <w:color w:val="auto"/>
        </w:rPr>
        <w:tab/>
      </w:r>
      <w:r>
        <w:rPr>
          <w:rFonts w:ascii="Arial" w:cs="Arial" w:eastAsia="Arial" w:hAnsi="Arial"/>
          <w:sz w:val="16"/>
          <w:szCs w:val="16"/>
          <w:color w:val="auto"/>
        </w:rPr>
        <w:t>__________</w:t>
      </w:r>
    </w:p>
    <w:p>
      <w:pPr>
        <w:spacing w:after="0" w:line="16" w:lineRule="exact"/>
        <w:rPr>
          <w:sz w:val="20"/>
          <w:szCs w:val="20"/>
          <w:color w:val="auto"/>
        </w:rPr>
      </w:pPr>
    </w:p>
    <w:p>
      <w:pPr>
        <w:ind w:left="660" w:hanging="328"/>
        <w:spacing w:after="0" w:line="244" w:lineRule="auto"/>
        <w:tabs>
          <w:tab w:leader="none" w:pos="66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undersigned officer of Borrower Representative certifies that, both before and after giving effect to the request above, no Default or Event of Default has occurred and is continuing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714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8"/>
        <w:spacing w:after="0" w:line="266" w:lineRule="auto"/>
        <w:tabs>
          <w:tab w:leader="none" w:pos="162" w:val="left"/>
        </w:tabs>
        <w:numPr>
          <w:ilvl w:val="0"/>
          <w:numId w:val="204"/>
        </w:numPr>
        <w:rPr>
          <w:rFonts w:ascii="Arial" w:cs="Arial" w:eastAsia="Arial" w:hAnsi="Arial"/>
          <w:sz w:val="20"/>
          <w:szCs w:val="20"/>
          <w:color w:val="auto"/>
          <w:vertAlign w:val="superscript"/>
        </w:rPr>
      </w:pPr>
      <w:r>
        <w:rPr>
          <w:rFonts w:ascii="Arial" w:cs="Arial" w:eastAsia="Arial" w:hAnsi="Arial"/>
          <w:sz w:val="14"/>
          <w:szCs w:val="14"/>
          <w:color w:val="auto"/>
        </w:rPr>
        <w:t>Shall be subject to the definition of “Interest Period.” Cannot extend beyond the Maturity Date. If an Interest Period is not specified, then the Borrower shall be deemed to have selected an Interest Period of one month’s duration.</w:t>
      </w:r>
    </w:p>
    <w:p>
      <w:pPr>
        <w:sectPr>
          <w:pgSz w:w="11900" w:h="16838" w:orient="portrait"/>
          <w:cols w:equalWidth="0" w:num="1">
            <w:col w:w="11220"/>
          </w:cols>
          <w:pgMar w:left="320" w:top="1413" w:right="359" w:bottom="1440" w:gutter="0" w:footer="0" w:header="0"/>
        </w:sectPr>
      </w:pPr>
    </w:p>
    <w:bookmarkStart w:id="182" w:name="page183"/>
    <w:bookmarkEnd w:id="182"/>
    <w:p>
      <w:pPr>
        <w:spacing w:after="0" w:line="15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THE HONEST COMPANY, INC.</w:t>
      </w:r>
    </w:p>
    <w:p>
      <w:pPr>
        <w:spacing w:after="0" w:line="212"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By: _______________________</w:t>
      </w:r>
    </w:p>
    <w:p>
      <w:pPr>
        <w:spacing w:after="0" w:line="38"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Name:</w:t>
      </w:r>
    </w:p>
    <w:p>
      <w:pPr>
        <w:ind w:left="342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40"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0"/>
          <w:szCs w:val="20"/>
          <w:b w:val="1"/>
          <w:bCs w:val="1"/>
          <w:color w:val="auto"/>
        </w:rPr>
        <w:t>EXHIBIT C</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[RESERVED]</w:t>
      </w:r>
    </w:p>
    <w:p>
      <w:pPr>
        <w:sectPr>
          <w:pgSz w:w="11900" w:h="16838" w:orient="portrait"/>
          <w:cols w:equalWidth="0" w:num="1">
            <w:col w:w="9019"/>
          </w:cols>
          <w:pgMar w:left="1440" w:top="1413" w:right="1440" w:bottom="1440" w:gutter="0" w:footer="0" w:header="0"/>
        </w:sectPr>
      </w:pPr>
    </w:p>
    <w:bookmarkStart w:id="184" w:name="page185"/>
    <w:bookmarkEnd w:id="184"/>
    <w:p>
      <w:pPr>
        <w:jc w:val="center"/>
        <w:ind w:right="-39"/>
        <w:spacing w:after="0"/>
        <w:rPr>
          <w:sz w:val="20"/>
          <w:szCs w:val="20"/>
          <w:color w:val="auto"/>
        </w:rPr>
      </w:pPr>
      <w:r>
        <w:rPr>
          <w:rFonts w:ascii="Arial" w:cs="Arial" w:eastAsia="Arial" w:hAnsi="Arial"/>
          <w:sz w:val="20"/>
          <w:szCs w:val="20"/>
          <w:b w:val="1"/>
          <w:bCs w:val="1"/>
          <w:u w:val="single" w:color="auto"/>
          <w:color w:val="auto"/>
        </w:rPr>
        <w:t>EXHIBIT D-1</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April 30,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Honest Company, Inc., a Delaware corporation, as a Borrower, each other Borrower party thereto, the other Loan Parties party thereto and each lender from time to time party thereto.</w:t>
      </w:r>
    </w:p>
    <w:p>
      <w:pPr>
        <w:spacing w:after="0" w:line="197"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221"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The undersigned has furnished the Administrative Agent and the Borrower Representative with a certificate of its non-U.S. Person status on IRS Form W-8BEN or IRS Form W-8BEN-E, as applicable.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22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w:t>
      </w:r>
    </w:p>
    <w:p>
      <w:pPr>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w:t>
      </w:r>
    </w:p>
    <w:p>
      <w:pPr>
        <w:sectPr>
          <w:pgSz w:w="11900" w:h="16838" w:orient="portrait"/>
          <w:cols w:equalWidth="0" w:num="1">
            <w:col w:w="11220"/>
          </w:cols>
          <w:pgMar w:left="320" w:top="1413" w:right="359" w:bottom="1440" w:gutter="0" w:footer="0" w:header="0"/>
        </w:sectPr>
      </w:pPr>
    </w:p>
    <w:bookmarkStart w:id="185" w:name="page186"/>
    <w:bookmarkEnd w:id="185"/>
    <w:p>
      <w:pPr>
        <w:jc w:val="center"/>
        <w:ind w:right="-39"/>
        <w:spacing w:after="0"/>
        <w:rPr>
          <w:sz w:val="20"/>
          <w:szCs w:val="20"/>
          <w:color w:val="auto"/>
        </w:rPr>
      </w:pPr>
      <w:r>
        <w:rPr>
          <w:rFonts w:ascii="Arial" w:cs="Arial" w:eastAsia="Arial" w:hAnsi="Arial"/>
          <w:sz w:val="20"/>
          <w:szCs w:val="20"/>
          <w:b w:val="1"/>
          <w:bCs w:val="1"/>
          <w:u w:val="single" w:color="auto"/>
          <w:color w:val="auto"/>
        </w:rPr>
        <w:t>EXHIBIT D-2</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April 30,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Honest Company, Inc., a Delaware corporation, as a Borrower, each other Borrower party thereto, the other Loan Parties party thereto and each lender from time to time party thereto.</w:t>
      </w:r>
    </w:p>
    <w:p>
      <w:pPr>
        <w:spacing w:after="0" w:line="197"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8" w:lineRule="exact"/>
        <w:rPr>
          <w:sz w:val="20"/>
          <w:szCs w:val="20"/>
          <w:color w:val="auto"/>
        </w:rPr>
      </w:pPr>
    </w:p>
    <w:p>
      <w:pPr>
        <w:ind w:right="120" w:firstLine="648"/>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22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w:t>
      </w:r>
    </w:p>
    <w:p>
      <w:pPr>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20"/>
          </w:cols>
          <w:pgMar w:left="320" w:top="1413" w:right="35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20"/>
          <w:szCs w:val="20"/>
          <w:b w:val="1"/>
          <w:bCs w:val="1"/>
          <w:u w:val="single" w:color="auto"/>
          <w:color w:val="auto"/>
        </w:rPr>
        <w:t>EXHIBIT D-3</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April 30,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Honest Company, Inc., a Delaware corporation, as a Borrower, each other Borrower party thereto, the other Loan Parties party thereto and each lender from time to time party thereto.</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212" w:lineRule="exact"/>
        <w:rPr>
          <w:sz w:val="20"/>
          <w:szCs w:val="20"/>
          <w:color w:val="auto"/>
        </w:rPr>
      </w:pPr>
    </w:p>
    <w:p>
      <w:pPr>
        <w:ind w:right="220" w:firstLine="648"/>
        <w:spacing w:after="0" w:line="242" w:lineRule="auto"/>
        <w:rPr>
          <w:sz w:val="20"/>
          <w:szCs w:val="20"/>
          <w:color w:val="auto"/>
        </w:rPr>
      </w:pPr>
      <w:r>
        <w:rPr>
          <w:rFonts w:ascii="Arial" w:cs="Arial" w:eastAsia="Arial" w:hAnsi="Arial"/>
          <w:sz w:val="20"/>
          <w:szCs w:val="20"/>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22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w:t>
      </w:r>
    </w:p>
    <w:p>
      <w:pPr>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20"/>
          </w:cols>
          <w:pgMar w:left="320" w:top="1413" w:right="359" w:bottom="1440" w:gutter="0" w:footer="0" w:header="0"/>
        </w:sectPr>
      </w:pPr>
    </w:p>
    <w:bookmarkStart w:id="187" w:name="page188"/>
    <w:bookmarkEnd w:id="187"/>
    <w:p>
      <w:pPr>
        <w:jc w:val="center"/>
        <w:ind w:right="-39"/>
        <w:spacing w:after="0"/>
        <w:rPr>
          <w:sz w:val="20"/>
          <w:szCs w:val="20"/>
          <w:color w:val="auto"/>
        </w:rPr>
      </w:pPr>
      <w:r>
        <w:rPr>
          <w:rFonts w:ascii="Arial" w:cs="Arial" w:eastAsia="Arial" w:hAnsi="Arial"/>
          <w:sz w:val="20"/>
          <w:szCs w:val="20"/>
          <w:b w:val="1"/>
          <w:bCs w:val="1"/>
          <w:u w:val="single" w:color="auto"/>
          <w:color w:val="auto"/>
        </w:rPr>
        <w:t>EXHIBIT D-4</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FORM OF U.S. TAX COMPLIANCE CERTIFICATE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27"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Reference is hereby made to the Credit Agreement dated as of April 30, 2021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The Honest Company, Inc., a Delaware corporation, as a Borrower, each other Borrower party thereto, the other Loan Parties party thereto and each lender from time to time party thereto.</w:t>
      </w:r>
    </w:p>
    <w:p>
      <w:pPr>
        <w:spacing w:after="0" w:line="1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95"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9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Name:_______________________</w:t>
      </w:r>
    </w:p>
    <w:p>
      <w:pPr>
        <w:spacing w:after="0"/>
        <w:rPr>
          <w:sz w:val="20"/>
          <w:szCs w:val="20"/>
          <w:color w:val="auto"/>
        </w:rPr>
      </w:pPr>
      <w:r>
        <w:rPr>
          <w:rFonts w:ascii="Arial" w:cs="Arial" w:eastAsia="Arial" w:hAnsi="Arial"/>
          <w:sz w:val="20"/>
          <w:szCs w:val="20"/>
          <w:color w:val="auto"/>
        </w:rPr>
        <w:t>Title:________________________</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Date: ________ __, 20[ ]</w:t>
      </w:r>
    </w:p>
    <w:p>
      <w:pPr>
        <w:sectPr>
          <w:pgSz w:w="11900" w:h="16838" w:orient="portrait"/>
          <w:cols w:equalWidth="0" w:num="1">
            <w:col w:w="11220"/>
          </w:cols>
          <w:pgMar w:left="320" w:top="1413" w:right="35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b w:val="1"/>
          <w:bCs w:val="1"/>
          <w:u w:val="single" w:color="auto"/>
          <w:color w:val="auto"/>
        </w:rPr>
        <w:t>EXHIBIT 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COMPLIANCE CERTIFICATE</w:t>
      </w: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6"/>
          <w:szCs w:val="16"/>
          <w:color w:val="auto"/>
        </w:rPr>
        <w:t>The Lenders party to the</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Credit Agreement described below</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Compliance Certificate (“</w:t>
      </w:r>
      <w:r>
        <w:rPr>
          <w:rFonts w:ascii="Arial" w:cs="Arial" w:eastAsia="Arial" w:hAnsi="Arial"/>
          <w:sz w:val="18"/>
          <w:szCs w:val="18"/>
          <w:u w:val="single" w:color="auto"/>
          <w:color w:val="auto"/>
        </w:rPr>
        <w:t>Certificate</w:t>
      </w:r>
      <w:r>
        <w:rPr>
          <w:rFonts w:ascii="Arial" w:cs="Arial" w:eastAsia="Arial" w:hAnsi="Arial"/>
          <w:sz w:val="18"/>
          <w:szCs w:val="18"/>
          <w:color w:val="auto"/>
        </w:rPr>
        <w:t>”), for the period ended _______ __, 20__, is furnished pursuant to that certain Credit Agreement</w:t>
      </w:r>
    </w:p>
    <w:p>
      <w:pPr>
        <w:spacing w:after="0" w:line="39"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dated as of April 30, 2021 (as amended, modified, renewed or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Honest Company, Inc., a Delaware corporation, as a Borrower, each other Borrower party thereto (collectively,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the Lenders party thereto and JPMorgan Chase Bank, N.A., as Administrative Agent for the Lenders and as the Issuing Bank. Unless otherwise defined herein, capitalized terms used in this Certificate have the meanings ascribed thereto in the Agreement.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UNDERSIGNED HEREBY CERTIFIES ON ITS BEHALF AND ON BEHALF OF THE BORROWERS THAT:</w:t>
      </w:r>
    </w:p>
    <w:p>
      <w:pPr>
        <w:spacing w:after="0" w:line="16" w:lineRule="exact"/>
        <w:rPr>
          <w:sz w:val="20"/>
          <w:szCs w:val="20"/>
          <w:color w:val="auto"/>
        </w:rPr>
      </w:pPr>
    </w:p>
    <w:p>
      <w:pPr>
        <w:ind w:left="660" w:hanging="652"/>
        <w:spacing w:after="0" w:line="244" w:lineRule="auto"/>
        <w:tabs>
          <w:tab w:leader="none" w:pos="6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 am the _________________ of the Borrower Representative and I am authorized to deliver this Certificate on behalf of the Borrowers and their Subsidiaries;</w:t>
      </w:r>
    </w:p>
    <w:p>
      <w:pPr>
        <w:spacing w:after="0" w:line="191"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 have reviewed the terms of the Agreement and I have made, or have caused to be made under my supervision, a detailed review of the compliance of the Borrowers and their Subsidiaries with the Agreement during the accounting period covered by the attached financial statements (the “</w:t>
      </w:r>
      <w:r>
        <w:rPr>
          <w:rFonts w:ascii="Arial" w:cs="Arial" w:eastAsia="Arial" w:hAnsi="Arial"/>
          <w:sz w:val="20"/>
          <w:szCs w:val="20"/>
          <w:u w:val="single" w:color="auto"/>
          <w:color w:val="auto"/>
        </w:rPr>
        <w:t>Relevant Period</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left="660" w:hanging="652"/>
        <w:spacing w:after="0" w:line="244" w:lineRule="auto"/>
        <w:tabs>
          <w:tab w:leader="none" w:pos="6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attached financial statements of the Company and, as applicable, its Subsidiaries and/or Affiliates for the Relevant Period: (a) have been prepared on an accounting basis (the “</w:t>
      </w:r>
      <w:r>
        <w:rPr>
          <w:rFonts w:ascii="Arial" w:cs="Arial" w:eastAsia="Arial" w:hAnsi="Arial"/>
          <w:sz w:val="20"/>
          <w:szCs w:val="20"/>
          <w:u w:val="single" w:color="auto"/>
          <w:color w:val="auto"/>
        </w:rPr>
        <w:t>Accounting Method</w:t>
      </w:r>
      <w:r>
        <w:rPr>
          <w:rFonts w:ascii="Arial" w:cs="Arial" w:eastAsia="Arial" w:hAnsi="Arial"/>
          <w:sz w:val="20"/>
          <w:szCs w:val="20"/>
          <w:color w:val="auto"/>
        </w:rPr>
        <w:t>”) consistent with the requirements of the Agreement and, except as may have been otherwise expressly agreed to in the Agreement, in accordance with GAAP consistently applied, and (b) to the extent that the attached are not the Company’s annual fiscal year end statements, are subject to normal year-end audit adjustments and the absence of footnotes;</w:t>
      </w:r>
    </w:p>
    <w:p>
      <w:pPr>
        <w:spacing w:after="0" w:line="194" w:lineRule="exact"/>
        <w:rPr>
          <w:rFonts w:ascii="Arial" w:cs="Arial" w:eastAsia="Arial" w:hAnsi="Arial"/>
          <w:sz w:val="20"/>
          <w:szCs w:val="20"/>
          <w:color w:val="auto"/>
        </w:rPr>
      </w:pPr>
    </w:p>
    <w:p>
      <w:pPr>
        <w:jc w:val="both"/>
        <w:ind w:left="660" w:hanging="652"/>
        <w:spacing w:after="0" w:line="283" w:lineRule="auto"/>
        <w:tabs>
          <w:tab w:leader="none" w:pos="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w:t>
      </w:r>
      <w:r>
        <w:rPr>
          <w:rFonts w:ascii="Arial" w:cs="Arial" w:eastAsia="Arial" w:hAnsi="Arial"/>
          <w:sz w:val="19"/>
          <w:szCs w:val="19"/>
          <w:color w:val="auto"/>
        </w:rPr>
        <w:t>Administrative Agent</w:t>
      </w:r>
      <w:r>
        <w:rPr>
          <w:rFonts w:ascii="Arial" w:cs="Arial" w:eastAsia="Arial" w:hAnsi="Arial"/>
          <w:sz w:val="18"/>
          <w:szCs w:val="18"/>
          <w:color w:val="auto"/>
        </w:rPr>
        <w:t xml:space="preserve"> in connection with the closing of the Agreement or subsequently delivered as required in the Agreement;</w:t>
      </w:r>
    </w:p>
    <w:p>
      <w:pPr>
        <w:spacing w:after="0" w:line="156" w:lineRule="exact"/>
        <w:rPr>
          <w:rFonts w:ascii="Arial" w:cs="Arial" w:eastAsia="Arial" w:hAnsi="Arial"/>
          <w:sz w:val="18"/>
          <w:szCs w:val="18"/>
          <w:color w:val="auto"/>
        </w:rPr>
      </w:pPr>
    </w:p>
    <w:p>
      <w:pPr>
        <w:jc w:val="both"/>
        <w:ind w:left="660" w:hanging="652"/>
        <w:spacing w:after="0" w:line="250" w:lineRule="auto"/>
        <w:tabs>
          <w:tab w:leader="none" w:pos="66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I hereby certify that, except as set forth below, no Loan Party has changed (i) its name, (ii) its chief executive office, (iii) its principal place of business, (iv) the type of entity it is or (v) its state of incorporation or organization without having given the Administrative Agent the notice required by </w:t>
      </w:r>
      <w:r>
        <w:rPr>
          <w:rFonts w:ascii="Arial" w:cs="Arial" w:eastAsia="Arial" w:hAnsi="Arial"/>
          <w:sz w:val="20"/>
          <w:szCs w:val="20"/>
          <w:u w:val="single" w:color="auto"/>
          <w:color w:val="auto"/>
        </w:rPr>
        <w:t>Section 4.15</w:t>
      </w:r>
      <w:r>
        <w:rPr>
          <w:rFonts w:ascii="Arial" w:cs="Arial" w:eastAsia="Arial" w:hAnsi="Arial"/>
          <w:sz w:val="20"/>
          <w:szCs w:val="20"/>
          <w:color w:val="auto"/>
        </w:rPr>
        <w:t xml:space="preserve"> of the Security Agreement;</w:t>
      </w:r>
    </w:p>
    <w:p>
      <w:pPr>
        <w:spacing w:after="0" w:line="185" w:lineRule="exact"/>
        <w:rPr>
          <w:rFonts w:ascii="Arial" w:cs="Arial" w:eastAsia="Arial" w:hAnsi="Arial"/>
          <w:sz w:val="20"/>
          <w:szCs w:val="20"/>
          <w:color w:val="auto"/>
        </w:rPr>
      </w:pPr>
    </w:p>
    <w:p>
      <w:pPr>
        <w:jc w:val="both"/>
        <w:ind w:left="660" w:hanging="652"/>
        <w:spacing w:after="0" w:line="250" w:lineRule="auto"/>
        <w:tabs>
          <w:tab w:leader="none" w:pos="718"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representations and warranties of the Loan Parties set forth in the Loan Documents are true and correct in all material respects as of the date hereof, except (i) to the extent that any such representation or warranty specifically refers to an earlier date, in which case it is true and correct</w:t>
      </w:r>
    </w:p>
    <w:p>
      <w:pPr>
        <w:sectPr>
          <w:pgSz w:w="11900" w:h="16838" w:orient="portrait"/>
          <w:cols w:equalWidth="0" w:num="1">
            <w:col w:w="11240"/>
          </w:cols>
          <w:pgMar w:left="320" w:top="1413" w:right="339" w:bottom="1440" w:gutter="0" w:footer="0" w:header="0"/>
        </w:sectPr>
      </w:pPr>
    </w:p>
    <w:bookmarkStart w:id="189" w:name="page190"/>
    <w:bookmarkEnd w:id="189"/>
    <w:p>
      <w:pPr>
        <w:ind w:left="660"/>
        <w:spacing w:after="0" w:line="260" w:lineRule="auto"/>
        <w:rPr>
          <w:sz w:val="20"/>
          <w:szCs w:val="20"/>
          <w:color w:val="auto"/>
        </w:rPr>
      </w:pPr>
      <w:r>
        <w:rPr>
          <w:rFonts w:ascii="Arial" w:cs="Arial" w:eastAsia="Arial" w:hAnsi="Arial"/>
          <w:sz w:val="20"/>
          <w:szCs w:val="20"/>
          <w:color w:val="auto"/>
        </w:rPr>
        <w:t>in all material respects only as of such earlier date, and (ii) that any representation or warranty which is subject to any materiality qualifier is true and correct in all respects; and</w:t>
      </w:r>
    </w:p>
    <w:p>
      <w:pPr>
        <w:spacing w:after="0" w:line="177" w:lineRule="exact"/>
        <w:rPr>
          <w:sz w:val="20"/>
          <w:szCs w:val="20"/>
          <w:color w:val="auto"/>
        </w:rPr>
      </w:pPr>
    </w:p>
    <w:p>
      <w:pPr>
        <w:ind w:left="660" w:hanging="652"/>
        <w:spacing w:after="0" w:line="260" w:lineRule="auto"/>
        <w:tabs>
          <w:tab w:leader="none" w:pos="660" w:val="left"/>
        </w:tabs>
        <w:numPr>
          <w:ilvl w:val="0"/>
          <w:numId w:val="206"/>
        </w:numPr>
        <w:rPr>
          <w:rFonts w:ascii="Arial" w:cs="Arial" w:eastAsia="Arial" w:hAnsi="Arial"/>
          <w:sz w:val="20"/>
          <w:szCs w:val="20"/>
          <w:color w:val="auto"/>
        </w:rPr>
      </w:pP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sets forth financial data and computations evidencing the Borrowers’ compliance with certain covenants of the Agreement, all of which data and computations are true, complete and correct.</w:t>
      </w:r>
    </w:p>
    <w:p>
      <w:pPr>
        <w:spacing w:after="0" w:line="177" w:lineRule="exact"/>
        <w:rPr>
          <w:sz w:val="20"/>
          <w:szCs w:val="20"/>
          <w:color w:val="auto"/>
        </w:rPr>
      </w:pPr>
    </w:p>
    <w:p>
      <w:pPr>
        <w:ind w:right="20" w:firstLine="198"/>
        <w:spacing w:after="0" w:line="246" w:lineRule="auto"/>
        <w:rPr>
          <w:sz w:val="20"/>
          <w:szCs w:val="20"/>
          <w:color w:val="auto"/>
        </w:rPr>
      </w:pPr>
      <w:r>
        <w:rPr>
          <w:rFonts w:ascii="Arial" w:cs="Arial" w:eastAsia="Arial" w:hAnsi="Arial"/>
          <w:sz w:val="20"/>
          <w:szCs w:val="20"/>
          <w:color w:val="auto"/>
        </w:rPr>
        <w:t>Described below are the exceptions, if any, referred to in paragraph 4 hereof by listing, in detail, the (i) nature of the condition or event, the period during which it has existed and the action which the Borrowers have taken, are taking, or propose to take with respect to each such condition or event or (ii) change in the Accounting Method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114935</wp:posOffset>
            </wp:positionV>
            <wp:extent cx="31407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3140710" cy="889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260350</wp:posOffset>
            </wp:positionV>
            <wp:extent cx="150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firstLine="194"/>
        <w:spacing w:after="0" w:line="260" w:lineRule="auto"/>
        <w:rPr>
          <w:sz w:val="20"/>
          <w:szCs w:val="20"/>
          <w:color w:val="auto"/>
        </w:rPr>
      </w:pPr>
      <w:r>
        <w:rPr>
          <w:rFonts w:ascii="Arial" w:cs="Arial" w:eastAsia="Arial" w:hAnsi="Arial"/>
          <w:sz w:val="20"/>
          <w:szCs w:val="20"/>
          <w:color w:val="auto"/>
        </w:rPr>
        <w:t xml:space="preserve">The foregoing certifications, together with the computations set forth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Schedule II</w:t>
      </w:r>
      <w:r>
        <w:rPr>
          <w:rFonts w:ascii="Arial" w:cs="Arial" w:eastAsia="Arial" w:hAnsi="Arial"/>
          <w:sz w:val="20"/>
          <w:szCs w:val="20"/>
          <w:color w:val="auto"/>
        </w:rPr>
        <w:t xml:space="preserve"> hereto and the financial statements delivered with this Certificate in support hereof, are made and delivered this day of , .</w:t>
      </w:r>
    </w:p>
    <w:p>
      <w:pPr>
        <w:spacing w:after="0" w:line="204"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THE HONEST COMPANY, INC.,</w:t>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as the Borrower Representative</w:t>
      </w:r>
    </w:p>
    <w:p>
      <w:pPr>
        <w:spacing w:after="0" w:line="227"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-14605</wp:posOffset>
            </wp:positionV>
            <wp:extent cx="628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-24765</wp:posOffset>
            </wp:positionV>
            <wp:extent cx="628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ind w:left="15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-24765</wp:posOffset>
            </wp:positionV>
            <wp:extent cx="628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90" w:name="page191"/>
    <w:bookmarkEnd w:id="190"/>
    <w:p>
      <w:pPr>
        <w:jc w:val="center"/>
        <w:ind w:right="-39"/>
        <w:spacing w:after="0"/>
        <w:rPr>
          <w:sz w:val="20"/>
          <w:szCs w:val="20"/>
          <w:color w:val="auto"/>
        </w:rPr>
      </w:pPr>
      <w:r>
        <w:rPr>
          <w:rFonts w:ascii="Arial" w:cs="Arial" w:eastAsia="Arial" w:hAnsi="Arial"/>
          <w:sz w:val="20"/>
          <w:szCs w:val="20"/>
          <w:color w:val="auto"/>
        </w:rPr>
        <w:t>Schedule I to Compliance Certificate</w:t>
      </w:r>
    </w:p>
    <w:p>
      <w:pPr>
        <w:spacing w:after="0" w:line="200" w:lineRule="exact"/>
        <w:rPr>
          <w:sz w:val="20"/>
          <w:szCs w:val="20"/>
          <w:color w:val="auto"/>
        </w:rPr>
      </w:pPr>
    </w:p>
    <w:p>
      <w:pPr>
        <w:spacing w:after="0" w:line="286"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Compliance as of _________, ____ with the</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provisions of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of the Agreement</w:t>
      </w:r>
    </w:p>
    <w:p>
      <w:pPr>
        <w:spacing w:after="0" w:line="200" w:lineRule="exact"/>
        <w:rPr>
          <w:sz w:val="20"/>
          <w:szCs w:val="20"/>
          <w:color w:val="auto"/>
        </w:rPr>
      </w:pPr>
    </w:p>
    <w:p>
      <w:pPr>
        <w:spacing w:after="0" w:line="264"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16"/>
          <w:szCs w:val="16"/>
          <w:b w:val="1"/>
          <w:bCs w:val="1"/>
          <w:color w:val="auto"/>
        </w:rPr>
        <w:t>Financial Covenant</w:t>
      </w:r>
      <w:r>
        <w:rPr>
          <w:rFonts w:ascii="Arial" w:cs="Arial" w:eastAsia="Arial" w:hAnsi="Arial"/>
          <w:sz w:val="16"/>
          <w:szCs w:val="16"/>
          <w:color w:val="auto"/>
        </w:rPr>
        <w:t>.</w:t>
      </w:r>
    </w:p>
    <w:p>
      <w:pPr>
        <w:spacing w:after="0" w:line="243" w:lineRule="exact"/>
        <w:rPr>
          <w:sz w:val="20"/>
          <w:szCs w:val="20"/>
          <w:color w:val="auto"/>
        </w:rPr>
      </w:pPr>
    </w:p>
    <w:p>
      <w:pPr>
        <w:jc w:val="both"/>
        <w:ind w:left="1300" w:right="60"/>
        <w:spacing w:after="0" w:line="253" w:lineRule="auto"/>
        <w:rPr>
          <w:sz w:val="20"/>
          <w:szCs w:val="20"/>
          <w:color w:val="auto"/>
        </w:rPr>
      </w:pPr>
      <w:r>
        <w:rPr>
          <w:rFonts w:ascii="Arial" w:cs="Arial" w:eastAsia="Arial" w:hAnsi="Arial"/>
          <w:sz w:val="20"/>
          <w:szCs w:val="20"/>
          <w:b w:val="1"/>
          <w:bCs w:val="1"/>
          <w:u w:val="single" w:color="auto"/>
          <w:color w:val="auto"/>
        </w:rPr>
        <w:t>Total Net Leverage Ratio</w:t>
      </w:r>
      <w:r>
        <w:rPr>
          <w:rFonts w:ascii="Arial" w:cs="Arial" w:eastAsia="Arial" w:hAnsi="Arial"/>
          <w:sz w:val="20"/>
          <w:szCs w:val="20"/>
          <w:color w:val="auto"/>
        </w:rPr>
        <w:t>. The Borrowers will not permit the Total Net Leverage Ratio, on the last day of any fiscal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with the fiscal quarter ending June 30, 2021) ending during any period set forth below to be greater than 3.50 to 1.00.</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7200" w:type="dxa"/>
            <w:vAlign w:val="bottom"/>
            <w:tcBorders>
              <w:top w:val="single" w:sz="8" w:color="B6B6B6"/>
              <w:left w:val="single" w:sz="8" w:color="B6B6B6"/>
              <w:right w:val="single" w:sz="8" w:color="B6B6B6"/>
            </w:tcBorders>
            <w:gridSpan w:val="2"/>
          </w:tcPr>
          <w:p>
            <w:pPr>
              <w:ind w:left="40"/>
              <w:spacing w:after="0"/>
              <w:rPr>
                <w:sz w:val="20"/>
                <w:szCs w:val="20"/>
                <w:color w:val="auto"/>
              </w:rPr>
            </w:pPr>
            <w:r>
              <w:rPr>
                <w:rFonts w:ascii="Arial" w:cs="Arial" w:eastAsia="Arial" w:hAnsi="Arial"/>
                <w:sz w:val="18"/>
                <w:szCs w:val="18"/>
                <w:color w:val="auto"/>
                <w:w w:val="94"/>
              </w:rPr>
              <w:t>A) The sum of aggregate principal amount of obligations for borrowed money or with respect to</w:t>
            </w:r>
          </w:p>
        </w:tc>
        <w:tc>
          <w:tcPr>
            <w:tcW w:w="2920" w:type="dxa"/>
            <w:vAlign w:val="bottom"/>
            <w:tcBorders>
              <w:top w:val="single" w:sz="8" w:color="B6B6B6"/>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30"/>
        </w:trPr>
        <w:tc>
          <w:tcPr>
            <w:tcW w:w="7200" w:type="dxa"/>
            <w:vAlign w:val="bottom"/>
            <w:tcBorders>
              <w:left w:val="single" w:sz="8" w:color="B6B6B6"/>
              <w:right w:val="single" w:sz="8" w:color="B6B6B6"/>
            </w:tcBorders>
            <w:gridSpan w:val="2"/>
          </w:tcPr>
          <w:p>
            <w:pPr>
              <w:ind w:left="280"/>
              <w:spacing w:after="0"/>
              <w:rPr>
                <w:sz w:val="20"/>
                <w:szCs w:val="20"/>
                <w:color w:val="auto"/>
              </w:rPr>
            </w:pPr>
            <w:r>
              <w:rPr>
                <w:rFonts w:ascii="Arial" w:cs="Arial" w:eastAsia="Arial" w:hAnsi="Arial"/>
                <w:sz w:val="18"/>
                <w:szCs w:val="18"/>
                <w:color w:val="auto"/>
              </w:rPr>
              <w:t>deposits or advances of any kind</w:t>
            </w:r>
          </w:p>
        </w:tc>
        <w:tc>
          <w:tcPr>
            <w:tcW w:w="2920" w:type="dxa"/>
            <w:vAlign w:val="bottom"/>
            <w:tcBorders>
              <w:right w:val="single" w:sz="8" w:color="B6B6B6"/>
            </w:tcBorders>
          </w:tcPr>
          <w:p>
            <w:pPr>
              <w:spacing w:after="0"/>
              <w:rPr>
                <w:sz w:val="20"/>
                <w:szCs w:val="20"/>
                <w:color w:val="auto"/>
              </w:rPr>
            </w:pPr>
          </w:p>
        </w:tc>
      </w:tr>
      <w:tr>
        <w:trPr>
          <w:trHeight w:val="27"/>
        </w:trPr>
        <w:tc>
          <w:tcPr>
            <w:tcW w:w="7200" w:type="dxa"/>
            <w:vAlign w:val="bottom"/>
            <w:tcBorders>
              <w:left w:val="single" w:sz="8" w:color="B6B6B6"/>
              <w:bottom w:val="single" w:sz="8" w:color="B6B6B6"/>
              <w:right w:val="single" w:sz="8" w:color="B6B6B6"/>
            </w:tcBorders>
            <w:gridSpan w:val="2"/>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37"/>
        </w:trPr>
        <w:tc>
          <w:tcPr>
            <w:tcW w:w="7200" w:type="dxa"/>
            <w:vAlign w:val="bottom"/>
            <w:tcBorders>
              <w:left w:val="single" w:sz="8" w:color="B6B6B6"/>
              <w:right w:val="single" w:sz="8" w:color="B6B6B6"/>
            </w:tcBorders>
            <w:gridSpan w:val="2"/>
          </w:tcPr>
          <w:p>
            <w:pPr>
              <w:ind w:left="480"/>
              <w:spacing w:after="0"/>
              <w:rPr>
                <w:sz w:val="20"/>
                <w:szCs w:val="20"/>
                <w:color w:val="auto"/>
              </w:rPr>
            </w:pPr>
            <w:r>
              <w:rPr>
                <w:rFonts w:ascii="Arial" w:cs="Arial" w:eastAsia="Arial" w:hAnsi="Arial"/>
                <w:sz w:val="18"/>
                <w:szCs w:val="18"/>
                <w:color w:val="auto"/>
                <w:w w:val="99"/>
              </w:rPr>
              <w:t>1.  Plus all obligations evidenced by bonds, debentures, notes or similar instruments</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43"/>
        </w:trPr>
        <w:tc>
          <w:tcPr>
            <w:tcW w:w="7200" w:type="dxa"/>
            <w:vAlign w:val="bottom"/>
            <w:tcBorders>
              <w:left w:val="single" w:sz="8" w:color="B6B6B6"/>
              <w:bottom w:val="single" w:sz="8" w:color="B6B6B6"/>
              <w:right w:val="single" w:sz="8" w:color="B6B6B6"/>
            </w:tcBorders>
            <w:gridSpan w:val="2"/>
          </w:tcPr>
          <w:p>
            <w:pPr>
              <w:spacing w:after="0"/>
              <w:rPr>
                <w:sz w:val="21"/>
                <w:szCs w:val="21"/>
                <w:color w:val="auto"/>
              </w:rPr>
            </w:pPr>
          </w:p>
        </w:tc>
        <w:tc>
          <w:tcPr>
            <w:tcW w:w="2920" w:type="dxa"/>
            <w:vAlign w:val="bottom"/>
            <w:tcBorders>
              <w:bottom w:val="single" w:sz="8" w:color="B6B6B6"/>
              <w:right w:val="single" w:sz="8" w:color="B6B6B6"/>
            </w:tcBorders>
          </w:tcPr>
          <w:p>
            <w:pPr>
              <w:spacing w:after="0"/>
              <w:rPr>
                <w:sz w:val="21"/>
                <w:szCs w:val="21"/>
                <w:color w:val="auto"/>
              </w:rPr>
            </w:pPr>
          </w:p>
        </w:tc>
      </w:tr>
      <w:tr>
        <w:trPr>
          <w:trHeight w:val="237"/>
        </w:trPr>
        <w:tc>
          <w:tcPr>
            <w:tcW w:w="7200" w:type="dxa"/>
            <w:vAlign w:val="bottom"/>
            <w:tcBorders>
              <w:left w:val="single" w:sz="8" w:color="B6B6B6"/>
              <w:right w:val="single" w:sz="8" w:color="B6B6B6"/>
            </w:tcBorders>
            <w:gridSpan w:val="2"/>
          </w:tcPr>
          <w:p>
            <w:pPr>
              <w:ind w:left="480"/>
              <w:spacing w:after="0"/>
              <w:rPr>
                <w:sz w:val="20"/>
                <w:szCs w:val="20"/>
                <w:color w:val="auto"/>
              </w:rPr>
            </w:pPr>
            <w:r>
              <w:rPr>
                <w:rFonts w:ascii="Arial" w:cs="Arial" w:eastAsia="Arial" w:hAnsi="Arial"/>
                <w:sz w:val="18"/>
                <w:szCs w:val="18"/>
                <w:color w:val="auto"/>
              </w:rPr>
              <w:t>2.  Plus all obligations upon which interest charges are customarily paid</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43"/>
        </w:trPr>
        <w:tc>
          <w:tcPr>
            <w:tcW w:w="7200" w:type="dxa"/>
            <w:vAlign w:val="bottom"/>
            <w:tcBorders>
              <w:left w:val="single" w:sz="8" w:color="B6B6B6"/>
              <w:bottom w:val="single" w:sz="8" w:color="B6B6B6"/>
              <w:right w:val="single" w:sz="8" w:color="B6B6B6"/>
            </w:tcBorders>
            <w:gridSpan w:val="2"/>
          </w:tcPr>
          <w:p>
            <w:pPr>
              <w:spacing w:after="0"/>
              <w:rPr>
                <w:sz w:val="21"/>
                <w:szCs w:val="21"/>
                <w:color w:val="auto"/>
              </w:rPr>
            </w:pPr>
          </w:p>
        </w:tc>
        <w:tc>
          <w:tcPr>
            <w:tcW w:w="2920" w:type="dxa"/>
            <w:vAlign w:val="bottom"/>
            <w:tcBorders>
              <w:bottom w:val="single" w:sz="8" w:color="B6B6B6"/>
              <w:right w:val="single" w:sz="8" w:color="B6B6B6"/>
            </w:tcBorders>
          </w:tcPr>
          <w:p>
            <w:pPr>
              <w:spacing w:after="0"/>
              <w:rPr>
                <w:sz w:val="21"/>
                <w:szCs w:val="21"/>
                <w:color w:val="auto"/>
              </w:rPr>
            </w:pPr>
          </w:p>
        </w:tc>
      </w:tr>
      <w:tr>
        <w:trPr>
          <w:trHeight w:val="222"/>
        </w:trPr>
        <w:tc>
          <w:tcPr>
            <w:tcW w:w="7200" w:type="dxa"/>
            <w:vAlign w:val="bottom"/>
            <w:tcBorders>
              <w:left w:val="single" w:sz="8" w:color="B6B6B6"/>
              <w:right w:val="single" w:sz="8" w:color="B6B6B6"/>
            </w:tcBorders>
            <w:gridSpan w:val="2"/>
          </w:tcPr>
          <w:p>
            <w:pPr>
              <w:ind w:left="480"/>
              <w:spacing w:after="0"/>
              <w:rPr>
                <w:sz w:val="20"/>
                <w:szCs w:val="20"/>
                <w:color w:val="auto"/>
              </w:rPr>
            </w:pPr>
            <w:r>
              <w:rPr>
                <w:rFonts w:ascii="Arial" w:cs="Arial" w:eastAsia="Arial" w:hAnsi="Arial"/>
                <w:sz w:val="18"/>
                <w:szCs w:val="18"/>
                <w:color w:val="auto"/>
              </w:rPr>
              <w:t>3.  Plus all Indebtedness of others secured by (or for which the holder of such</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___________</w:t>
            </w:r>
          </w:p>
        </w:tc>
      </w:tr>
      <w:tr>
        <w:trPr>
          <w:trHeight w:val="216"/>
        </w:trPr>
        <w:tc>
          <w:tcPr>
            <w:tcW w:w="640" w:type="dxa"/>
            <w:vAlign w:val="bottom"/>
            <w:tcBorders>
              <w:left w:val="single" w:sz="8" w:color="B6B6B6"/>
            </w:tcBorders>
          </w:tcPr>
          <w:p>
            <w:pPr>
              <w:spacing w:after="0"/>
              <w:rPr>
                <w:sz w:val="18"/>
                <w:szCs w:val="18"/>
                <w:color w:val="auto"/>
              </w:rPr>
            </w:pPr>
          </w:p>
        </w:tc>
        <w:tc>
          <w:tcPr>
            <w:tcW w:w="6560" w:type="dxa"/>
            <w:vAlign w:val="bottom"/>
            <w:tcBorders>
              <w:right w:val="single" w:sz="8" w:color="B6B6B6"/>
            </w:tcBorders>
          </w:tcPr>
          <w:p>
            <w:pPr>
              <w:ind w:left="160"/>
              <w:spacing w:after="0"/>
              <w:rPr>
                <w:sz w:val="20"/>
                <w:szCs w:val="20"/>
                <w:color w:val="auto"/>
              </w:rPr>
            </w:pPr>
            <w:r>
              <w:rPr>
                <w:rFonts w:ascii="Arial" w:cs="Arial" w:eastAsia="Arial" w:hAnsi="Arial"/>
                <w:sz w:val="18"/>
                <w:szCs w:val="18"/>
                <w:color w:val="auto"/>
                <w:w w:val="91"/>
              </w:rPr>
              <w:t>Indebtedness has an existing right, contingent or otherwise, to be secured by) any Lien</w:t>
            </w:r>
          </w:p>
        </w:tc>
        <w:tc>
          <w:tcPr>
            <w:tcW w:w="2920" w:type="dxa"/>
            <w:vAlign w:val="bottom"/>
            <w:tcBorders>
              <w:right w:val="single" w:sz="8" w:color="B6B6B6"/>
            </w:tcBorders>
          </w:tcPr>
          <w:p>
            <w:pPr>
              <w:spacing w:after="0"/>
              <w:rPr>
                <w:sz w:val="18"/>
                <w:szCs w:val="18"/>
                <w:color w:val="auto"/>
              </w:rPr>
            </w:pPr>
          </w:p>
        </w:tc>
      </w:tr>
      <w:tr>
        <w:trPr>
          <w:trHeight w:val="216"/>
        </w:trPr>
        <w:tc>
          <w:tcPr>
            <w:tcW w:w="640" w:type="dxa"/>
            <w:vAlign w:val="bottom"/>
            <w:tcBorders>
              <w:left w:val="single" w:sz="8" w:color="B6B6B6"/>
            </w:tcBorders>
          </w:tcPr>
          <w:p>
            <w:pPr>
              <w:spacing w:after="0"/>
              <w:rPr>
                <w:sz w:val="18"/>
                <w:szCs w:val="18"/>
                <w:color w:val="auto"/>
              </w:rPr>
            </w:pPr>
          </w:p>
        </w:tc>
        <w:tc>
          <w:tcPr>
            <w:tcW w:w="6560" w:type="dxa"/>
            <w:vAlign w:val="bottom"/>
            <w:tcBorders>
              <w:right w:val="single" w:sz="8" w:color="B6B6B6"/>
            </w:tcBorders>
          </w:tcPr>
          <w:p>
            <w:pPr>
              <w:ind w:left="160"/>
              <w:spacing w:after="0"/>
              <w:rPr>
                <w:sz w:val="20"/>
                <w:szCs w:val="20"/>
                <w:color w:val="auto"/>
              </w:rPr>
            </w:pPr>
            <w:r>
              <w:rPr>
                <w:rFonts w:ascii="Arial" w:cs="Arial" w:eastAsia="Arial" w:hAnsi="Arial"/>
                <w:sz w:val="18"/>
                <w:szCs w:val="18"/>
                <w:color w:val="auto"/>
                <w:w w:val="93"/>
              </w:rPr>
              <w:t>on property owned or acquired by Borrower, whether or not the Indebtedness secured</w:t>
            </w:r>
          </w:p>
        </w:tc>
        <w:tc>
          <w:tcPr>
            <w:tcW w:w="2920" w:type="dxa"/>
            <w:vAlign w:val="bottom"/>
            <w:tcBorders>
              <w:right w:val="single" w:sz="8" w:color="B6B6B6"/>
            </w:tcBorders>
          </w:tcPr>
          <w:p>
            <w:pPr>
              <w:spacing w:after="0"/>
              <w:rPr>
                <w:sz w:val="18"/>
                <w:szCs w:val="18"/>
                <w:color w:val="auto"/>
              </w:rPr>
            </w:pPr>
          </w:p>
        </w:tc>
      </w:tr>
      <w:tr>
        <w:trPr>
          <w:trHeight w:val="230"/>
        </w:trPr>
        <w:tc>
          <w:tcPr>
            <w:tcW w:w="640" w:type="dxa"/>
            <w:vAlign w:val="bottom"/>
            <w:tcBorders>
              <w:left w:val="single" w:sz="8" w:color="B6B6B6"/>
            </w:tcBorders>
          </w:tcPr>
          <w:p>
            <w:pPr>
              <w:spacing w:after="0"/>
              <w:rPr>
                <w:sz w:val="20"/>
                <w:szCs w:val="20"/>
                <w:color w:val="auto"/>
              </w:rPr>
            </w:pPr>
          </w:p>
        </w:tc>
        <w:tc>
          <w:tcPr>
            <w:tcW w:w="6560" w:type="dxa"/>
            <w:vAlign w:val="bottom"/>
            <w:tcBorders>
              <w:right w:val="single" w:sz="8" w:color="B6B6B6"/>
            </w:tcBorders>
          </w:tcPr>
          <w:p>
            <w:pPr>
              <w:ind w:left="160"/>
              <w:spacing w:after="0"/>
              <w:rPr>
                <w:sz w:val="20"/>
                <w:szCs w:val="20"/>
                <w:color w:val="auto"/>
              </w:rPr>
            </w:pPr>
            <w:r>
              <w:rPr>
                <w:rFonts w:ascii="Arial" w:cs="Arial" w:eastAsia="Arial" w:hAnsi="Arial"/>
                <w:sz w:val="18"/>
                <w:szCs w:val="18"/>
                <w:color w:val="auto"/>
              </w:rPr>
              <w:t>thereby has been assumed</w:t>
            </w:r>
          </w:p>
        </w:tc>
        <w:tc>
          <w:tcPr>
            <w:tcW w:w="2920" w:type="dxa"/>
            <w:vAlign w:val="bottom"/>
            <w:tcBorders>
              <w:right w:val="single" w:sz="8" w:color="B6B6B6"/>
            </w:tcBorders>
          </w:tcPr>
          <w:p>
            <w:pPr>
              <w:spacing w:after="0"/>
              <w:rPr>
                <w:sz w:val="20"/>
                <w:szCs w:val="20"/>
                <w:color w:val="auto"/>
              </w:rPr>
            </w:pPr>
          </w:p>
        </w:tc>
      </w:tr>
      <w:tr>
        <w:trPr>
          <w:trHeight w:val="243"/>
        </w:trPr>
        <w:tc>
          <w:tcPr>
            <w:tcW w:w="7200" w:type="dxa"/>
            <w:vAlign w:val="bottom"/>
            <w:tcBorders>
              <w:left w:val="single" w:sz="8" w:color="B6B6B6"/>
              <w:bottom w:val="single" w:sz="8" w:color="B6B6B6"/>
              <w:right w:val="single" w:sz="8" w:color="B6B6B6"/>
            </w:tcBorders>
            <w:gridSpan w:val="2"/>
          </w:tcPr>
          <w:p>
            <w:pPr>
              <w:spacing w:after="0"/>
              <w:rPr>
                <w:sz w:val="21"/>
                <w:szCs w:val="21"/>
                <w:color w:val="auto"/>
              </w:rPr>
            </w:pPr>
          </w:p>
        </w:tc>
        <w:tc>
          <w:tcPr>
            <w:tcW w:w="2920" w:type="dxa"/>
            <w:vAlign w:val="bottom"/>
            <w:tcBorders>
              <w:bottom w:val="single" w:sz="8" w:color="B6B6B6"/>
              <w:right w:val="single" w:sz="8" w:color="B6B6B6"/>
            </w:tcBorders>
          </w:tcPr>
          <w:p>
            <w:pPr>
              <w:spacing w:after="0"/>
              <w:rPr>
                <w:sz w:val="21"/>
                <w:szCs w:val="21"/>
                <w:color w:val="auto"/>
              </w:rPr>
            </w:pPr>
          </w:p>
        </w:tc>
      </w:tr>
      <w:tr>
        <w:trPr>
          <w:trHeight w:val="365"/>
        </w:trPr>
        <w:tc>
          <w:tcPr>
            <w:tcW w:w="7200" w:type="dxa"/>
            <w:vAlign w:val="bottom"/>
            <w:tcBorders>
              <w:left w:val="single" w:sz="8" w:color="B6B6B6"/>
              <w:bottom w:val="single" w:sz="8" w:color="B6B6B6"/>
              <w:right w:val="single" w:sz="8" w:color="B6B6B6"/>
            </w:tcBorders>
            <w:gridSpan w:val="2"/>
          </w:tcPr>
          <w:p>
            <w:pPr>
              <w:ind w:left="40"/>
              <w:spacing w:after="0"/>
              <w:rPr>
                <w:sz w:val="20"/>
                <w:szCs w:val="20"/>
                <w:color w:val="auto"/>
              </w:rPr>
            </w:pPr>
            <w:r>
              <w:rPr>
                <w:rFonts w:ascii="Arial" w:cs="Arial" w:eastAsia="Arial" w:hAnsi="Arial"/>
                <w:sz w:val="18"/>
                <w:szCs w:val="18"/>
                <w:color w:val="auto"/>
              </w:rPr>
              <w:t>B) Total = Total Indebtedness</w:t>
            </w:r>
            <w:r>
              <w:rPr>
                <w:rFonts w:ascii="Arial" w:cs="Arial" w:eastAsia="Arial" w:hAnsi="Arial"/>
                <w:sz w:val="23"/>
                <w:szCs w:val="23"/>
                <w:color w:val="auto"/>
                <w:vertAlign w:val="superscript"/>
              </w:rPr>
              <w:t>39</w:t>
            </w:r>
          </w:p>
        </w:tc>
        <w:tc>
          <w:tcPr>
            <w:tcW w:w="2920" w:type="dxa"/>
            <w:vAlign w:val="bottom"/>
            <w:tcBorders>
              <w:bottom w:val="single" w:sz="8" w:color="B6B6B6"/>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___________</w:t>
            </w:r>
          </w:p>
        </w:tc>
      </w:tr>
      <w:tr>
        <w:trPr>
          <w:trHeight w:val="297"/>
        </w:trPr>
        <w:tc>
          <w:tcPr>
            <w:tcW w:w="7200" w:type="dxa"/>
            <w:vAlign w:val="bottom"/>
            <w:tcBorders>
              <w:left w:val="single" w:sz="8" w:color="B6B6B6"/>
              <w:right w:val="single" w:sz="8" w:color="B6B6B6"/>
            </w:tcBorders>
            <w:gridSpan w:val="2"/>
          </w:tcPr>
          <w:p>
            <w:pPr>
              <w:ind w:left="40"/>
              <w:spacing w:after="0"/>
              <w:rPr>
                <w:sz w:val="20"/>
                <w:szCs w:val="20"/>
                <w:color w:val="auto"/>
              </w:rPr>
            </w:pPr>
            <w:r>
              <w:rPr>
                <w:rFonts w:ascii="Arial" w:cs="Arial" w:eastAsia="Arial" w:hAnsi="Arial"/>
                <w:sz w:val="18"/>
                <w:szCs w:val="18"/>
                <w:color w:val="auto"/>
              </w:rPr>
              <w:t>C) Unrestricted Cash</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___________</w:t>
            </w:r>
          </w:p>
        </w:tc>
      </w:tr>
      <w:tr>
        <w:trPr>
          <w:trHeight w:val="81"/>
        </w:trPr>
        <w:tc>
          <w:tcPr>
            <w:tcW w:w="7200" w:type="dxa"/>
            <w:vAlign w:val="bottom"/>
            <w:tcBorders>
              <w:left w:val="single" w:sz="8" w:color="B6B6B6"/>
              <w:bottom w:val="single" w:sz="8" w:color="B6B6B6"/>
              <w:right w:val="single" w:sz="8" w:color="B6B6B6"/>
            </w:tcBorders>
            <w:gridSpan w:val="2"/>
          </w:tcPr>
          <w:p>
            <w:pPr>
              <w:spacing w:after="0"/>
              <w:rPr>
                <w:sz w:val="7"/>
                <w:szCs w:val="7"/>
                <w:color w:val="auto"/>
              </w:rPr>
            </w:pPr>
          </w:p>
        </w:tc>
        <w:tc>
          <w:tcPr>
            <w:tcW w:w="2920" w:type="dxa"/>
            <w:vAlign w:val="bottom"/>
            <w:tcBorders>
              <w:bottom w:val="single" w:sz="8" w:color="B6B6B6"/>
              <w:right w:val="single" w:sz="8" w:color="B6B6B6"/>
            </w:tcBorders>
          </w:tcPr>
          <w:p>
            <w:pPr>
              <w:spacing w:after="0"/>
              <w:rPr>
                <w:sz w:val="7"/>
                <w:szCs w:val="7"/>
                <w:color w:val="auto"/>
              </w:rPr>
            </w:pPr>
          </w:p>
        </w:tc>
      </w:tr>
      <w:tr>
        <w:trPr>
          <w:trHeight w:val="290"/>
        </w:trPr>
        <w:tc>
          <w:tcPr>
            <w:tcW w:w="7200" w:type="dxa"/>
            <w:vAlign w:val="bottom"/>
            <w:tcBorders>
              <w:left w:val="single" w:sz="8" w:color="B6B6B6"/>
              <w:right w:val="single" w:sz="8" w:color="B6B6B6"/>
            </w:tcBorders>
            <w:gridSpan w:val="2"/>
          </w:tcPr>
          <w:p>
            <w:pPr>
              <w:ind w:left="40"/>
              <w:spacing w:after="0"/>
              <w:rPr>
                <w:sz w:val="20"/>
                <w:szCs w:val="20"/>
                <w:color w:val="auto"/>
              </w:rPr>
            </w:pPr>
            <w:r>
              <w:rPr>
                <w:rFonts w:ascii="Arial" w:cs="Arial" w:eastAsia="Arial" w:hAnsi="Arial"/>
                <w:sz w:val="18"/>
                <w:szCs w:val="18"/>
                <w:color w:val="auto"/>
              </w:rPr>
              <w:t>D) Obligations under “build to suit” capital leases</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___________</w:t>
            </w:r>
          </w:p>
        </w:tc>
      </w:tr>
      <w:tr>
        <w:trPr>
          <w:trHeight w:val="81"/>
        </w:trPr>
        <w:tc>
          <w:tcPr>
            <w:tcW w:w="7200" w:type="dxa"/>
            <w:vAlign w:val="bottom"/>
            <w:tcBorders>
              <w:left w:val="single" w:sz="8" w:color="B6B6B6"/>
              <w:bottom w:val="single" w:sz="8" w:color="B6B6B6"/>
              <w:right w:val="single" w:sz="8" w:color="B6B6B6"/>
            </w:tcBorders>
            <w:gridSpan w:val="2"/>
          </w:tcPr>
          <w:p>
            <w:pPr>
              <w:spacing w:after="0"/>
              <w:rPr>
                <w:sz w:val="7"/>
                <w:szCs w:val="7"/>
                <w:color w:val="auto"/>
              </w:rPr>
            </w:pPr>
          </w:p>
        </w:tc>
        <w:tc>
          <w:tcPr>
            <w:tcW w:w="2920" w:type="dxa"/>
            <w:vAlign w:val="bottom"/>
            <w:tcBorders>
              <w:bottom w:val="single" w:sz="8" w:color="B6B6B6"/>
              <w:right w:val="single" w:sz="8" w:color="B6B6B6"/>
            </w:tcBorders>
          </w:tcPr>
          <w:p>
            <w:pPr>
              <w:spacing w:after="0"/>
              <w:rPr>
                <w:sz w:val="7"/>
                <w:szCs w:val="7"/>
                <w:color w:val="auto"/>
              </w:rPr>
            </w:pPr>
          </w:p>
        </w:tc>
      </w:tr>
      <w:tr>
        <w:trPr>
          <w:trHeight w:val="237"/>
        </w:trPr>
        <w:tc>
          <w:tcPr>
            <w:tcW w:w="7200" w:type="dxa"/>
            <w:vAlign w:val="bottom"/>
            <w:tcBorders>
              <w:left w:val="single" w:sz="8" w:color="B6B6B6"/>
              <w:right w:val="single" w:sz="8" w:color="B6B6B6"/>
            </w:tcBorders>
            <w:gridSpan w:val="2"/>
          </w:tcPr>
          <w:p>
            <w:pPr>
              <w:ind w:left="40"/>
              <w:spacing w:after="0"/>
              <w:rPr>
                <w:sz w:val="20"/>
                <w:szCs w:val="20"/>
                <w:color w:val="auto"/>
              </w:rPr>
            </w:pPr>
            <w:r>
              <w:rPr>
                <w:rFonts w:ascii="Arial" w:cs="Arial" w:eastAsia="Arial" w:hAnsi="Arial"/>
                <w:sz w:val="18"/>
                <w:szCs w:val="18"/>
                <w:color w:val="auto"/>
              </w:rPr>
              <w:t>E) Net Income</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37"/>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1.</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Plus Interest Expense</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37"/>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2.</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Plus income tax expense</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37"/>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3.</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Plus depreciation and amortization expense</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4.</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w w:val="90"/>
              </w:rPr>
              <w:t>Plus non-cash stock-based compensation expenses, plus cash withholding taxes paid on</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16"/>
        </w:trPr>
        <w:tc>
          <w:tcPr>
            <w:tcW w:w="640" w:type="dxa"/>
            <w:vAlign w:val="bottom"/>
            <w:tcBorders>
              <w:left w:val="single" w:sz="8" w:color="B6B6B6"/>
            </w:tcBorders>
          </w:tcPr>
          <w:p>
            <w:pPr>
              <w:spacing w:after="0"/>
              <w:rPr>
                <w:sz w:val="18"/>
                <w:szCs w:val="18"/>
                <w:color w:val="auto"/>
              </w:rPr>
            </w:pP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w w:val="98"/>
              </w:rPr>
              <w:t>behalf of Nikolaos Vlahos pursuant to Section 18 of the Restricted Preferred Stock</w:t>
            </w:r>
          </w:p>
        </w:tc>
        <w:tc>
          <w:tcPr>
            <w:tcW w:w="2920" w:type="dxa"/>
            <w:vAlign w:val="bottom"/>
            <w:tcBorders>
              <w:right w:val="single" w:sz="8" w:color="B6B6B6"/>
            </w:tcBorders>
          </w:tcPr>
          <w:p>
            <w:pPr>
              <w:spacing w:after="0"/>
              <w:rPr>
                <w:sz w:val="18"/>
                <w:szCs w:val="18"/>
                <w:color w:val="auto"/>
              </w:rPr>
            </w:pPr>
          </w:p>
        </w:tc>
      </w:tr>
      <w:tr>
        <w:trPr>
          <w:trHeight w:val="230"/>
        </w:trPr>
        <w:tc>
          <w:tcPr>
            <w:tcW w:w="640" w:type="dxa"/>
            <w:vAlign w:val="bottom"/>
            <w:tcBorders>
              <w:left w:val="single" w:sz="8" w:color="B6B6B6"/>
            </w:tcBorders>
          </w:tcPr>
          <w:p>
            <w:pPr>
              <w:spacing w:after="0"/>
              <w:rPr>
                <w:sz w:val="20"/>
                <w:szCs w:val="20"/>
                <w:color w:val="auto"/>
              </w:rPr>
            </w:pP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Award Agreement</w:t>
            </w:r>
          </w:p>
        </w:tc>
        <w:tc>
          <w:tcPr>
            <w:tcW w:w="2920" w:type="dxa"/>
            <w:vAlign w:val="bottom"/>
            <w:tcBorders>
              <w:right w:val="single" w:sz="8" w:color="B6B6B6"/>
            </w:tcBorders>
          </w:tcPr>
          <w:p>
            <w:pPr>
              <w:spacing w:after="0"/>
              <w:rPr>
                <w:sz w:val="20"/>
                <w:szCs w:val="20"/>
                <w:color w:val="auto"/>
              </w:rPr>
            </w:pP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5.</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w w:val="94"/>
              </w:rPr>
              <w:t>Plus non-cash losses on sales of fixed assets, non-cash losses on investments, write-</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16"/>
        </w:trPr>
        <w:tc>
          <w:tcPr>
            <w:tcW w:w="640" w:type="dxa"/>
            <w:vAlign w:val="bottom"/>
            <w:tcBorders>
              <w:left w:val="single" w:sz="8" w:color="B6B6B6"/>
            </w:tcBorders>
          </w:tcPr>
          <w:p>
            <w:pPr>
              <w:spacing w:after="0"/>
              <w:rPr>
                <w:sz w:val="18"/>
                <w:szCs w:val="18"/>
                <w:color w:val="auto"/>
              </w:rPr>
            </w:pP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w w:val="94"/>
              </w:rPr>
              <w:t>downs of fixed or intangible assets or goodwill impairment charges (but excluding any</w:t>
            </w:r>
          </w:p>
        </w:tc>
        <w:tc>
          <w:tcPr>
            <w:tcW w:w="2920" w:type="dxa"/>
            <w:vAlign w:val="bottom"/>
            <w:tcBorders>
              <w:right w:val="single" w:sz="8" w:color="B6B6B6"/>
            </w:tcBorders>
          </w:tcPr>
          <w:p>
            <w:pPr>
              <w:spacing w:after="0"/>
              <w:rPr>
                <w:sz w:val="18"/>
                <w:szCs w:val="18"/>
                <w:color w:val="auto"/>
              </w:rPr>
            </w:pPr>
          </w:p>
        </w:tc>
      </w:tr>
      <w:tr>
        <w:trPr>
          <w:trHeight w:val="230"/>
        </w:trPr>
        <w:tc>
          <w:tcPr>
            <w:tcW w:w="640" w:type="dxa"/>
            <w:vAlign w:val="bottom"/>
            <w:tcBorders>
              <w:left w:val="single" w:sz="8" w:color="B6B6B6"/>
            </w:tcBorders>
          </w:tcPr>
          <w:p>
            <w:pPr>
              <w:spacing w:after="0"/>
              <w:rPr>
                <w:sz w:val="20"/>
                <w:szCs w:val="20"/>
                <w:color w:val="auto"/>
              </w:rPr>
            </w:pP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non-cash charge that relates to the write-down or write-off of inventory)</w:t>
            </w:r>
          </w:p>
        </w:tc>
        <w:tc>
          <w:tcPr>
            <w:tcW w:w="2920" w:type="dxa"/>
            <w:vAlign w:val="bottom"/>
            <w:tcBorders>
              <w:right w:val="single" w:sz="8" w:color="B6B6B6"/>
            </w:tcBorders>
          </w:tcPr>
          <w:p>
            <w:pPr>
              <w:spacing w:after="0"/>
              <w:rPr>
                <w:sz w:val="20"/>
                <w:szCs w:val="20"/>
                <w:color w:val="auto"/>
              </w:rPr>
            </w:pP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37"/>
        </w:trPr>
        <w:tc>
          <w:tcPr>
            <w:tcW w:w="640" w:type="dxa"/>
            <w:vAlign w:val="bottom"/>
            <w:tcBorders>
              <w:left w:val="single" w:sz="8" w:color="B6B6B6"/>
            </w:tcBorders>
          </w:tcPr>
          <w:p>
            <w:pPr>
              <w:jc w:val="right"/>
              <w:ind w:right="10"/>
              <w:spacing w:after="0"/>
              <w:rPr>
                <w:sz w:val="20"/>
                <w:szCs w:val="20"/>
                <w:color w:val="auto"/>
              </w:rPr>
            </w:pPr>
            <w:r>
              <w:rPr>
                <w:rFonts w:ascii="Arial" w:cs="Arial" w:eastAsia="Arial" w:hAnsi="Arial"/>
                <w:sz w:val="18"/>
                <w:szCs w:val="18"/>
                <w:color w:val="auto"/>
              </w:rPr>
              <w:t>6.</w:t>
            </w:r>
          </w:p>
        </w:tc>
        <w:tc>
          <w:tcPr>
            <w:tcW w:w="6560" w:type="dxa"/>
            <w:vAlign w:val="bottom"/>
            <w:tcBorders>
              <w:right w:val="single" w:sz="8" w:color="B6B6B6"/>
            </w:tcBorders>
          </w:tcPr>
          <w:p>
            <w:pPr>
              <w:ind w:left="100"/>
              <w:spacing w:after="0"/>
              <w:rPr>
                <w:sz w:val="20"/>
                <w:szCs w:val="20"/>
                <w:color w:val="auto"/>
              </w:rPr>
            </w:pPr>
            <w:r>
              <w:rPr>
                <w:rFonts w:ascii="Arial" w:cs="Arial" w:eastAsia="Arial" w:hAnsi="Arial"/>
                <w:sz w:val="18"/>
                <w:szCs w:val="18"/>
                <w:color w:val="auto"/>
              </w:rPr>
              <w:t>Plus extraordinary non-cash charges</w:t>
            </w:r>
          </w:p>
        </w:tc>
        <w:tc>
          <w:tcPr>
            <w:tcW w:w="2920" w:type="dxa"/>
            <w:vAlign w:val="bottom"/>
            <w:tcBorders>
              <w:right w:val="single" w:sz="8" w:color="B6B6B6"/>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640" w:type="dxa"/>
            <w:vAlign w:val="bottom"/>
            <w:tcBorders>
              <w:left w:val="single" w:sz="8" w:color="B6B6B6"/>
              <w:bottom w:val="single" w:sz="8" w:color="B6B6B6"/>
            </w:tcBorders>
          </w:tcPr>
          <w:p>
            <w:pPr>
              <w:spacing w:after="0"/>
              <w:rPr>
                <w:sz w:val="2"/>
                <w:szCs w:val="2"/>
                <w:color w:val="auto"/>
              </w:rPr>
            </w:pPr>
          </w:p>
        </w:tc>
        <w:tc>
          <w:tcPr>
            <w:tcW w:w="656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w:t>
      </w:r>
    </w:p>
    <w:p>
      <w:pPr>
        <w:spacing w:after="0" w:line="7" w:lineRule="exact"/>
        <w:rPr>
          <w:sz w:val="20"/>
          <w:szCs w:val="20"/>
          <w:color w:val="auto"/>
        </w:rPr>
      </w:pPr>
    </w:p>
    <w:p>
      <w:pPr>
        <w:ind w:firstLine="8"/>
        <w:spacing w:after="0" w:line="323" w:lineRule="auto"/>
        <w:tabs>
          <w:tab w:leader="none" w:pos="146" w:val="left"/>
        </w:tabs>
        <w:numPr>
          <w:ilvl w:val="0"/>
          <w:numId w:val="207"/>
        </w:numPr>
        <w:rPr>
          <w:rFonts w:ascii="Arial" w:cs="Arial" w:eastAsia="Arial" w:hAnsi="Arial"/>
          <w:sz w:val="18"/>
          <w:szCs w:val="18"/>
          <w:color w:val="auto"/>
          <w:vertAlign w:val="superscript"/>
        </w:rPr>
      </w:pPr>
      <w:r>
        <w:rPr>
          <w:rFonts w:ascii="Arial" w:cs="Arial" w:eastAsia="Arial" w:hAnsi="Arial"/>
          <w:sz w:val="14"/>
          <w:szCs w:val="14"/>
          <w:color w:val="auto"/>
        </w:rPr>
        <w:t>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ectPr>
          <w:pgSz w:w="11900" w:h="16838" w:orient="portrait"/>
          <w:cols w:equalWidth="0" w:num="1">
            <w:col w:w="11220"/>
          </w:cols>
          <w:pgMar w:left="320" w:top="1419" w:right="359" w:bottom="1440" w:gutter="0" w:footer="0" w:header="0"/>
        </w:sectPr>
      </w:pPr>
    </w:p>
    <w:bookmarkStart w:id="191" w:name="page192"/>
    <w:bookmarkEnd w:id="19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7200" w:type="dxa"/>
            <w:vAlign w:val="bottom"/>
            <w:tcBorders>
              <w:top w:val="single" w:sz="8" w:color="B6B6B6"/>
              <w:left w:val="single" w:sz="8" w:color="B6B6B6"/>
              <w:right w:val="single" w:sz="8" w:color="B6B6B6"/>
            </w:tcBorders>
            <w:gridSpan w:val="2"/>
          </w:tcPr>
          <w:p>
            <w:pPr>
              <w:ind w:left="420"/>
              <w:spacing w:after="0"/>
              <w:rPr>
                <w:sz w:val="20"/>
                <w:szCs w:val="20"/>
                <w:color w:val="auto"/>
              </w:rPr>
            </w:pPr>
            <w:r>
              <w:rPr>
                <w:rFonts w:ascii="Arial" w:cs="Arial" w:eastAsia="Arial" w:hAnsi="Arial"/>
                <w:sz w:val="18"/>
                <w:szCs w:val="18"/>
                <w:color w:val="auto"/>
                <w:w w:val="94"/>
              </w:rPr>
              <w:t>7.  Plus other non-cash charges, including realized non-cash foreign exchange losses and</w:t>
            </w:r>
          </w:p>
        </w:tc>
        <w:tc>
          <w:tcPr>
            <w:tcW w:w="2920" w:type="dxa"/>
            <w:vAlign w:val="bottom"/>
            <w:tcBorders>
              <w:top w:val="single" w:sz="8" w:color="B6B6B6"/>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5"/>
              </w:rPr>
              <w:t>non-cash stock based compensation charges (but excluding any non-cash charge in</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4"/>
              </w:rPr>
              <w:t>respect of an item that was included in Net Income in a prior period and any non-cash</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charge that relates to the write-down or write-off of inventory)</w:t>
            </w:r>
          </w:p>
        </w:tc>
        <w:tc>
          <w:tcPr>
            <w:tcW w:w="2920" w:type="dxa"/>
            <w:vAlign w:val="bottom"/>
            <w:tcBorders>
              <w:right w:val="single" w:sz="8" w:color="B6B6B6"/>
            </w:tcBorders>
          </w:tcPr>
          <w:p>
            <w:pPr>
              <w:spacing w:after="0"/>
              <w:rPr>
                <w:sz w:val="20"/>
                <w:szCs w:val="20"/>
                <w:color w:val="auto"/>
              </w:rPr>
            </w:pPr>
          </w:p>
        </w:tc>
      </w:tr>
      <w:tr>
        <w:trPr>
          <w:trHeight w:val="27"/>
        </w:trPr>
        <w:tc>
          <w:tcPr>
            <w:tcW w:w="7200" w:type="dxa"/>
            <w:vAlign w:val="bottom"/>
            <w:tcBorders>
              <w:left w:val="single" w:sz="8" w:color="B6B6B6"/>
              <w:bottom w:val="single" w:sz="8" w:color="B6B6B6"/>
              <w:right w:val="single" w:sz="8" w:color="B6B6B6"/>
            </w:tcBorders>
            <w:gridSpan w:val="2"/>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7200" w:type="dxa"/>
            <w:vAlign w:val="bottom"/>
            <w:tcBorders>
              <w:left w:val="single" w:sz="8" w:color="B6B6B6"/>
              <w:right w:val="single" w:sz="8" w:color="B6B6B6"/>
            </w:tcBorders>
            <w:gridSpan w:val="2"/>
          </w:tcPr>
          <w:p>
            <w:pPr>
              <w:ind w:left="420"/>
              <w:spacing w:after="0"/>
              <w:rPr>
                <w:sz w:val="20"/>
                <w:szCs w:val="20"/>
                <w:color w:val="auto"/>
              </w:rPr>
            </w:pPr>
            <w:r>
              <w:rPr>
                <w:rFonts w:ascii="Arial" w:cs="Arial" w:eastAsia="Arial" w:hAnsi="Arial"/>
                <w:sz w:val="18"/>
                <w:szCs w:val="18"/>
                <w:color w:val="auto"/>
                <w:w w:val="93"/>
              </w:rPr>
              <w:t>8.  Plus expenses, fees, costs, and charges incurred in connection with the Transactions in</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an aggregate amount not to exceed $300,000</w:t>
            </w:r>
          </w:p>
        </w:tc>
        <w:tc>
          <w:tcPr>
            <w:tcW w:w="2920" w:type="dxa"/>
            <w:vAlign w:val="bottom"/>
            <w:tcBorders>
              <w:right w:val="single" w:sz="8" w:color="B6B6B6"/>
            </w:tcBorders>
          </w:tcPr>
          <w:p>
            <w:pPr>
              <w:spacing w:after="0"/>
              <w:rPr>
                <w:sz w:val="20"/>
                <w:szCs w:val="20"/>
                <w:color w:val="auto"/>
              </w:rPr>
            </w:pPr>
          </w:p>
        </w:tc>
      </w:tr>
      <w:tr>
        <w:trPr>
          <w:trHeight w:val="27"/>
        </w:trPr>
        <w:tc>
          <w:tcPr>
            <w:tcW w:w="7200" w:type="dxa"/>
            <w:vAlign w:val="bottom"/>
            <w:tcBorders>
              <w:left w:val="single" w:sz="8" w:color="B6B6B6"/>
              <w:bottom w:val="single" w:sz="8" w:color="B6B6B6"/>
              <w:right w:val="single" w:sz="8" w:color="B6B6B6"/>
            </w:tcBorders>
            <w:gridSpan w:val="2"/>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7200" w:type="dxa"/>
            <w:vAlign w:val="bottom"/>
            <w:tcBorders>
              <w:left w:val="single" w:sz="8" w:color="B6B6B6"/>
              <w:right w:val="single" w:sz="8" w:color="B6B6B6"/>
            </w:tcBorders>
            <w:gridSpan w:val="2"/>
          </w:tcPr>
          <w:p>
            <w:pPr>
              <w:ind w:left="420"/>
              <w:spacing w:after="0"/>
              <w:rPr>
                <w:sz w:val="20"/>
                <w:szCs w:val="20"/>
                <w:color w:val="auto"/>
              </w:rPr>
            </w:pPr>
            <w:r>
              <w:rPr>
                <w:rFonts w:ascii="Arial" w:cs="Arial" w:eastAsia="Arial" w:hAnsi="Arial"/>
                <w:sz w:val="18"/>
                <w:szCs w:val="18"/>
                <w:color w:val="auto"/>
                <w:w w:val="95"/>
              </w:rPr>
              <w:t>9.  Plus fees, costs, and expenses that are actually incurred in connection with Permitted</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Acquisitions, investments, equity issuances (including secondary offerings), issuances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9"/>
              </w:rPr>
              <w:t>of Indebtedness for borrowed money, dispositions or refinancing transactions and</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6"/>
              </w:rPr>
              <w:t>modifications of instruments (including any amortization or write-off of debt issuance</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or deferred financing costs, premiums, prepayment penalties, commissions, discounts,</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yield and other fees and charges)</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80" w:type="dxa"/>
            <w:vAlign w:val="bottom"/>
            <w:tcBorders>
              <w:left w:val="single" w:sz="8" w:color="B6B6B6"/>
            </w:tcBorders>
          </w:tcPr>
          <w:p>
            <w:pPr>
              <w:ind w:left="420"/>
              <w:spacing w:after="0"/>
              <w:rPr>
                <w:sz w:val="20"/>
                <w:szCs w:val="20"/>
                <w:color w:val="auto"/>
              </w:rPr>
            </w:pPr>
            <w:r>
              <w:rPr>
                <w:rFonts w:ascii="Arial" w:cs="Arial" w:eastAsia="Arial" w:hAnsi="Arial"/>
                <w:sz w:val="18"/>
                <w:szCs w:val="18"/>
                <w:color w:val="auto"/>
                <w:w w:val="95"/>
              </w:rPr>
              <w:t>10.</w:t>
            </w: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4"/>
              </w:rPr>
              <w:t>Plus non-recurring charges, costs, losses, fees and expenses directly incurred or paid</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directly as a result of discontinued operations or any sale or disposition of any asset of</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the Company or its Subsidiaries, to the extent factually supportable</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80" w:type="dxa"/>
            <w:vAlign w:val="bottom"/>
            <w:tcBorders>
              <w:left w:val="single" w:sz="8" w:color="B6B6B6"/>
            </w:tcBorders>
          </w:tcPr>
          <w:p>
            <w:pPr>
              <w:ind w:left="420"/>
              <w:spacing w:after="0"/>
              <w:rPr>
                <w:sz w:val="20"/>
                <w:szCs w:val="20"/>
                <w:color w:val="auto"/>
              </w:rPr>
            </w:pPr>
            <w:r>
              <w:rPr>
                <w:rFonts w:ascii="Arial" w:cs="Arial" w:eastAsia="Arial" w:hAnsi="Arial"/>
                <w:sz w:val="18"/>
                <w:szCs w:val="18"/>
                <w:color w:val="auto"/>
                <w:w w:val="95"/>
              </w:rPr>
              <w:t>11.</w:t>
            </w:r>
          </w:p>
        </w:tc>
        <w:tc>
          <w:tcPr>
            <w:tcW w:w="6520" w:type="dxa"/>
            <w:vAlign w:val="bottom"/>
            <w:tcBorders>
              <w:right w:val="single" w:sz="8" w:color="B6B6B6"/>
            </w:tcBorders>
          </w:tcPr>
          <w:p>
            <w:pPr>
              <w:ind w:left="40"/>
              <w:spacing w:after="0"/>
              <w:rPr>
                <w:sz w:val="20"/>
                <w:szCs w:val="20"/>
                <w:color w:val="auto"/>
              </w:rPr>
            </w:pPr>
            <w:r>
              <w:rPr>
                <w:rFonts w:ascii="Arial" w:cs="Arial" w:eastAsia="Arial" w:hAnsi="Arial"/>
                <w:sz w:val="18"/>
                <w:szCs w:val="18"/>
                <w:color w:val="auto"/>
                <w:w w:val="91"/>
              </w:rPr>
              <w:t>Plus expenses that have been reimbursed in cash by a third party (who is not an Affiliate</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7"/>
              </w:rPr>
              <w:t>of any Loan Party) pursuant to an indemnity or guaranty in favor of Company or its</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Subsidiaries to the extent such reimbursements do not increase Net Income</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bl>
    <w:p>
      <w:pPr>
        <w:sectPr>
          <w:pgSz w:w="11900" w:h="16838" w:orient="portrait"/>
          <w:cols w:equalWidth="0" w:num="1">
            <w:col w:w="10139"/>
          </w:cols>
          <w:pgMar w:left="320" w:top="1440" w:right="1440" w:bottom="1440" w:gutter="0" w:footer="0" w:header="0"/>
        </w:sectPr>
      </w:pPr>
    </w:p>
    <w:bookmarkStart w:id="192" w:name="page193"/>
    <w:bookmarkEnd w:id="192"/>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680" w:type="dxa"/>
            <w:vAlign w:val="bottom"/>
            <w:tcBorders>
              <w:top w:val="single" w:sz="8" w:color="B6B6B6"/>
              <w:left w:val="single" w:sz="8" w:color="B6B6B6"/>
            </w:tcBorders>
          </w:tcPr>
          <w:p>
            <w:pPr>
              <w:jc w:val="right"/>
              <w:spacing w:after="0"/>
              <w:rPr>
                <w:sz w:val="20"/>
                <w:szCs w:val="20"/>
                <w:color w:val="auto"/>
              </w:rPr>
            </w:pPr>
            <w:r>
              <w:rPr>
                <w:rFonts w:ascii="Arial" w:cs="Arial" w:eastAsia="Arial" w:hAnsi="Arial"/>
                <w:sz w:val="18"/>
                <w:szCs w:val="18"/>
                <w:color w:val="auto"/>
              </w:rPr>
              <w:t>12.</w:t>
            </w:r>
          </w:p>
        </w:tc>
        <w:tc>
          <w:tcPr>
            <w:tcW w:w="6520" w:type="dxa"/>
            <w:vAlign w:val="bottom"/>
            <w:tcBorders>
              <w:top w:val="single" w:sz="8" w:color="B6B6B6"/>
              <w:right w:val="single" w:sz="8" w:color="B6B6B6"/>
            </w:tcBorders>
          </w:tcPr>
          <w:p>
            <w:pPr>
              <w:ind w:left="60"/>
              <w:spacing w:after="0"/>
              <w:rPr>
                <w:sz w:val="20"/>
                <w:szCs w:val="20"/>
                <w:color w:val="auto"/>
              </w:rPr>
            </w:pPr>
            <w:r>
              <w:rPr>
                <w:rFonts w:ascii="Arial" w:cs="Arial" w:eastAsia="Arial" w:hAnsi="Arial"/>
                <w:sz w:val="18"/>
                <w:szCs w:val="18"/>
                <w:color w:val="auto"/>
                <w:w w:val="92"/>
              </w:rPr>
              <w:t>Plus costs (including restructuring costs related to Acquisitions after the Effective Date),</w:t>
            </w:r>
          </w:p>
        </w:tc>
        <w:tc>
          <w:tcPr>
            <w:tcW w:w="2920" w:type="dxa"/>
            <w:vAlign w:val="bottom"/>
            <w:tcBorders>
              <w:top w:val="single" w:sz="8" w:color="B6B6B6"/>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charges, accruals, reserves or expenses attributable to the undertaking and/or</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5"/>
              </w:rPr>
              <w:t>implementation of cost savings initiatives, operating expense reductions, integration,</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transition, facilities opening and pre-opening, business optimization and other</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1"/>
              </w:rPr>
              <w:t>restructuring and integration costs, charges accruals, reserves and expenses (including,</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without limitation, inventory optimization programs, software development costs, costs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9"/>
              </w:rPr>
              <w:t>related to the closure or consolidation of facilities, stores and distribution centers,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4"/>
              </w:rPr>
              <w:t>curtailments, costs related to entry into new markets, costs related to preopening and</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opening of stores, distribution centers or other facilities, consulting fees, signing costs,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retention or completion bonuses, relocation expenses, severance payments,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3"/>
              </w:rPr>
              <w:t>modifications to pension and post-retirement employee benefit plans and new systems</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2"/>
              </w:rPr>
              <w:t>design and implementation costs, information technology costs, website rebranding and</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redesign costs and project startup costs)</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80" w:type="dxa"/>
            <w:vAlign w:val="bottom"/>
            <w:tcBorders>
              <w:left w:val="single" w:sz="8" w:color="B6B6B6"/>
            </w:tcBorders>
          </w:tcPr>
          <w:p>
            <w:pPr>
              <w:jc w:val="right"/>
              <w:spacing w:after="0"/>
              <w:rPr>
                <w:sz w:val="20"/>
                <w:szCs w:val="20"/>
                <w:color w:val="auto"/>
              </w:rPr>
            </w:pPr>
            <w:r>
              <w:rPr>
                <w:rFonts w:ascii="Arial" w:cs="Arial" w:eastAsia="Arial" w:hAnsi="Arial"/>
                <w:sz w:val="18"/>
                <w:szCs w:val="18"/>
                <w:color w:val="auto"/>
              </w:rPr>
              <w:t>13.</w:t>
            </w: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2"/>
              </w:rPr>
              <w:t>Plus one-time fees and expenses incurred in connection with an initial public offering of</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the Company (excluding any bonuses paid to employees or officers thereof in</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9"/>
              </w:rPr>
              <w:t>connection with such initial public offering) in an aggregate amount not to exceed</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7"/>
              </w:rPr>
              <w:t>$5,000,000 and so long as such fees are incurred prior to or within ninety (90) days</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following such initial public offering</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r>
        <w:trPr>
          <w:trHeight w:val="222"/>
        </w:trPr>
        <w:tc>
          <w:tcPr>
            <w:tcW w:w="680" w:type="dxa"/>
            <w:vAlign w:val="bottom"/>
            <w:tcBorders>
              <w:left w:val="single" w:sz="8" w:color="B6B6B6"/>
            </w:tcBorders>
          </w:tcPr>
          <w:p>
            <w:pPr>
              <w:jc w:val="right"/>
              <w:spacing w:after="0"/>
              <w:rPr>
                <w:sz w:val="20"/>
                <w:szCs w:val="20"/>
                <w:color w:val="auto"/>
              </w:rPr>
            </w:pPr>
            <w:r>
              <w:rPr>
                <w:rFonts w:ascii="Arial" w:cs="Arial" w:eastAsia="Arial" w:hAnsi="Arial"/>
                <w:sz w:val="18"/>
                <w:szCs w:val="18"/>
                <w:color w:val="auto"/>
              </w:rPr>
              <w:t>14.</w:t>
            </w: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5"/>
              </w:rPr>
              <w:t>Plus any costs incurred during such period with respect to liability, casualty events or</w:t>
            </w:r>
          </w:p>
        </w:tc>
        <w:tc>
          <w:tcPr>
            <w:tcW w:w="2920" w:type="dxa"/>
            <w:vAlign w:val="bottom"/>
            <w:tcBorders>
              <w:right w:val="single" w:sz="8" w:color="B6B6B6"/>
            </w:tcBorders>
          </w:tcPr>
          <w:p>
            <w:pPr>
              <w:jc w:val="right"/>
              <w:ind w:right="177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1"/>
              </w:rPr>
              <w:t>business interruption, to the extent covered by insurance which has not been denied, but</w:t>
            </w:r>
          </w:p>
        </w:tc>
        <w:tc>
          <w:tcPr>
            <w:tcW w:w="2920" w:type="dxa"/>
            <w:vAlign w:val="bottom"/>
            <w:tcBorders>
              <w:right w:val="single" w:sz="8" w:color="B6B6B6"/>
            </w:tcBorders>
          </w:tcPr>
          <w:p>
            <w:pPr>
              <w:spacing w:after="0"/>
              <w:rPr>
                <w:sz w:val="18"/>
                <w:szCs w:val="18"/>
                <w:color w:val="auto"/>
              </w:rPr>
            </w:pPr>
          </w:p>
        </w:tc>
      </w:tr>
      <w:tr>
        <w:trPr>
          <w:trHeight w:val="216"/>
        </w:trPr>
        <w:tc>
          <w:tcPr>
            <w:tcW w:w="680" w:type="dxa"/>
            <w:vAlign w:val="bottom"/>
            <w:tcBorders>
              <w:left w:val="single" w:sz="8" w:color="B6B6B6"/>
            </w:tcBorders>
          </w:tcPr>
          <w:p>
            <w:pPr>
              <w:spacing w:after="0"/>
              <w:rPr>
                <w:sz w:val="18"/>
                <w:szCs w:val="18"/>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w w:val="95"/>
              </w:rPr>
              <w:t>excluding any such costs to the extent indemnification payments, reimbursements or</w:t>
            </w:r>
          </w:p>
        </w:tc>
        <w:tc>
          <w:tcPr>
            <w:tcW w:w="2920" w:type="dxa"/>
            <w:vAlign w:val="bottom"/>
            <w:tcBorders>
              <w:right w:val="single" w:sz="8" w:color="B6B6B6"/>
            </w:tcBorders>
          </w:tcPr>
          <w:p>
            <w:pPr>
              <w:spacing w:after="0"/>
              <w:rPr>
                <w:sz w:val="18"/>
                <w:szCs w:val="18"/>
                <w:color w:val="auto"/>
              </w:rPr>
            </w:pPr>
          </w:p>
        </w:tc>
      </w:tr>
      <w:tr>
        <w:trPr>
          <w:trHeight w:val="230"/>
        </w:trPr>
        <w:tc>
          <w:tcPr>
            <w:tcW w:w="680" w:type="dxa"/>
            <w:vAlign w:val="bottom"/>
            <w:tcBorders>
              <w:left w:val="single" w:sz="8" w:color="B6B6B6"/>
            </w:tcBorders>
          </w:tcPr>
          <w:p>
            <w:pPr>
              <w:spacing w:after="0"/>
              <w:rPr>
                <w:sz w:val="20"/>
                <w:szCs w:val="20"/>
                <w:color w:val="auto"/>
              </w:rPr>
            </w:pPr>
          </w:p>
        </w:tc>
        <w:tc>
          <w:tcPr>
            <w:tcW w:w="6520" w:type="dxa"/>
            <w:vAlign w:val="bottom"/>
            <w:tcBorders>
              <w:right w:val="single" w:sz="8" w:color="B6B6B6"/>
            </w:tcBorders>
          </w:tcPr>
          <w:p>
            <w:pPr>
              <w:ind w:left="60"/>
              <w:spacing w:after="0"/>
              <w:rPr>
                <w:sz w:val="20"/>
                <w:szCs w:val="20"/>
                <w:color w:val="auto"/>
              </w:rPr>
            </w:pPr>
            <w:r>
              <w:rPr>
                <w:rFonts w:ascii="Arial" w:cs="Arial" w:eastAsia="Arial" w:hAnsi="Arial"/>
                <w:sz w:val="18"/>
                <w:szCs w:val="18"/>
                <w:color w:val="auto"/>
              </w:rPr>
              <w:t>insurance proceeds were received in any subsequent period</w:t>
            </w:r>
          </w:p>
        </w:tc>
        <w:tc>
          <w:tcPr>
            <w:tcW w:w="2920" w:type="dxa"/>
            <w:vAlign w:val="bottom"/>
            <w:tcBorders>
              <w:right w:val="single" w:sz="8" w:color="B6B6B6"/>
            </w:tcBorders>
          </w:tcPr>
          <w:p>
            <w:pPr>
              <w:spacing w:after="0"/>
              <w:rPr>
                <w:sz w:val="20"/>
                <w:szCs w:val="20"/>
                <w:color w:val="auto"/>
              </w:rPr>
            </w:pPr>
          </w:p>
        </w:tc>
      </w:tr>
      <w:tr>
        <w:trPr>
          <w:trHeight w:val="27"/>
        </w:trPr>
        <w:tc>
          <w:tcPr>
            <w:tcW w:w="680" w:type="dxa"/>
            <w:vAlign w:val="bottom"/>
            <w:tcBorders>
              <w:left w:val="single" w:sz="8" w:color="B6B6B6"/>
              <w:bottom w:val="single" w:sz="8" w:color="B6B6B6"/>
            </w:tcBorders>
          </w:tcPr>
          <w:p>
            <w:pPr>
              <w:spacing w:after="0"/>
              <w:rPr>
                <w:sz w:val="2"/>
                <w:szCs w:val="2"/>
                <w:color w:val="auto"/>
              </w:rPr>
            </w:pPr>
          </w:p>
        </w:tc>
        <w:tc>
          <w:tcPr>
            <w:tcW w:w="6520" w:type="dxa"/>
            <w:vAlign w:val="bottom"/>
            <w:tcBorders>
              <w:bottom w:val="single" w:sz="8" w:color="B6B6B6"/>
              <w:right w:val="single" w:sz="8" w:color="B6B6B6"/>
            </w:tcBorders>
          </w:tcPr>
          <w:p>
            <w:pPr>
              <w:spacing w:after="0"/>
              <w:rPr>
                <w:sz w:val="2"/>
                <w:szCs w:val="2"/>
                <w:color w:val="auto"/>
              </w:rPr>
            </w:pPr>
          </w:p>
        </w:tc>
        <w:tc>
          <w:tcPr>
            <w:tcW w:w="2920" w:type="dxa"/>
            <w:vAlign w:val="bottom"/>
            <w:tcBorders>
              <w:bottom w:val="single" w:sz="8" w:color="B6B6B6"/>
              <w:right w:val="single" w:sz="8" w:color="B6B6B6"/>
            </w:tcBorders>
          </w:tcPr>
          <w:p>
            <w:pPr>
              <w:spacing w:after="0"/>
              <w:rPr>
                <w:sz w:val="2"/>
                <w:szCs w:val="2"/>
                <w:color w:val="auto"/>
              </w:rPr>
            </w:pPr>
          </w:p>
        </w:tc>
      </w:tr>
    </w:tbl>
    <w:p>
      <w:pPr>
        <w:sectPr>
          <w:pgSz w:w="11900" w:h="16838" w:orient="portrait"/>
          <w:cols w:equalWidth="0" w:num="1">
            <w:col w:w="10139"/>
          </w:cols>
          <w:pgMar w:left="320" w:top="1440" w:right="1440" w:bottom="1440" w:gutter="0" w:footer="0" w:header="0"/>
        </w:sectPr>
      </w:pPr>
    </w:p>
    <w:bookmarkStart w:id="193" w:name="page194"/>
    <w:bookmarkEnd w:id="193"/>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412230" cy="40119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6412230" cy="40119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6520" w:type="dxa"/>
            <w:vAlign w:val="bottom"/>
          </w:tcPr>
          <w:p>
            <w:pPr>
              <w:ind w:left="60"/>
              <w:spacing w:after="0"/>
              <w:rPr>
                <w:sz w:val="20"/>
                <w:szCs w:val="20"/>
                <w:color w:val="auto"/>
              </w:rPr>
            </w:pPr>
            <w:r>
              <w:rPr>
                <w:rFonts w:ascii="Arial" w:cs="Arial" w:eastAsia="Arial" w:hAnsi="Arial"/>
                <w:sz w:val="18"/>
                <w:szCs w:val="18"/>
                <w:color w:val="auto"/>
                <w:w w:val="95"/>
              </w:rPr>
              <w:t>Plus expected cost savings, operating expense reductions, restructuring charges and</w:t>
            </w:r>
          </w:p>
        </w:tc>
        <w:tc>
          <w:tcPr>
            <w:tcW w:w="2900" w:type="dxa"/>
            <w:vAlign w:val="bottom"/>
          </w:tcPr>
          <w:p>
            <w:pPr>
              <w:jc w:val="right"/>
              <w:ind w:right="1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1"/>
              </w:rPr>
              <w:t>expenses and synergies related to Acquisitions, divestitures, Dispositions, restructurings,</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5"/>
              </w:rPr>
              <w:t>cost savings initiatives, operating improvements and other similar initiatives projected</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2"/>
              </w:rPr>
              <w:t>by the Borrowers in good faith to be realized as a result of any Disposition, restructuring</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7"/>
              </w:rPr>
              <w:t>activity, consolidation, integration, operational change, Permitted Acquisition or any</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other investment, in each case within the eighteen month period following the</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2"/>
              </w:rPr>
              <w:t>consummation thereof (or following the consummation of the squeeze-out merger in the</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8"/>
              </w:rPr>
              <w:t>case of an Acquisition structured as a two-step transaction) and such amounts are</w:t>
            </w:r>
          </w:p>
        </w:tc>
        <w:tc>
          <w:tcPr>
            <w:tcW w:w="29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3"/>
              </w:rPr>
              <w:t>reasonably identifiable, reasonably attributable to the actions specified and reasonably</w:t>
            </w:r>
          </w:p>
        </w:tc>
        <w:tc>
          <w:tcPr>
            <w:tcW w:w="29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anticipated to result from such actions</w:t>
            </w:r>
          </w:p>
        </w:tc>
        <w:tc>
          <w:tcPr>
            <w:tcW w:w="2900" w:type="dxa"/>
            <w:vAlign w:val="bottom"/>
          </w:tcPr>
          <w:p>
            <w:pPr>
              <w:spacing w:after="0"/>
              <w:rPr>
                <w:sz w:val="20"/>
                <w:szCs w:val="20"/>
                <w:color w:val="auto"/>
              </w:rPr>
            </w:pPr>
          </w:p>
        </w:tc>
      </w:tr>
      <w:tr>
        <w:trPr>
          <w:trHeight w:val="27"/>
        </w:trPr>
        <w:tc>
          <w:tcPr>
            <w:tcW w:w="680" w:type="dxa"/>
            <w:vAlign w:val="bottom"/>
            <w:tcBorders>
              <w:bottom w:val="single" w:sz="8" w:color="B6B6B6"/>
            </w:tcBorders>
          </w:tcPr>
          <w:p>
            <w:pPr>
              <w:spacing w:after="0"/>
              <w:rPr>
                <w:sz w:val="2"/>
                <w:szCs w:val="2"/>
                <w:color w:val="auto"/>
              </w:rPr>
            </w:pPr>
          </w:p>
        </w:tc>
        <w:tc>
          <w:tcPr>
            <w:tcW w:w="6520" w:type="dxa"/>
            <w:vAlign w:val="bottom"/>
            <w:tcBorders>
              <w:bottom w:val="single" w:sz="8" w:color="B6B6B6"/>
            </w:tcBorders>
          </w:tcPr>
          <w:p>
            <w:pPr>
              <w:spacing w:after="0"/>
              <w:rPr>
                <w:sz w:val="2"/>
                <w:szCs w:val="2"/>
                <w:color w:val="auto"/>
              </w:rPr>
            </w:pPr>
          </w:p>
        </w:tc>
        <w:tc>
          <w:tcPr>
            <w:tcW w:w="2900" w:type="dxa"/>
            <w:vAlign w:val="bottom"/>
            <w:tcBorders>
              <w:bottom w:val="single" w:sz="8" w:color="B6B6B6"/>
            </w:tcBorders>
          </w:tcPr>
          <w:p>
            <w:pPr>
              <w:spacing w:after="0"/>
              <w:rPr>
                <w:sz w:val="2"/>
                <w:szCs w:val="2"/>
                <w:color w:val="auto"/>
              </w:rPr>
            </w:pPr>
          </w:p>
        </w:tc>
      </w:tr>
      <w:tr>
        <w:trPr>
          <w:trHeight w:val="222"/>
        </w:trPr>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6520" w:type="dxa"/>
            <w:vAlign w:val="bottom"/>
          </w:tcPr>
          <w:p>
            <w:pPr>
              <w:ind w:left="60"/>
              <w:spacing w:after="0"/>
              <w:rPr>
                <w:sz w:val="20"/>
                <w:szCs w:val="20"/>
                <w:color w:val="auto"/>
              </w:rPr>
            </w:pPr>
            <w:r>
              <w:rPr>
                <w:rFonts w:ascii="Arial" w:cs="Arial" w:eastAsia="Arial" w:hAnsi="Arial"/>
                <w:sz w:val="18"/>
                <w:szCs w:val="18"/>
                <w:color w:val="auto"/>
                <w:w w:val="89"/>
              </w:rPr>
              <w:t>Plus net non-cash losses (including all fees, expenses and charges related thereto) on the</w:t>
            </w:r>
          </w:p>
        </w:tc>
        <w:tc>
          <w:tcPr>
            <w:tcW w:w="2900" w:type="dxa"/>
            <w:vAlign w:val="bottom"/>
          </w:tcPr>
          <w:p>
            <w:pPr>
              <w:jc w:val="right"/>
              <w:ind w:right="1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30"/>
        </w:trPr>
        <w:tc>
          <w:tcPr>
            <w:tcW w:w="68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retirement or extinguishment of Indebtedness</w:t>
            </w:r>
          </w:p>
        </w:tc>
        <w:tc>
          <w:tcPr>
            <w:tcW w:w="2900" w:type="dxa"/>
            <w:vAlign w:val="bottom"/>
          </w:tcPr>
          <w:p>
            <w:pPr>
              <w:spacing w:after="0"/>
              <w:rPr>
                <w:sz w:val="20"/>
                <w:szCs w:val="20"/>
                <w:color w:val="auto"/>
              </w:rPr>
            </w:pPr>
          </w:p>
        </w:tc>
      </w:tr>
      <w:tr>
        <w:trPr>
          <w:trHeight w:val="27"/>
        </w:trPr>
        <w:tc>
          <w:tcPr>
            <w:tcW w:w="680" w:type="dxa"/>
            <w:vAlign w:val="bottom"/>
            <w:tcBorders>
              <w:bottom w:val="single" w:sz="8" w:color="B6B6B6"/>
            </w:tcBorders>
          </w:tcPr>
          <w:p>
            <w:pPr>
              <w:spacing w:after="0"/>
              <w:rPr>
                <w:sz w:val="2"/>
                <w:szCs w:val="2"/>
                <w:color w:val="auto"/>
              </w:rPr>
            </w:pPr>
          </w:p>
        </w:tc>
        <w:tc>
          <w:tcPr>
            <w:tcW w:w="6520" w:type="dxa"/>
            <w:vAlign w:val="bottom"/>
            <w:tcBorders>
              <w:bottom w:val="single" w:sz="8" w:color="B6B6B6"/>
            </w:tcBorders>
          </w:tcPr>
          <w:p>
            <w:pPr>
              <w:spacing w:after="0"/>
              <w:rPr>
                <w:sz w:val="2"/>
                <w:szCs w:val="2"/>
                <w:color w:val="auto"/>
              </w:rPr>
            </w:pPr>
          </w:p>
        </w:tc>
        <w:tc>
          <w:tcPr>
            <w:tcW w:w="2900" w:type="dxa"/>
            <w:vAlign w:val="bottom"/>
            <w:tcBorders>
              <w:bottom w:val="single" w:sz="8" w:color="B6B6B6"/>
            </w:tcBorders>
          </w:tcPr>
          <w:p>
            <w:pPr>
              <w:spacing w:after="0"/>
              <w:rPr>
                <w:sz w:val="2"/>
                <w:szCs w:val="2"/>
                <w:color w:val="auto"/>
              </w:rPr>
            </w:pPr>
          </w:p>
        </w:tc>
      </w:tr>
      <w:tr>
        <w:trPr>
          <w:trHeight w:val="222"/>
        </w:trPr>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6520" w:type="dxa"/>
            <w:vAlign w:val="bottom"/>
          </w:tcPr>
          <w:p>
            <w:pPr>
              <w:ind w:left="60"/>
              <w:spacing w:after="0"/>
              <w:rPr>
                <w:sz w:val="20"/>
                <w:szCs w:val="20"/>
                <w:color w:val="auto"/>
              </w:rPr>
            </w:pPr>
            <w:r>
              <w:rPr>
                <w:rFonts w:ascii="Arial" w:cs="Arial" w:eastAsia="Arial" w:hAnsi="Arial"/>
                <w:sz w:val="18"/>
                <w:szCs w:val="18"/>
                <w:color w:val="auto"/>
                <w:w w:val="90"/>
              </w:rPr>
              <w:t>Plus fees, expenses and settlement costs expensed during such period that directly arise</w:t>
            </w:r>
          </w:p>
        </w:tc>
        <w:tc>
          <w:tcPr>
            <w:tcW w:w="2900" w:type="dxa"/>
            <w:vAlign w:val="bottom"/>
          </w:tcPr>
          <w:p>
            <w:pPr>
              <w:jc w:val="right"/>
              <w:ind w:right="1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7"/>
              </w:rPr>
              <w:t>out of non-recurring litigation or settlement costs, fees or expenses in an aggregate</w:t>
            </w:r>
          </w:p>
        </w:tc>
        <w:tc>
          <w:tcPr>
            <w:tcW w:w="29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amount not to exceed $3,000,000</w:t>
            </w:r>
          </w:p>
        </w:tc>
        <w:tc>
          <w:tcPr>
            <w:tcW w:w="2900" w:type="dxa"/>
            <w:vAlign w:val="bottom"/>
          </w:tcPr>
          <w:p>
            <w:pPr>
              <w:spacing w:after="0"/>
              <w:rPr>
                <w:sz w:val="20"/>
                <w:szCs w:val="20"/>
                <w:color w:val="auto"/>
              </w:rPr>
            </w:pPr>
          </w:p>
        </w:tc>
      </w:tr>
      <w:tr>
        <w:trPr>
          <w:trHeight w:val="27"/>
        </w:trPr>
        <w:tc>
          <w:tcPr>
            <w:tcW w:w="680" w:type="dxa"/>
            <w:vAlign w:val="bottom"/>
            <w:tcBorders>
              <w:bottom w:val="single" w:sz="8" w:color="B6B6B6"/>
            </w:tcBorders>
          </w:tcPr>
          <w:p>
            <w:pPr>
              <w:spacing w:after="0"/>
              <w:rPr>
                <w:sz w:val="2"/>
                <w:szCs w:val="2"/>
                <w:color w:val="auto"/>
              </w:rPr>
            </w:pPr>
          </w:p>
        </w:tc>
        <w:tc>
          <w:tcPr>
            <w:tcW w:w="6520" w:type="dxa"/>
            <w:vAlign w:val="bottom"/>
            <w:tcBorders>
              <w:bottom w:val="single" w:sz="8" w:color="B6B6B6"/>
            </w:tcBorders>
          </w:tcPr>
          <w:p>
            <w:pPr>
              <w:spacing w:after="0"/>
              <w:rPr>
                <w:sz w:val="2"/>
                <w:szCs w:val="2"/>
                <w:color w:val="auto"/>
              </w:rPr>
            </w:pPr>
          </w:p>
        </w:tc>
        <w:tc>
          <w:tcPr>
            <w:tcW w:w="2900" w:type="dxa"/>
            <w:vAlign w:val="bottom"/>
            <w:tcBorders>
              <w:bottom w:val="single" w:sz="8" w:color="B6B6B6"/>
            </w:tcBorders>
          </w:tcPr>
          <w:p>
            <w:pPr>
              <w:spacing w:after="0"/>
              <w:rPr>
                <w:sz w:val="2"/>
                <w:szCs w:val="2"/>
                <w:color w:val="auto"/>
              </w:rPr>
            </w:pPr>
          </w:p>
        </w:tc>
      </w:tr>
      <w:tr>
        <w:trPr>
          <w:trHeight w:val="222"/>
        </w:trPr>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6520" w:type="dxa"/>
            <w:vAlign w:val="bottom"/>
          </w:tcPr>
          <w:p>
            <w:pPr>
              <w:ind w:left="60"/>
              <w:spacing w:after="0"/>
              <w:rPr>
                <w:sz w:val="20"/>
                <w:szCs w:val="20"/>
                <w:color w:val="auto"/>
              </w:rPr>
            </w:pPr>
            <w:r>
              <w:rPr>
                <w:rFonts w:ascii="Arial" w:cs="Arial" w:eastAsia="Arial" w:hAnsi="Arial"/>
                <w:sz w:val="18"/>
                <w:szCs w:val="18"/>
                <w:color w:val="auto"/>
                <w:w w:val="97"/>
              </w:rPr>
              <w:t>Plus fees, costs, charges and expenses incurred during such period relating to any</w:t>
            </w:r>
          </w:p>
        </w:tc>
        <w:tc>
          <w:tcPr>
            <w:tcW w:w="2900" w:type="dxa"/>
            <w:vAlign w:val="bottom"/>
          </w:tcPr>
          <w:p>
            <w:pPr>
              <w:jc w:val="right"/>
              <w:ind w:right="1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__________</w:t>
            </w:r>
          </w:p>
        </w:tc>
      </w:tr>
      <w:tr>
        <w:trPr>
          <w:trHeight w:val="216"/>
        </w:trPr>
        <w:tc>
          <w:tcPr>
            <w:tcW w:w="680" w:type="dxa"/>
            <w:vAlign w:val="bottom"/>
          </w:tcPr>
          <w:p>
            <w:pPr>
              <w:spacing w:after="0"/>
              <w:rPr>
                <w:sz w:val="18"/>
                <w:szCs w:val="18"/>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w w:val="91"/>
              </w:rPr>
              <w:t>amendment, restatement, waiver, consent or other modification of this Agreement or the</w:t>
            </w:r>
          </w:p>
        </w:tc>
        <w:tc>
          <w:tcPr>
            <w:tcW w:w="2900" w:type="dxa"/>
            <w:vAlign w:val="bottom"/>
          </w:tcPr>
          <w:p>
            <w:pPr>
              <w:spacing w:after="0"/>
              <w:rPr>
                <w:sz w:val="18"/>
                <w:szCs w:val="18"/>
                <w:color w:val="auto"/>
              </w:rPr>
            </w:pPr>
          </w:p>
        </w:tc>
      </w:tr>
      <w:tr>
        <w:trPr>
          <w:trHeight w:val="230"/>
        </w:trPr>
        <w:tc>
          <w:tcPr>
            <w:tcW w:w="680" w:type="dxa"/>
            <w:vAlign w:val="bottom"/>
          </w:tcPr>
          <w:p>
            <w:pPr>
              <w:spacing w:after="0"/>
              <w:rPr>
                <w:sz w:val="20"/>
                <w:szCs w:val="20"/>
                <w:color w:val="auto"/>
              </w:rPr>
            </w:pPr>
          </w:p>
        </w:tc>
        <w:tc>
          <w:tcPr>
            <w:tcW w:w="6520" w:type="dxa"/>
            <w:vAlign w:val="bottom"/>
          </w:tcPr>
          <w:p>
            <w:pPr>
              <w:ind w:left="60"/>
              <w:spacing w:after="0"/>
              <w:rPr>
                <w:sz w:val="20"/>
                <w:szCs w:val="20"/>
                <w:color w:val="auto"/>
              </w:rPr>
            </w:pPr>
            <w:r>
              <w:rPr>
                <w:rFonts w:ascii="Arial" w:cs="Arial" w:eastAsia="Arial" w:hAnsi="Arial"/>
                <w:sz w:val="18"/>
                <w:szCs w:val="18"/>
                <w:color w:val="auto"/>
              </w:rPr>
              <w:t>other Loan Documents, whether or not consummated</w:t>
            </w:r>
          </w:p>
        </w:tc>
        <w:tc>
          <w:tcPr>
            <w:tcW w:w="2900" w:type="dxa"/>
            <w:vAlign w:val="bottom"/>
          </w:tcPr>
          <w:p>
            <w:pPr>
              <w:spacing w:after="0"/>
              <w:rPr>
                <w:sz w:val="20"/>
                <w:szCs w:val="20"/>
                <w:color w:val="auto"/>
              </w:rPr>
            </w:pPr>
          </w:p>
        </w:tc>
      </w:tr>
    </w:tbl>
    <w:p>
      <w:pPr>
        <w:spacing w:after="0" w:line="49" w:lineRule="exact"/>
        <w:rPr>
          <w:sz w:val="20"/>
          <w:szCs w:val="20"/>
          <w:color w:val="auto"/>
        </w:rPr>
      </w:pPr>
    </w:p>
    <w:p>
      <w:pPr>
        <w:ind w:left="740" w:hanging="327"/>
        <w:spacing w:after="0"/>
        <w:tabs>
          <w:tab w:leader="none" w:pos="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Plus non-cash unrealized losses recognized during such period due to “mark-to-market”   $</w:t>
      </w:r>
      <w:r>
        <w:rPr>
          <w:rFonts w:ascii="Arial" w:cs="Arial" w:eastAsia="Arial" w:hAnsi="Arial"/>
          <w:sz w:val="18"/>
          <w:szCs w:val="18"/>
          <w:b w:val="1"/>
          <w:bCs w:val="1"/>
          <w:color w:val="auto"/>
        </w:rPr>
        <w:t>__________</w:t>
      </w:r>
    </w:p>
    <w:p>
      <w:pPr>
        <w:spacing w:after="0" w:line="27"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accounting in respect of Swap Agreements</w:t>
      </w:r>
    </w:p>
    <w:p>
      <w:pPr>
        <w:spacing w:after="0" w:line="58" w:lineRule="exact"/>
        <w:rPr>
          <w:rFonts w:ascii="Arial" w:cs="Arial" w:eastAsia="Arial" w:hAnsi="Arial"/>
          <w:sz w:val="18"/>
          <w:szCs w:val="18"/>
          <w:color w:val="auto"/>
        </w:rPr>
      </w:pPr>
    </w:p>
    <w:p>
      <w:pPr>
        <w:ind w:left="740" w:hanging="327"/>
        <w:spacing w:after="0"/>
        <w:tabs>
          <w:tab w:leader="none" w:pos="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Plus bonuses and other incentive compensation paid to employees or officers of the  $</w:t>
      </w:r>
      <w:r>
        <w:rPr>
          <w:rFonts w:ascii="Arial" w:cs="Arial" w:eastAsia="Arial" w:hAnsi="Arial"/>
          <w:sz w:val="18"/>
          <w:szCs w:val="18"/>
          <w:b w:val="1"/>
          <w:bCs w:val="1"/>
          <w:color w:val="auto"/>
        </w:rPr>
        <w:t>__________</w:t>
      </w:r>
    </w:p>
    <w:p>
      <w:pPr>
        <w:spacing w:after="0" w:line="27" w:lineRule="exact"/>
        <w:rPr>
          <w:rFonts w:ascii="Arial" w:cs="Arial" w:eastAsia="Arial" w:hAnsi="Arial"/>
          <w:sz w:val="18"/>
          <w:szCs w:val="18"/>
          <w:color w:val="auto"/>
        </w:rPr>
      </w:pPr>
    </w:p>
    <w:p>
      <w:pPr>
        <w:jc w:val="both"/>
        <w:ind w:left="740" w:right="3980"/>
        <w:spacing w:after="0" w:line="252" w:lineRule="auto"/>
        <w:rPr>
          <w:rFonts w:ascii="Arial" w:cs="Arial" w:eastAsia="Arial" w:hAnsi="Arial"/>
          <w:sz w:val="18"/>
          <w:szCs w:val="18"/>
          <w:color w:val="auto"/>
        </w:rPr>
      </w:pPr>
      <w:r>
        <w:rPr>
          <w:rFonts w:ascii="Arial" w:cs="Arial" w:eastAsia="Arial" w:hAnsi="Arial"/>
          <w:sz w:val="18"/>
          <w:szCs w:val="18"/>
          <w:color w:val="auto"/>
        </w:rPr>
        <w:t>Company, in connection with an initial public offering of the Company, in an aggregate amount not to exceed $20,000,000, so long as such bonus or other incentive compensation is paid prior to or within ninety (90) days following such initial public offering</w:t>
      </w:r>
      <w:r>
        <w:rPr>
          <w:rFonts w:ascii="Arial" w:cs="Arial" w:eastAsia="Arial" w:hAnsi="Arial"/>
          <w:sz w:val="23"/>
          <w:szCs w:val="23"/>
          <w:color w:val="auto"/>
          <w:vertAlign w:val="superscript"/>
        </w:rPr>
        <w:t>40</w:t>
      </w:r>
    </w:p>
    <w:tbl>
      <w:tblPr>
        <w:tblLayout w:type="fixed"/>
        <w:tblInd w:w="0" w:type="dxa"/>
        <w:tblCellMar>
          <w:top w:w="0" w:type="dxa"/>
          <w:left w:w="0" w:type="dxa"/>
          <w:bottom w:w="0" w:type="dxa"/>
          <w:right w:w="0" w:type="dxa"/>
        </w:tblCellMar>
      </w:tblPr>
      <w:tr>
        <w:trPr>
          <w:trHeight w:val="203"/>
        </w:trPr>
        <w:tc>
          <w:tcPr>
            <w:tcW w:w="6960" w:type="dxa"/>
            <w:vAlign w:val="bottom"/>
          </w:tcPr>
          <w:p>
            <w:pPr>
              <w:jc w:val="right"/>
              <w:ind w:right="227"/>
              <w:spacing w:after="0" w:line="203" w:lineRule="exact"/>
              <w:rPr>
                <w:sz w:val="20"/>
                <w:szCs w:val="20"/>
                <w:color w:val="auto"/>
              </w:rPr>
            </w:pPr>
            <w:r>
              <w:rPr>
                <w:rFonts w:ascii="Arial" w:cs="Arial" w:eastAsia="Arial" w:hAnsi="Arial"/>
                <w:sz w:val="18"/>
                <w:szCs w:val="18"/>
                <w:color w:val="auto"/>
                <w:w w:val="95"/>
              </w:rPr>
              <w:t>21. Minus any cash payments made during such period in respect of non-cash charges</w:t>
            </w:r>
          </w:p>
        </w:tc>
        <w:tc>
          <w:tcPr>
            <w:tcW w:w="3140" w:type="dxa"/>
            <w:vAlign w:val="bottom"/>
          </w:tcPr>
          <w:p>
            <w:pPr>
              <w:jc w:val="right"/>
              <w:ind w:right="175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30"/>
        </w:trPr>
        <w:tc>
          <w:tcPr>
            <w:tcW w:w="6960" w:type="dxa"/>
            <w:vAlign w:val="bottom"/>
          </w:tcPr>
          <w:p>
            <w:pPr>
              <w:jc w:val="right"/>
              <w:ind w:right="2747"/>
              <w:spacing w:after="0"/>
              <w:rPr>
                <w:sz w:val="20"/>
                <w:szCs w:val="20"/>
                <w:color w:val="auto"/>
              </w:rPr>
            </w:pPr>
            <w:r>
              <w:rPr>
                <w:rFonts w:ascii="Arial" w:cs="Arial" w:eastAsia="Arial" w:hAnsi="Arial"/>
                <w:sz w:val="18"/>
                <w:szCs w:val="18"/>
                <w:color w:val="auto"/>
              </w:rPr>
              <w:t>described in clause E(5) taken in a prior period</w:t>
            </w:r>
          </w:p>
        </w:tc>
        <w:tc>
          <w:tcPr>
            <w:tcW w:w="3140" w:type="dxa"/>
            <w:vAlign w:val="bottom"/>
          </w:tcPr>
          <w:p>
            <w:pPr>
              <w:spacing w:after="0"/>
              <w:rPr>
                <w:sz w:val="20"/>
                <w:szCs w:val="20"/>
                <w:color w:val="auto"/>
              </w:rPr>
            </w:pPr>
          </w:p>
        </w:tc>
      </w:tr>
      <w:tr>
        <w:trPr>
          <w:trHeight w:val="27"/>
        </w:trPr>
        <w:tc>
          <w:tcPr>
            <w:tcW w:w="6960" w:type="dxa"/>
            <w:vAlign w:val="bottom"/>
            <w:tcBorders>
              <w:bottom w:val="single" w:sz="8" w:color="B6B6B6"/>
            </w:tcBorders>
          </w:tcPr>
          <w:p>
            <w:pPr>
              <w:spacing w:after="0"/>
              <w:rPr>
                <w:sz w:val="2"/>
                <w:szCs w:val="2"/>
                <w:color w:val="auto"/>
              </w:rPr>
            </w:pPr>
          </w:p>
        </w:tc>
        <w:tc>
          <w:tcPr>
            <w:tcW w:w="3140" w:type="dxa"/>
            <w:vAlign w:val="bottom"/>
            <w:tcBorders>
              <w:bottom w:val="single" w:sz="8" w:color="B6B6B6"/>
            </w:tcBorders>
          </w:tcPr>
          <w:p>
            <w:pPr>
              <w:spacing w:after="0"/>
              <w:rPr>
                <w:sz w:val="2"/>
                <w:szCs w:val="2"/>
                <w:color w:val="auto"/>
              </w:rPr>
            </w:pPr>
          </w:p>
        </w:tc>
      </w:tr>
      <w:tr>
        <w:trPr>
          <w:trHeight w:val="551"/>
        </w:trPr>
        <w:tc>
          <w:tcPr>
            <w:tcW w:w="6960" w:type="dxa"/>
            <w:vAlign w:val="bottom"/>
          </w:tcPr>
          <w:p>
            <w:pPr>
              <w:jc w:val="right"/>
              <w:ind w:right="3787"/>
              <w:spacing w:after="0"/>
              <w:rPr>
                <w:sz w:val="20"/>
                <w:szCs w:val="20"/>
                <w:color w:val="auto"/>
              </w:rPr>
            </w:pPr>
            <w:r>
              <w:rPr>
                <w:rFonts w:ascii="Arial" w:cs="Arial" w:eastAsia="Arial" w:hAnsi="Arial"/>
                <w:sz w:val="20"/>
                <w:szCs w:val="20"/>
                <w:color w:val="auto"/>
                <w:w w:val="88"/>
              </w:rPr>
              <w:t>_______________________________</w:t>
            </w:r>
          </w:p>
        </w:tc>
        <w:tc>
          <w:tcPr>
            <w:tcW w:w="3140" w:type="dxa"/>
            <w:vAlign w:val="bottom"/>
          </w:tcPr>
          <w:p>
            <w:pPr>
              <w:spacing w:after="0"/>
              <w:rPr>
                <w:sz w:val="24"/>
                <w:szCs w:val="24"/>
                <w:color w:val="auto"/>
              </w:rPr>
            </w:pPr>
          </w:p>
        </w:tc>
      </w:tr>
    </w:tbl>
    <w:p>
      <w:pPr>
        <w:ind w:left="160" w:hanging="152"/>
        <w:spacing w:after="0" w:line="235" w:lineRule="auto"/>
        <w:tabs>
          <w:tab w:leader="none" w:pos="160" w:val="left"/>
        </w:tabs>
        <w:numPr>
          <w:ilvl w:val="0"/>
          <w:numId w:val="209"/>
        </w:numPr>
        <w:rPr>
          <w:rFonts w:ascii="Arial" w:cs="Arial" w:eastAsia="Arial" w:hAnsi="Arial"/>
          <w:sz w:val="20"/>
          <w:szCs w:val="20"/>
          <w:color w:val="auto"/>
          <w:vertAlign w:val="superscript"/>
        </w:rPr>
      </w:pPr>
      <w:r>
        <w:rPr>
          <w:rFonts w:ascii="Arial" w:cs="Arial" w:eastAsia="Arial" w:hAnsi="Arial"/>
          <w:sz w:val="16"/>
          <w:szCs w:val="16"/>
          <w:color w:val="auto"/>
        </w:rPr>
        <w:t>the aggregate amount of all adjustments added back pursuant to the foregoing clauses E(9), (10), (12), (15), (18) and (19) shall not exceed the greater of</w:t>
      </w:r>
    </w:p>
    <w:p>
      <w:pPr>
        <w:spacing w:after="0" w:line="2"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17"/>
          <w:szCs w:val="17"/>
          <w:color w:val="auto"/>
        </w:rPr>
        <w:t>(x) $5,000,000 and (y) twenty-five percent (25%) of EBITDA (calculated before giving effect to such adjustments), in any four fiscal quarter period</w:t>
      </w:r>
    </w:p>
    <w:p>
      <w:pPr>
        <w:sectPr>
          <w:pgSz w:w="11900" w:h="16838" w:orient="portrait"/>
          <w:cols w:equalWidth="0" w:num="1">
            <w:col w:w="11100"/>
          </w:cols>
          <w:pgMar w:left="320" w:top="1440" w:right="479" w:bottom="1440" w:gutter="0" w:footer="0" w:header="0"/>
        </w:sectPr>
      </w:pPr>
    </w:p>
    <w:bookmarkStart w:id="194" w:name="page195"/>
    <w:bookmarkEnd w:id="19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429375" cy="13201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6429375" cy="1320165"/>
                    </a:xfrm>
                    <a:prstGeom prst="rect">
                      <a:avLst/>
                    </a:prstGeom>
                    <a:noFill/>
                  </pic:spPr>
                </pic:pic>
              </a:graphicData>
            </a:graphic>
          </wp:anchor>
        </w:drawing>
      </w:r>
    </w:p>
    <w:p>
      <w:pPr>
        <w:ind w:left="680" w:hanging="317"/>
        <w:spacing w:after="0"/>
        <w:tabs>
          <w:tab w:leader="none" w:pos="6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Minus any extraordinary gains and any non-cash items of income for such period, all  $</w:t>
      </w:r>
      <w:r>
        <w:rPr>
          <w:rFonts w:ascii="Arial" w:cs="Arial" w:eastAsia="Arial" w:hAnsi="Arial"/>
          <w:sz w:val="18"/>
          <w:szCs w:val="18"/>
          <w:b w:val="1"/>
          <w:bCs w:val="1"/>
          <w:color w:val="auto"/>
        </w:rPr>
        <w:t>__________</w:t>
      </w:r>
    </w:p>
    <w:p>
      <w:pPr>
        <w:spacing w:after="0" w:line="27" w:lineRule="exact"/>
        <w:rPr>
          <w:rFonts w:ascii="Arial" w:cs="Arial" w:eastAsia="Arial" w:hAnsi="Arial"/>
          <w:sz w:val="18"/>
          <w:szCs w:val="18"/>
          <w:color w:val="auto"/>
        </w:rPr>
      </w:pPr>
    </w:p>
    <w:p>
      <w:pPr>
        <w:ind w:left="680" w:right="3020"/>
        <w:spacing w:after="0" w:line="260" w:lineRule="auto"/>
        <w:rPr>
          <w:rFonts w:ascii="Arial" w:cs="Arial" w:eastAsia="Arial" w:hAnsi="Arial"/>
          <w:sz w:val="18"/>
          <w:szCs w:val="18"/>
          <w:color w:val="auto"/>
        </w:rPr>
      </w:pPr>
      <w:r>
        <w:rPr>
          <w:rFonts w:ascii="Arial" w:cs="Arial" w:eastAsia="Arial" w:hAnsi="Arial"/>
          <w:sz w:val="18"/>
          <w:szCs w:val="18"/>
          <w:color w:val="auto"/>
        </w:rPr>
        <w:t>calculated for the Company and its Subsidiaries on a consolidated basis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9"/>
          </w:tcPr>
          <w:p>
            <w:pPr>
              <w:ind w:left="360"/>
              <w:spacing w:after="0"/>
              <w:rPr>
                <w:sz w:val="20"/>
                <w:szCs w:val="20"/>
                <w:color w:val="auto"/>
              </w:rPr>
            </w:pPr>
            <w:r>
              <w:rPr>
                <w:rFonts w:ascii="Arial" w:cs="Arial" w:eastAsia="Arial" w:hAnsi="Arial"/>
                <w:sz w:val="18"/>
                <w:szCs w:val="18"/>
                <w:color w:val="auto"/>
              </w:rPr>
              <w:t>Total = EBITDA</w:t>
            </w:r>
          </w:p>
        </w:tc>
        <w:tc>
          <w:tcPr>
            <w:tcW w:w="3140" w:type="dxa"/>
            <w:vAlign w:val="bottom"/>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__________</w:t>
            </w:r>
          </w:p>
        </w:tc>
      </w:tr>
      <w:tr>
        <w:trPr>
          <w:trHeight w:val="27"/>
        </w:trPr>
        <w:tc>
          <w:tcPr>
            <w:tcW w:w="130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540" w:type="dxa"/>
            <w:vAlign w:val="bottom"/>
            <w:tcBorders>
              <w:bottom w:val="single" w:sz="8" w:color="B6B6B6"/>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82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3140" w:type="dxa"/>
            <w:vAlign w:val="bottom"/>
            <w:tcBorders>
              <w:bottom w:val="single" w:sz="8" w:color="B6B6B6"/>
            </w:tcBorders>
          </w:tcPr>
          <w:p>
            <w:pPr>
              <w:spacing w:after="0"/>
              <w:rPr>
                <w:sz w:val="2"/>
                <w:szCs w:val="2"/>
                <w:color w:val="auto"/>
              </w:rPr>
            </w:pPr>
          </w:p>
        </w:tc>
      </w:tr>
      <w:tr>
        <w:trPr>
          <w:trHeight w:val="196"/>
        </w:trPr>
        <w:tc>
          <w:tcPr>
            <w:tcW w:w="7000" w:type="dxa"/>
            <w:vAlign w:val="bottom"/>
            <w:gridSpan w:val="9"/>
          </w:tcPr>
          <w:p>
            <w:pPr>
              <w:ind w:left="120"/>
              <w:spacing w:after="0" w:line="196" w:lineRule="exact"/>
              <w:rPr>
                <w:sz w:val="20"/>
                <w:szCs w:val="20"/>
                <w:color w:val="auto"/>
              </w:rPr>
            </w:pPr>
            <w:r>
              <w:rPr>
                <w:rFonts w:ascii="Arial" w:cs="Arial" w:eastAsia="Arial" w:hAnsi="Arial"/>
                <w:sz w:val="18"/>
                <w:szCs w:val="18"/>
                <w:color w:val="auto"/>
                <w:w w:val="94"/>
              </w:rPr>
              <w:t>G) Total Indebtedness (line B) minus Unrestricted Cash (line C) in an amount not to exceed</w:t>
            </w:r>
          </w:p>
        </w:tc>
        <w:tc>
          <w:tcPr>
            <w:tcW w:w="3140" w:type="dxa"/>
            <w:vAlign w:val="bottom"/>
          </w:tcPr>
          <w:p>
            <w:pPr>
              <w:ind w:left="280"/>
              <w:spacing w:after="0" w:line="196" w:lineRule="exact"/>
              <w:rPr>
                <w:sz w:val="20"/>
                <w:szCs w:val="20"/>
                <w:color w:val="auto"/>
              </w:rPr>
            </w:pPr>
            <w:r>
              <w:rPr>
                <w:rFonts w:ascii="Arial" w:cs="Arial" w:eastAsia="Arial" w:hAnsi="Arial"/>
                <w:sz w:val="18"/>
                <w:szCs w:val="18"/>
                <w:color w:val="auto"/>
              </w:rPr>
              <w:t>____ to 1.00</w:t>
            </w:r>
          </w:p>
        </w:tc>
      </w:tr>
      <w:tr>
        <w:trPr>
          <w:trHeight w:val="20"/>
        </w:trPr>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7000" w:type="dxa"/>
            <w:vAlign w:val="bottom"/>
            <w:gridSpan w:val="9"/>
          </w:tcPr>
          <w:p>
            <w:pPr>
              <w:ind w:left="360"/>
              <w:spacing w:after="0" w:line="196" w:lineRule="exact"/>
              <w:rPr>
                <w:sz w:val="20"/>
                <w:szCs w:val="20"/>
                <w:color w:val="auto"/>
              </w:rPr>
            </w:pPr>
            <w:r>
              <w:rPr>
                <w:rFonts w:ascii="Arial" w:cs="Arial" w:eastAsia="Arial" w:hAnsi="Arial"/>
                <w:sz w:val="18"/>
                <w:szCs w:val="18"/>
                <w:color w:val="auto"/>
              </w:rPr>
              <w:t>$15,000,000 minus line D divided by EBITDA (line F) = Total Net Leverage Ratio</w:t>
            </w:r>
          </w:p>
        </w:tc>
        <w:tc>
          <w:tcPr>
            <w:tcW w:w="3140" w:type="dxa"/>
            <w:vAlign w:val="bottom"/>
          </w:tcPr>
          <w:p>
            <w:pPr>
              <w:spacing w:after="0"/>
              <w:rPr>
                <w:sz w:val="17"/>
                <w:szCs w:val="17"/>
                <w:color w:val="auto"/>
              </w:rPr>
            </w:pPr>
          </w:p>
        </w:tc>
      </w:tr>
      <w:tr>
        <w:trPr>
          <w:trHeight w:val="48"/>
        </w:trPr>
        <w:tc>
          <w:tcPr>
            <w:tcW w:w="1300" w:type="dxa"/>
            <w:vAlign w:val="bottom"/>
            <w:tcBorders>
              <w:bottom w:val="single" w:sz="8" w:color="B6B6B6"/>
            </w:tcBorders>
          </w:tcPr>
          <w:p>
            <w:pPr>
              <w:spacing w:after="0"/>
              <w:rPr>
                <w:sz w:val="4"/>
                <w:szCs w:val="4"/>
                <w:color w:val="auto"/>
              </w:rPr>
            </w:pPr>
          </w:p>
        </w:tc>
        <w:tc>
          <w:tcPr>
            <w:tcW w:w="440" w:type="dxa"/>
            <w:vAlign w:val="bottom"/>
            <w:tcBorders>
              <w:top w:val="single" w:sz="8" w:color="auto"/>
              <w:bottom w:val="single" w:sz="8" w:color="B6B6B6"/>
            </w:tcBorders>
          </w:tcPr>
          <w:p>
            <w:pPr>
              <w:spacing w:after="0"/>
              <w:rPr>
                <w:sz w:val="4"/>
                <w:szCs w:val="4"/>
                <w:color w:val="auto"/>
              </w:rPr>
            </w:pPr>
          </w:p>
        </w:tc>
        <w:tc>
          <w:tcPr>
            <w:tcW w:w="540" w:type="dxa"/>
            <w:vAlign w:val="bottom"/>
            <w:tcBorders>
              <w:bottom w:val="single" w:sz="8" w:color="B6B6B6"/>
            </w:tcBorders>
          </w:tcPr>
          <w:p>
            <w:pPr>
              <w:spacing w:after="0"/>
              <w:rPr>
                <w:sz w:val="4"/>
                <w:szCs w:val="4"/>
                <w:color w:val="auto"/>
              </w:rPr>
            </w:pPr>
          </w:p>
        </w:tc>
        <w:tc>
          <w:tcPr>
            <w:tcW w:w="80" w:type="dxa"/>
            <w:vAlign w:val="bottom"/>
            <w:tcBorders>
              <w:top w:val="single" w:sz="8" w:color="auto"/>
              <w:bottom w:val="single" w:sz="8" w:color="B6B6B6"/>
            </w:tcBorders>
          </w:tcPr>
          <w:p>
            <w:pPr>
              <w:spacing w:after="0"/>
              <w:rPr>
                <w:sz w:val="4"/>
                <w:szCs w:val="4"/>
                <w:color w:val="auto"/>
              </w:rPr>
            </w:pPr>
          </w:p>
        </w:tc>
        <w:tc>
          <w:tcPr>
            <w:tcW w:w="440" w:type="dxa"/>
            <w:vAlign w:val="bottom"/>
            <w:tcBorders>
              <w:top w:val="single" w:sz="8" w:color="auto"/>
              <w:bottom w:val="single" w:sz="8" w:color="B6B6B6"/>
            </w:tcBorders>
          </w:tcPr>
          <w:p>
            <w:pPr>
              <w:spacing w:after="0"/>
              <w:rPr>
                <w:sz w:val="4"/>
                <w:szCs w:val="4"/>
                <w:color w:val="auto"/>
              </w:rPr>
            </w:pPr>
          </w:p>
        </w:tc>
        <w:tc>
          <w:tcPr>
            <w:tcW w:w="240" w:type="dxa"/>
            <w:vAlign w:val="bottom"/>
            <w:tcBorders>
              <w:top w:val="single" w:sz="8" w:color="auto"/>
              <w:bottom w:val="single" w:sz="8" w:color="B6B6B6"/>
            </w:tcBorders>
          </w:tcPr>
          <w:p>
            <w:pPr>
              <w:spacing w:after="0"/>
              <w:rPr>
                <w:sz w:val="4"/>
                <w:szCs w:val="4"/>
                <w:color w:val="auto"/>
              </w:rPr>
            </w:pPr>
          </w:p>
        </w:tc>
        <w:tc>
          <w:tcPr>
            <w:tcW w:w="1480" w:type="dxa"/>
            <w:vAlign w:val="bottom"/>
            <w:tcBorders>
              <w:bottom w:val="single" w:sz="8" w:color="B6B6B6"/>
            </w:tcBorders>
          </w:tcPr>
          <w:p>
            <w:pPr>
              <w:spacing w:after="0"/>
              <w:rPr>
                <w:sz w:val="4"/>
                <w:szCs w:val="4"/>
                <w:color w:val="auto"/>
              </w:rPr>
            </w:pPr>
          </w:p>
        </w:tc>
        <w:tc>
          <w:tcPr>
            <w:tcW w:w="1820" w:type="dxa"/>
            <w:vAlign w:val="bottom"/>
            <w:tcBorders>
              <w:top w:val="single" w:sz="8" w:color="auto"/>
              <w:bottom w:val="single" w:sz="8" w:color="B6B6B6"/>
            </w:tcBorders>
          </w:tcPr>
          <w:p>
            <w:pPr>
              <w:spacing w:after="0"/>
              <w:rPr>
                <w:sz w:val="4"/>
                <w:szCs w:val="4"/>
                <w:color w:val="auto"/>
              </w:rPr>
            </w:pPr>
          </w:p>
        </w:tc>
        <w:tc>
          <w:tcPr>
            <w:tcW w:w="660" w:type="dxa"/>
            <w:vAlign w:val="bottom"/>
            <w:tcBorders>
              <w:bottom w:val="single" w:sz="8" w:color="B6B6B6"/>
            </w:tcBorders>
          </w:tcPr>
          <w:p>
            <w:pPr>
              <w:spacing w:after="0"/>
              <w:rPr>
                <w:sz w:val="4"/>
                <w:szCs w:val="4"/>
                <w:color w:val="auto"/>
              </w:rPr>
            </w:pPr>
          </w:p>
        </w:tc>
        <w:tc>
          <w:tcPr>
            <w:tcW w:w="3140" w:type="dxa"/>
            <w:vAlign w:val="bottom"/>
            <w:tcBorders>
              <w:bottom w:val="single" w:sz="8" w:color="B6B6B6"/>
            </w:tcBorders>
          </w:tcPr>
          <w:p>
            <w:pPr>
              <w:spacing w:after="0"/>
              <w:rPr>
                <w:sz w:val="4"/>
                <w:szCs w:val="4"/>
                <w:color w:val="auto"/>
              </w:rPr>
            </w:pPr>
          </w:p>
        </w:tc>
      </w:tr>
      <w:tr>
        <w:trPr>
          <w:trHeight w:val="237"/>
        </w:trPr>
        <w:tc>
          <w:tcPr>
            <w:tcW w:w="7000" w:type="dxa"/>
            <w:vAlign w:val="bottom"/>
            <w:gridSpan w:val="9"/>
          </w:tcPr>
          <w:p>
            <w:pPr>
              <w:ind w:left="120"/>
              <w:spacing w:after="0"/>
              <w:rPr>
                <w:sz w:val="20"/>
                <w:szCs w:val="20"/>
                <w:color w:val="auto"/>
              </w:rPr>
            </w:pPr>
            <w:r>
              <w:rPr>
                <w:rFonts w:ascii="Arial" w:cs="Arial" w:eastAsia="Arial" w:hAnsi="Arial"/>
                <w:sz w:val="18"/>
                <w:szCs w:val="18"/>
                <w:color w:val="auto"/>
              </w:rPr>
              <w:t>H) Maximum Total Net Leverage Ratio</w:t>
            </w:r>
          </w:p>
        </w:tc>
        <w:tc>
          <w:tcPr>
            <w:tcW w:w="3140" w:type="dxa"/>
            <w:vAlign w:val="bottom"/>
          </w:tcPr>
          <w:p>
            <w:pPr>
              <w:ind w:left="280"/>
              <w:spacing w:after="0"/>
              <w:rPr>
                <w:sz w:val="20"/>
                <w:szCs w:val="20"/>
                <w:color w:val="auto"/>
              </w:rPr>
            </w:pPr>
            <w:r>
              <w:rPr>
                <w:rFonts w:ascii="Arial" w:cs="Arial" w:eastAsia="Arial" w:hAnsi="Arial"/>
                <w:sz w:val="18"/>
                <w:szCs w:val="18"/>
                <w:color w:val="auto"/>
              </w:rPr>
              <w:t>3.50 to 1.00</w:t>
            </w:r>
          </w:p>
        </w:tc>
      </w:tr>
      <w:tr>
        <w:trPr>
          <w:trHeight w:val="27"/>
        </w:trPr>
        <w:tc>
          <w:tcPr>
            <w:tcW w:w="130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540" w:type="dxa"/>
            <w:vAlign w:val="bottom"/>
            <w:tcBorders>
              <w:bottom w:val="single" w:sz="8" w:color="B6B6B6"/>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440" w:type="dxa"/>
            <w:vAlign w:val="bottom"/>
            <w:tcBorders>
              <w:bottom w:val="single" w:sz="8" w:color="B6B6B6"/>
            </w:tcBorders>
          </w:tcPr>
          <w:p>
            <w:pPr>
              <w:spacing w:after="0"/>
              <w:rPr>
                <w:sz w:val="2"/>
                <w:szCs w:val="2"/>
                <w:color w:val="auto"/>
              </w:rPr>
            </w:pPr>
          </w:p>
        </w:tc>
        <w:tc>
          <w:tcPr>
            <w:tcW w:w="240" w:type="dxa"/>
            <w:vAlign w:val="bottom"/>
            <w:tcBorders>
              <w:bottom w:val="single" w:sz="8" w:color="B6B6B6"/>
            </w:tcBorders>
          </w:tcPr>
          <w:p>
            <w:pPr>
              <w:spacing w:after="0"/>
              <w:rPr>
                <w:sz w:val="2"/>
                <w:szCs w:val="2"/>
                <w:color w:val="auto"/>
              </w:rPr>
            </w:pPr>
          </w:p>
        </w:tc>
        <w:tc>
          <w:tcPr>
            <w:tcW w:w="1480" w:type="dxa"/>
            <w:vAlign w:val="bottom"/>
            <w:tcBorders>
              <w:bottom w:val="single" w:sz="8" w:color="B6B6B6"/>
            </w:tcBorders>
          </w:tcPr>
          <w:p>
            <w:pPr>
              <w:spacing w:after="0"/>
              <w:rPr>
                <w:sz w:val="2"/>
                <w:szCs w:val="2"/>
                <w:color w:val="auto"/>
              </w:rPr>
            </w:pPr>
          </w:p>
        </w:tc>
        <w:tc>
          <w:tcPr>
            <w:tcW w:w="1820" w:type="dxa"/>
            <w:vAlign w:val="bottom"/>
            <w:tcBorders>
              <w:bottom w:val="single" w:sz="8" w:color="B6B6B6"/>
            </w:tcBorders>
          </w:tcPr>
          <w:p>
            <w:pPr>
              <w:spacing w:after="0"/>
              <w:rPr>
                <w:sz w:val="2"/>
                <w:szCs w:val="2"/>
                <w:color w:val="auto"/>
              </w:rPr>
            </w:pPr>
          </w:p>
        </w:tc>
        <w:tc>
          <w:tcPr>
            <w:tcW w:w="660" w:type="dxa"/>
            <w:vAlign w:val="bottom"/>
            <w:tcBorders>
              <w:bottom w:val="single" w:sz="8" w:color="B6B6B6"/>
            </w:tcBorders>
          </w:tcPr>
          <w:p>
            <w:pPr>
              <w:spacing w:after="0"/>
              <w:rPr>
                <w:sz w:val="2"/>
                <w:szCs w:val="2"/>
                <w:color w:val="auto"/>
              </w:rPr>
            </w:pPr>
          </w:p>
        </w:tc>
        <w:tc>
          <w:tcPr>
            <w:tcW w:w="3140" w:type="dxa"/>
            <w:vAlign w:val="bottom"/>
            <w:tcBorders>
              <w:bottom w:val="single" w:sz="8" w:color="B6B6B6"/>
            </w:tcBorders>
          </w:tcPr>
          <w:p>
            <w:pPr>
              <w:spacing w:after="0"/>
              <w:rPr>
                <w:sz w:val="2"/>
                <w:szCs w:val="2"/>
                <w:color w:val="auto"/>
              </w:rPr>
            </w:pPr>
          </w:p>
        </w:tc>
      </w:tr>
      <w:tr>
        <w:trPr>
          <w:trHeight w:val="237"/>
        </w:trPr>
        <w:tc>
          <w:tcPr>
            <w:tcW w:w="7000" w:type="dxa"/>
            <w:vAlign w:val="bottom"/>
            <w:gridSpan w:val="9"/>
          </w:tcPr>
          <w:p>
            <w:pPr>
              <w:ind w:left="120"/>
              <w:spacing w:after="0"/>
              <w:rPr>
                <w:sz w:val="20"/>
                <w:szCs w:val="20"/>
                <w:color w:val="auto"/>
              </w:rPr>
            </w:pPr>
            <w:r>
              <w:rPr>
                <w:rFonts w:ascii="Arial" w:cs="Arial" w:eastAsia="Arial" w:hAnsi="Arial"/>
                <w:sz w:val="18"/>
                <w:szCs w:val="18"/>
                <w:color w:val="auto"/>
              </w:rPr>
              <w:t>I). In compliance?</w:t>
            </w:r>
          </w:p>
        </w:tc>
        <w:tc>
          <w:tcPr>
            <w:tcW w:w="3140" w:type="dxa"/>
            <w:vAlign w:val="bottom"/>
          </w:tcPr>
          <w:p>
            <w:pPr>
              <w:ind w:left="280"/>
              <w:spacing w:after="0"/>
              <w:rPr>
                <w:sz w:val="20"/>
                <w:szCs w:val="20"/>
                <w:color w:val="auto"/>
              </w:rPr>
            </w:pPr>
            <w:r>
              <w:rPr>
                <w:rFonts w:ascii="Arial" w:cs="Arial" w:eastAsia="Arial" w:hAnsi="Arial"/>
                <w:sz w:val="18"/>
                <w:szCs w:val="18"/>
                <w:color w:val="auto"/>
              </w:rPr>
              <w:t>Yes / No</w:t>
            </w:r>
          </w:p>
        </w:tc>
      </w:tr>
    </w:tbl>
    <w:p>
      <w:pPr>
        <w:sectPr>
          <w:pgSz w:w="11900" w:h="16838" w:orient="portrait"/>
          <w:cols w:equalWidth="0" w:num="1">
            <w:col w:w="10140"/>
          </w:cols>
          <w:pgMar w:left="320" w:top="1440" w:right="14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20"/>
          <w:szCs w:val="20"/>
          <w:b w:val="1"/>
          <w:bCs w:val="1"/>
          <w:color w:val="auto"/>
        </w:rPr>
        <w:t>EXHIBIT F</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JOINDER AGREEMENT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THIS JOINDER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[__________ __, ______], is entered into between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 a _________________ (the “</w:t>
      </w:r>
      <w:r>
        <w:rPr>
          <w:rFonts w:ascii="Arial" w:cs="Arial" w:eastAsia="Arial" w:hAnsi="Arial"/>
          <w:sz w:val="19"/>
          <w:szCs w:val="19"/>
          <w:u w:val="single" w:color="auto"/>
          <w:color w:val="auto"/>
        </w:rPr>
        <w:t>New Subsidiary</w:t>
      </w:r>
      <w:r>
        <w:rPr>
          <w:rFonts w:ascii="Arial" w:cs="Arial" w:eastAsia="Arial" w:hAnsi="Arial"/>
          <w:sz w:val="19"/>
          <w:szCs w:val="19"/>
          <w:color w:val="auto"/>
        </w:rPr>
        <w:t>”) and JPMORGAN CHASE BANK, N.A., in its</w:t>
      </w:r>
    </w:p>
    <w:p>
      <w:pPr>
        <w:spacing w:after="0" w:line="11" w:lineRule="exact"/>
        <w:rPr>
          <w:sz w:val="20"/>
          <w:szCs w:val="20"/>
          <w:color w:val="auto"/>
        </w:rPr>
      </w:pPr>
    </w:p>
    <w:p>
      <w:pPr>
        <w:ind w:right="60"/>
        <w:spacing w:after="0"/>
        <w:rPr>
          <w:sz w:val="20"/>
          <w:szCs w:val="20"/>
          <w:color w:val="auto"/>
        </w:rPr>
      </w:pPr>
      <w:r>
        <w:rPr>
          <w:rFonts w:ascii="Arial" w:cs="Arial" w:eastAsia="Arial" w:hAnsi="Arial"/>
          <w:sz w:val="20"/>
          <w:szCs w:val="20"/>
          <w:color w:val="auto"/>
        </w:rPr>
        <w:t>capacity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under that certain Credit Agreement dated as of April 30, 2021 (as the same may be amended, modified, extended or restated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THE HONEST COMPANY, INC., a Delaware corporation, as a Borrower, each other Borrower party thereto (the “</w:t>
      </w:r>
      <w:r>
        <w:rPr>
          <w:rFonts w:ascii="Arial" w:cs="Arial" w:eastAsia="Arial" w:hAnsi="Arial"/>
          <w:sz w:val="20"/>
          <w:szCs w:val="20"/>
          <w:u w:val="single" w:color="auto"/>
          <w:color w:val="auto"/>
        </w:rPr>
        <w:t>Borrowers</w:t>
      </w:r>
      <w:r>
        <w:rPr>
          <w:rFonts w:ascii="Arial" w:cs="Arial" w:eastAsia="Arial" w:hAnsi="Arial"/>
          <w:sz w:val="20"/>
          <w:szCs w:val="20"/>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The New Subsidiary and the Administrative Agent, for the benefit of the Secured Parties, hereby agree as follows:</w:t>
      </w:r>
    </w:p>
    <w:p>
      <w:pPr>
        <w:spacing w:after="0" w:line="243" w:lineRule="exact"/>
        <w:rPr>
          <w:sz w:val="20"/>
          <w:szCs w:val="20"/>
          <w:color w:val="auto"/>
        </w:rPr>
      </w:pPr>
    </w:p>
    <w:p>
      <w:pPr>
        <w:ind w:right="160" w:firstLine="206"/>
        <w:spacing w:after="0" w:line="303" w:lineRule="auto"/>
        <w:tabs>
          <w:tab w:leader="none" w:pos="54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 xml:space="preserve">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the Credit Agreement,</w:t>
      </w:r>
    </w:p>
    <w:p>
      <w:pPr>
        <w:spacing w:after="0" w:line="2" w:lineRule="exact"/>
        <w:rPr>
          <w:rFonts w:ascii="Arial" w:cs="Arial" w:eastAsia="Arial" w:hAnsi="Arial"/>
          <w:sz w:val="16"/>
          <w:szCs w:val="16"/>
          <w:color w:val="auto"/>
        </w:rPr>
      </w:pPr>
    </w:p>
    <w:p>
      <w:pPr>
        <w:ind w:firstLine="8"/>
        <w:spacing w:after="0" w:line="253" w:lineRule="auto"/>
        <w:tabs>
          <w:tab w:leader="none" w:pos="28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all of the covenants set forth in </w:t>
      </w:r>
      <w:r>
        <w:rPr>
          <w:rFonts w:ascii="Arial" w:cs="Arial" w:eastAsia="Arial" w:hAnsi="Arial"/>
          <w:sz w:val="19"/>
          <w:szCs w:val="19"/>
          <w:u w:val="single" w:color="auto"/>
          <w:color w:val="auto"/>
        </w:rPr>
        <w:t>Articles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of the Credit Agreement and (c) all of the guaranty obligations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of the Credit Agreement. Without limiting the generality of the foregoing terms of this paragraph 1, the New Subsidiary, subject to the limitations set forth in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10.13</w:t>
      </w:r>
      <w:r>
        <w:rPr>
          <w:rFonts w:ascii="Arial" w:cs="Arial" w:eastAsia="Arial" w:hAnsi="Arial"/>
          <w:sz w:val="19"/>
          <w:szCs w:val="19"/>
          <w:color w:val="auto"/>
        </w:rPr>
        <w:t xml:space="preserve"> of the Credit Agreement, hereby guarantees, jointly and severally with the other Loan Guarantors, to the Administrative Agent and the Lenders, as provided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217" w:lineRule="exact"/>
        <w:rPr>
          <w:rFonts w:ascii="Arial" w:cs="Arial" w:eastAsia="Arial" w:hAnsi="Arial"/>
          <w:sz w:val="19"/>
          <w:szCs w:val="19"/>
          <w:color w:val="auto"/>
        </w:rPr>
      </w:pPr>
    </w:p>
    <w:p>
      <w:pPr>
        <w:ind w:right="80" w:firstLine="206"/>
        <w:spacing w:after="0" w:line="385" w:lineRule="auto"/>
        <w:tabs>
          <w:tab w:leader="none" w:pos="544"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11" w:lineRule="exact"/>
        <w:rPr>
          <w:rFonts w:ascii="Arial" w:cs="Arial" w:eastAsia="Arial" w:hAnsi="Arial"/>
          <w:sz w:val="16"/>
          <w:szCs w:val="16"/>
          <w:color w:val="auto"/>
        </w:rPr>
      </w:pPr>
    </w:p>
    <w:p>
      <w:pPr>
        <w:ind w:left="540" w:hanging="334"/>
        <w:spacing w:after="0"/>
        <w:tabs>
          <w:tab w:leader="none" w:pos="540" w:val="left"/>
        </w:tabs>
        <w:numPr>
          <w:ilvl w:val="1"/>
          <w:numId w:val="212"/>
        </w:numPr>
        <w:rPr>
          <w:rFonts w:ascii="Arial" w:cs="Arial" w:eastAsia="Arial" w:hAnsi="Arial"/>
          <w:sz w:val="20"/>
          <w:szCs w:val="20"/>
          <w:color w:val="auto"/>
        </w:rPr>
      </w:pPr>
      <w:r>
        <w:rPr>
          <w:rFonts w:ascii="Arial" w:cs="Arial" w:eastAsia="Arial" w:hAnsi="Arial"/>
          <w:sz w:val="20"/>
          <w:szCs w:val="20"/>
          <w:color w:val="auto"/>
        </w:rPr>
        <w:t xml:space="preserve">The address of the New Subsidiary for purposes of </w:t>
      </w:r>
      <w:r>
        <w:rPr>
          <w:rFonts w:ascii="Arial" w:cs="Arial" w:eastAsia="Arial" w:hAnsi="Arial"/>
          <w:sz w:val="20"/>
          <w:szCs w:val="20"/>
          <w:u w:val="single" w:color="auto"/>
          <w:color w:val="auto"/>
        </w:rPr>
        <w:t>Section 9.01</w:t>
      </w:r>
      <w:r>
        <w:rPr>
          <w:rFonts w:ascii="Arial" w:cs="Arial" w:eastAsia="Arial" w:hAnsi="Arial"/>
          <w:sz w:val="20"/>
          <w:szCs w:val="20"/>
          <w:color w:val="auto"/>
        </w:rPr>
        <w:t xml:space="preserve">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130175</wp:posOffset>
            </wp:positionV>
            <wp:extent cx="753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5374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276225</wp:posOffset>
            </wp:positionV>
            <wp:extent cx="753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53745" cy="8890"/>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421640</wp:posOffset>
            </wp:positionV>
            <wp:extent cx="753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96" w:name="page197"/>
    <w:bookmarkEnd w:id="196"/>
    <w:p>
      <w:pPr>
        <w:ind w:right="40" w:firstLine="206"/>
        <w:spacing w:after="0" w:line="260" w:lineRule="auto"/>
        <w:tabs>
          <w:tab w:leader="none" w:pos="54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Lenders of the guaranty by the New Subsidiary upon the execution of this Agreement by the New Subsidiary.</w:t>
      </w:r>
    </w:p>
    <w:p>
      <w:pPr>
        <w:spacing w:after="0" w:line="203" w:lineRule="exact"/>
        <w:rPr>
          <w:rFonts w:ascii="Arial" w:cs="Arial" w:eastAsia="Arial" w:hAnsi="Arial"/>
          <w:sz w:val="20"/>
          <w:szCs w:val="20"/>
          <w:color w:val="auto"/>
        </w:rPr>
      </w:pPr>
    </w:p>
    <w:p>
      <w:pPr>
        <w:ind w:firstLine="206"/>
        <w:spacing w:after="0" w:line="260" w:lineRule="auto"/>
        <w:tabs>
          <w:tab w:leader="none" w:pos="541"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when so executed and delivered shall be an original, but all of which together shall constitute one and the same instrument.</w:t>
      </w:r>
    </w:p>
    <w:p>
      <w:pPr>
        <w:spacing w:after="0" w:line="203" w:lineRule="exact"/>
        <w:rPr>
          <w:rFonts w:ascii="Arial" w:cs="Arial" w:eastAsia="Arial" w:hAnsi="Arial"/>
          <w:sz w:val="20"/>
          <w:szCs w:val="20"/>
          <w:color w:val="auto"/>
        </w:rPr>
      </w:pPr>
    </w:p>
    <w:p>
      <w:pPr>
        <w:ind w:right="20" w:firstLine="206"/>
        <w:spacing w:after="0" w:line="287" w:lineRule="auto"/>
        <w:tabs>
          <w:tab w:leader="none" w:pos="541"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HEREUNDER SHALL BE GOVERNED BY AND CONSTRUED AND INTERPRETED IN ACCORDANCE WITH THE LAWS OF THE STATE OF NEW YORK.</w:t>
      </w:r>
    </w:p>
    <w:p>
      <w:pPr>
        <w:spacing w:after="0" w:line="179" w:lineRule="exact"/>
        <w:rPr>
          <w:sz w:val="20"/>
          <w:szCs w:val="20"/>
          <w:color w:val="auto"/>
        </w:rPr>
      </w:pPr>
    </w:p>
    <w:p>
      <w:pPr>
        <w:ind w:right="60" w:firstLine="198"/>
        <w:spacing w:after="0" w:line="250" w:lineRule="auto"/>
        <w:rPr>
          <w:sz w:val="20"/>
          <w:szCs w:val="20"/>
          <w:color w:val="auto"/>
        </w:rPr>
      </w:pPr>
      <w:r>
        <w:rPr>
          <w:rFonts w:ascii="Arial" w:cs="Arial" w:eastAsia="Arial" w:hAnsi="Arial"/>
          <w:sz w:val="20"/>
          <w:szCs w:val="20"/>
          <w:color w:val="auto"/>
        </w:rPr>
        <w:t>IN WITNESS WHEREOF, the New Subsidiary has caused this Agreement to be duly executed by its authorized officer, and the Administrative Agent, for the benefit of the Secured Parties, has caused the same to be accepted by its authorized officer, as of the day and year first above written.</w:t>
      </w:r>
    </w:p>
    <w:p>
      <w:pPr>
        <w:spacing w:after="0" w:line="2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[NEW SUBSIDIARY]</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-14605</wp:posOffset>
            </wp:positionV>
            <wp:extent cx="753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-24765</wp:posOffset>
            </wp:positionV>
            <wp:extent cx="753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-24765</wp:posOffset>
            </wp:positionV>
            <wp:extent cx="7537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7"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Acknowledged and accepted:</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JPMORGAN CHASE BANK, N.A., as Administrative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Agent</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940435</wp:posOffset>
            </wp:positionH>
            <wp:positionV relativeFrom="paragraph">
              <wp:posOffset>-14605</wp:posOffset>
            </wp:positionV>
            <wp:extent cx="7537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-24765</wp:posOffset>
            </wp:positionV>
            <wp:extent cx="753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ind w:left="12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-24765</wp:posOffset>
            </wp:positionV>
            <wp:extent cx="753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ectPr>
          <w:pgSz w:w="11900" w:h="16838" w:orient="portrait"/>
          <w:cols w:equalWidth="0" w:num="1">
            <w:col w:w="11040"/>
          </w:cols>
          <w:pgMar w:left="320" w:top="1419" w:right="539" w:bottom="1440" w:gutter="0" w:footer="0" w:header="0"/>
        </w:sectPr>
      </w:pPr>
    </w:p>
    <w:bookmarkStart w:id="197" w:name="page198"/>
    <w:bookmarkEnd w:id="197"/>
    <w:p>
      <w:pPr>
        <w:ind w:left="946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Nikolaos Vlahos, certify that:</w:t>
      </w:r>
    </w:p>
    <w:p>
      <w:pPr>
        <w:spacing w:after="0" w:line="252" w:lineRule="exact"/>
        <w:rPr>
          <w:sz w:val="20"/>
          <w:szCs w:val="20"/>
          <w:color w:val="auto"/>
        </w:rPr>
      </w:pPr>
    </w:p>
    <w:p>
      <w:pPr>
        <w:ind w:left="560" w:hanging="545"/>
        <w:spacing w:after="0"/>
        <w:tabs>
          <w:tab w:leader="none" w:pos="5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left="560" w:hanging="545"/>
        <w:spacing w:after="0" w:line="263" w:lineRule="auto"/>
        <w:tabs>
          <w:tab w:leader="none" w:pos="5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ind w:left="560" w:right="20" w:hanging="545"/>
        <w:spacing w:after="0" w:line="357" w:lineRule="auto"/>
        <w:tabs>
          <w:tab w:leader="none" w:pos="54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560" w:right="180" w:hanging="545"/>
        <w:spacing w:after="0" w:line="293" w:lineRule="auto"/>
        <w:tabs>
          <w:tab w:leader="none" w:pos="549"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auto"/>
        </w:rPr>
      </w:pPr>
    </w:p>
    <w:p>
      <w:pPr>
        <w:ind w:left="1100" w:right="160" w:hanging="539"/>
        <w:spacing w:after="0" w:line="263" w:lineRule="auto"/>
        <w:tabs>
          <w:tab w:leader="none" w:pos="1093"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00" w:hanging="539"/>
        <w:spacing w:after="0"/>
        <w:tabs>
          <w:tab w:leader="none" w:pos="11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ind w:left="1100" w:right="120" w:hanging="539"/>
        <w:spacing w:after="0" w:line="447" w:lineRule="auto"/>
        <w:tabs>
          <w:tab w:leader="none" w:pos="109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6"/>
          <w:szCs w:val="16"/>
          <w:color w:val="auto"/>
        </w:rPr>
      </w:pPr>
    </w:p>
    <w:p>
      <w:pPr>
        <w:ind w:left="1100" w:right="260" w:hanging="539"/>
        <w:spacing w:after="0" w:line="263" w:lineRule="auto"/>
        <w:tabs>
          <w:tab w:leader="none" w:pos="108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rFonts w:ascii="Arial" w:cs="Arial" w:eastAsia="Arial" w:hAnsi="Arial"/>
          <w:sz w:val="18"/>
          <w:szCs w:val="18"/>
          <w:color w:val="auto"/>
        </w:rPr>
      </w:pPr>
    </w:p>
    <w:p>
      <w:pPr>
        <w:ind w:left="560" w:right="200" w:hanging="545"/>
        <w:spacing w:after="0" w:line="447" w:lineRule="auto"/>
        <w:tabs>
          <w:tab w:leader="none" w:pos="54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Arial" w:cs="Arial" w:eastAsia="Arial" w:hAnsi="Arial"/>
          <w:sz w:val="16"/>
          <w:szCs w:val="16"/>
          <w:color w:val="auto"/>
        </w:rPr>
      </w:pPr>
    </w:p>
    <w:p>
      <w:pPr>
        <w:ind w:left="1100" w:right="500" w:hanging="539"/>
        <w:spacing w:after="0" w:line="447" w:lineRule="auto"/>
        <w:tabs>
          <w:tab w:leader="none" w:pos="1093"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100" w:right="200" w:hanging="539"/>
        <w:spacing w:after="0" w:line="293" w:lineRule="auto"/>
        <w:tabs>
          <w:tab w:leader="none" w:pos="1089"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80" w:val="left"/>
          <w:tab w:leader="none" w:pos="618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6"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080"/>
          </w:cols>
          <w:pgMar w:left="320" w:top="1417" w:right="4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Kelly J. Kennedy, certify that:</w:t>
      </w:r>
    </w:p>
    <w:p>
      <w:pPr>
        <w:spacing w:after="0" w:line="224" w:lineRule="exact"/>
        <w:rPr>
          <w:sz w:val="20"/>
          <w:szCs w:val="20"/>
          <w:color w:val="auto"/>
        </w:rPr>
      </w:pPr>
    </w:p>
    <w:p>
      <w:pPr>
        <w:ind w:left="1300" w:hanging="656"/>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Honest Company, Inc.;</w:t>
      </w:r>
    </w:p>
    <w:p>
      <w:pPr>
        <w:spacing w:after="0" w:line="252" w:lineRule="exact"/>
        <w:rPr>
          <w:rFonts w:ascii="Arial" w:cs="Arial" w:eastAsia="Arial" w:hAnsi="Arial"/>
          <w:sz w:val="18"/>
          <w:szCs w:val="18"/>
          <w:color w:val="auto"/>
        </w:rPr>
      </w:pPr>
    </w:p>
    <w:p>
      <w:pPr>
        <w:jc w:val="both"/>
        <w:ind w:firstLine="644"/>
        <w:spacing w:after="0" w:line="263" w:lineRule="auto"/>
        <w:tabs>
          <w:tab w:leader="none" w:pos="12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7" w:lineRule="exact"/>
        <w:rPr>
          <w:rFonts w:ascii="Arial" w:cs="Arial" w:eastAsia="Arial" w:hAnsi="Arial"/>
          <w:sz w:val="18"/>
          <w:szCs w:val="18"/>
          <w:color w:val="auto"/>
        </w:rPr>
      </w:pPr>
    </w:p>
    <w:p>
      <w:pPr>
        <w:jc w:val="both"/>
        <w:ind w:right="220" w:firstLine="644"/>
        <w:spacing w:after="0" w:line="310" w:lineRule="auto"/>
        <w:tabs>
          <w:tab w:leader="none" w:pos="12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560" w:firstLine="644"/>
        <w:spacing w:after="0" w:line="293" w:lineRule="auto"/>
        <w:tabs>
          <w:tab w:leader="none" w:pos="129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sz w:val="20"/>
          <w:szCs w:val="20"/>
          <w:color w:val="auto"/>
        </w:rPr>
      </w:pPr>
    </w:p>
    <w:p>
      <w:pPr>
        <w:jc w:val="both"/>
        <w:ind w:right="160" w:firstLine="644"/>
        <w:spacing w:after="0" w:line="286" w:lineRule="auto"/>
        <w:tabs>
          <w:tab w:leader="none" w:pos="129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280" w:hanging="636"/>
        <w:spacing w:after="0"/>
        <w:tabs>
          <w:tab w:leader="none" w:pos="12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[Omitted];</w:t>
      </w:r>
    </w:p>
    <w:p>
      <w:pPr>
        <w:spacing w:after="0" w:line="292" w:lineRule="exact"/>
        <w:rPr>
          <w:rFonts w:ascii="Arial" w:cs="Arial" w:eastAsia="Arial" w:hAnsi="Arial"/>
          <w:sz w:val="18"/>
          <w:szCs w:val="18"/>
          <w:color w:val="auto"/>
        </w:rPr>
      </w:pPr>
    </w:p>
    <w:p>
      <w:pPr>
        <w:jc w:val="both"/>
        <w:ind w:firstLine="644"/>
        <w:spacing w:after="0" w:line="357" w:lineRule="auto"/>
        <w:tabs>
          <w:tab w:leader="none" w:pos="129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ind w:right="280" w:firstLine="644"/>
        <w:spacing w:after="0" w:line="263" w:lineRule="auto"/>
        <w:tabs>
          <w:tab w:leader="none" w:pos="129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1" w:lineRule="exact"/>
        <w:rPr>
          <w:sz w:val="20"/>
          <w:szCs w:val="20"/>
          <w:color w:val="auto"/>
        </w:rPr>
      </w:pPr>
    </w:p>
    <w:p>
      <w:pPr>
        <w:ind w:right="80" w:firstLine="644"/>
        <w:spacing w:after="0" w:line="357" w:lineRule="auto"/>
        <w:tabs>
          <w:tab w:leader="none" w:pos="129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sz w:val="20"/>
          <w:szCs w:val="20"/>
          <w:color w:val="auto"/>
        </w:rPr>
      </w:pPr>
    </w:p>
    <w:p>
      <w:pPr>
        <w:ind w:right="240" w:firstLine="644"/>
        <w:spacing w:after="0" w:line="447" w:lineRule="auto"/>
        <w:tabs>
          <w:tab w:leader="none" w:pos="129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right="620" w:firstLine="644"/>
        <w:spacing w:after="0" w:line="293"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4080" w:val="left"/>
          <w:tab w:leader="none" w:pos="512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14605</wp:posOffset>
            </wp:positionV>
            <wp:extent cx="39344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Kelly J. Kennedy</w:t>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Chief Financial Officer</w:t>
      </w:r>
    </w:p>
    <w:p>
      <w:pPr>
        <w:spacing w:after="0" w:line="20"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 and Accounting Officer)</w:t>
      </w:r>
    </w:p>
    <w:p>
      <w:pPr>
        <w:sectPr>
          <w:pgSz w:w="11900" w:h="16838" w:orient="portrait"/>
          <w:cols w:equalWidth="0" w:num="1">
            <w:col w:w="10260"/>
          </w:cols>
          <w:pgMar w:left="980" w:top="1417" w:right="659" w:bottom="1440" w:gutter="0" w:footer="0" w:header="0"/>
        </w:sectPr>
      </w:pPr>
    </w:p>
    <w:bookmarkStart w:id="199" w:name="page200"/>
    <w:bookmarkEnd w:id="199"/>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March 31, 2021 as filed with the Securities and Exchange Commission on the date hereof (the “Report”), I, Nikolaos Vlahos, Chief Executive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400" w:hanging="504"/>
        <w:spacing w:after="0" w:line="277" w:lineRule="auto"/>
        <w:tabs>
          <w:tab w:leader="none" w:pos="55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800" w:val="left"/>
          <w:tab w:leader="none" w:pos="550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Nikolaos Vlahos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Nikolaos Vlahos</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p>
    <w:p>
      <w:pPr>
        <w:spacing w:after="0" w:line="264"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The Honest Company, Inc. (the “Company”) for the period ended March 31, 2021 as filed with the Securities and Exchange Commission on the date hereof (the “Report”), I, Kelly J. Kennedy, Chief Financial Officer of the Company, certify, pursuant to 18 U.S.C. § 1350, as adopted pursuant to § 906 of the Sarbanes-Oxley Act of 2002, that, to the best of my knowledge:</w:t>
      </w:r>
    </w:p>
    <w:p>
      <w:pPr>
        <w:spacing w:after="0" w:line="192" w:lineRule="exact"/>
        <w:rPr>
          <w:sz w:val="20"/>
          <w:szCs w:val="20"/>
          <w:color w:val="auto"/>
        </w:rPr>
      </w:pPr>
    </w:p>
    <w:p>
      <w:pPr>
        <w:ind w:left="560" w:right="280" w:hanging="504"/>
        <w:spacing w:after="0" w:line="277" w:lineRule="auto"/>
        <w:tabs>
          <w:tab w:leader="none" w:pos="55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197" w:lineRule="exact"/>
        <w:rPr>
          <w:rFonts w:ascii="Arial" w:cs="Arial" w:eastAsia="Arial" w:hAnsi="Arial"/>
          <w:sz w:val="18"/>
          <w:szCs w:val="18"/>
          <w:color w:val="auto"/>
        </w:rPr>
      </w:pPr>
    </w:p>
    <w:p>
      <w:pPr>
        <w:ind w:left="560" w:hanging="504"/>
        <w:spacing w:after="0"/>
        <w:tabs>
          <w:tab w:leader="none" w:pos="56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6160" w:val="left"/>
          <w:tab w:leader="none" w:pos="6860" w:val="left"/>
        </w:tabs>
        <w:rPr>
          <w:sz w:val="20"/>
          <w:szCs w:val="20"/>
          <w:color w:val="auto"/>
        </w:rPr>
      </w:pPr>
      <w:r>
        <w:rPr>
          <w:rFonts w:ascii="Arial" w:cs="Arial" w:eastAsia="Arial" w:hAnsi="Arial"/>
          <w:sz w:val="18"/>
          <w:szCs w:val="18"/>
          <w:color w:val="auto"/>
        </w:rPr>
        <w:t>Date: June 17,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Kelly J.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14605</wp:posOffset>
            </wp:positionV>
            <wp:extent cx="3017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Kelly J. Kennedy</w:t>
      </w:r>
    </w:p>
    <w:p>
      <w:pPr>
        <w:spacing w:after="0" w:line="23"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Executive Vice President, Chief Financial Officer</w:t>
      </w:r>
    </w:p>
    <w:p>
      <w:pPr>
        <w:spacing w:after="0" w:line="35" w:lineRule="exact"/>
        <w:rPr>
          <w:sz w:val="20"/>
          <w:szCs w:val="20"/>
          <w:color w:val="auto"/>
        </w:rPr>
      </w:pPr>
    </w:p>
    <w:p>
      <w:pPr>
        <w:ind w:left="6920"/>
        <w:spacing w:after="0"/>
        <w:rPr>
          <w:sz w:val="20"/>
          <w:szCs w:val="20"/>
          <w:color w:val="auto"/>
        </w:rPr>
      </w:pPr>
      <w:r>
        <w:rPr>
          <w:rFonts w:ascii="Arial" w:cs="Arial" w:eastAsia="Arial" w:hAnsi="Arial"/>
          <w:sz w:val="18"/>
          <w:szCs w:val="18"/>
          <w:i w:val="1"/>
          <w:iCs w:val="1"/>
          <w:color w:val="auto"/>
        </w:rPr>
        <w:t>(Principal Financial Officer and Accounting Officer)</w:t>
      </w:r>
    </w:p>
    <w:p>
      <w:pPr>
        <w:spacing w:after="0" w:line="200" w:lineRule="exact"/>
        <w:rPr>
          <w:sz w:val="20"/>
          <w:szCs w:val="20"/>
          <w:color w:val="auto"/>
        </w:rPr>
      </w:pPr>
    </w:p>
    <w:p>
      <w:pPr>
        <w:spacing w:after="0" w:line="28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1."/>
      <w:numFmt w:val="decimal"/>
      <w:start w:val="1"/>
    </w:lvl>
  </w:abstractNum>
  <w:abstractNum w:abstractNumId="4">
    <w:nsid w:val="23D86AAC"/>
    <w:multiLevelType w:val="hybridMultilevel"/>
    <w:lvl w:ilvl="0">
      <w:lvlJc w:val="left"/>
      <w:lvlText w:val="%1."/>
      <w:numFmt w:val="decimal"/>
      <w:start w:val="2"/>
    </w:lvl>
  </w:abstractNum>
  <w:abstractNum w:abstractNumId="5">
    <w:nsid w:val="45E6D486"/>
    <w:multiLevelType w:val="hybridMultilevel"/>
    <w:lvl w:ilvl="0">
      <w:lvlJc w:val="left"/>
      <w:lvlText w:val="%1."/>
      <w:numFmt w:val="decimal"/>
      <w:start w:val="4"/>
    </w:lvl>
  </w:abstractNum>
  <w:abstractNum w:abstractNumId="6">
    <w:nsid w:val="5C10FE21"/>
    <w:multiLevelType w:val="hybridMultilevel"/>
    <w:lvl w:ilvl="0">
      <w:lvlJc w:val="left"/>
      <w:lvlText w:val="%1."/>
      <w:numFmt w:val="decimal"/>
      <w:start w:val="5"/>
    </w:lvl>
  </w:abstractNum>
  <w:abstractNum w:abstractNumId="7">
    <w:nsid w:val="E7FFA2B"/>
    <w:multiLevelType w:val="hybridMultilevel"/>
    <w:lvl w:ilvl="0">
      <w:lvlJc w:val="left"/>
      <w:lvlText w:val="%1."/>
      <w:numFmt w:val="decimal"/>
      <w:start w:val="6"/>
    </w:lvl>
  </w:abstractNum>
  <w:abstractNum w:abstractNumId="8">
    <w:nsid w:val="3C5991AA"/>
    <w:multiLevelType w:val="hybridMultilevel"/>
    <w:lvl w:ilvl="0">
      <w:lvlJc w:val="left"/>
      <w:lvlText w:val="%1."/>
      <w:numFmt w:val="decimal"/>
      <w:start w:val="8"/>
    </w:lvl>
  </w:abstractNum>
  <w:abstractNum w:abstractNumId="9">
    <w:nsid w:val="4BD8591A"/>
    <w:multiLevelType w:val="hybridMultilevel"/>
    <w:lvl w:ilvl="0">
      <w:lvlJc w:val="left"/>
      <w:lvlText w:val="%1."/>
      <w:numFmt w:val="decimal"/>
      <w:start w:val="9"/>
    </w:lvl>
  </w:abstractNum>
  <w:abstractNum w:abstractNumId="10">
    <w:nsid w:val="78DF6A55"/>
    <w:multiLevelType w:val="hybridMultilevel"/>
    <w:lvl w:ilvl="0">
      <w:lvlJc w:val="left"/>
      <w:lvlText w:val="%1."/>
      <w:numFmt w:val="decimal"/>
      <w:start w:val="10"/>
    </w:lvl>
  </w:abstractNum>
  <w:abstractNum w:abstractNumId="11">
    <w:nsid w:val="39B7AAA2"/>
    <w:multiLevelType w:val="hybridMultilevel"/>
    <w:lvl w:ilvl="0">
      <w:lvlJc w:val="left"/>
      <w:lvlText w:val="%1."/>
      <w:numFmt w:val="decimal"/>
      <w:start w:val="11"/>
    </w:lvl>
  </w:abstractNum>
  <w:abstractNum w:abstractNumId="12">
    <w:nsid w:val="2B0D8DBE"/>
    <w:multiLevelType w:val="hybridMultilevel"/>
    <w:lvl w:ilvl="0">
      <w:lvlJc w:val="left"/>
      <w:lvlText w:val="%1."/>
      <w:numFmt w:val="decimal"/>
      <w:start w:val="12"/>
    </w:lvl>
  </w:abstractNum>
  <w:abstractNum w:abstractNumId="13">
    <w:nsid w:val="6C80EC70"/>
    <w:multiLevelType w:val="hybridMultilevel"/>
    <w:lvl w:ilvl="0">
      <w:lvlJc w:val="left"/>
      <w:lvlText w:val="%1."/>
      <w:numFmt w:val="decimal"/>
      <w:start w:val="13"/>
    </w:lvl>
  </w:abstractNum>
  <w:abstractNum w:abstractNumId="14">
    <w:nsid w:val="379E21B5"/>
    <w:multiLevelType w:val="hybridMultilevel"/>
    <w:lvl w:ilvl="0">
      <w:lvlJc w:val="left"/>
      <w:lvlText w:val="(%1)"/>
      <w:numFmt w:val="decimal"/>
      <w:start w:val="2"/>
    </w:lvl>
  </w:abstractNum>
  <w:abstractNum w:abstractNumId="15">
    <w:nsid w:val="69E373"/>
    <w:multiLevelType w:val="hybridMultilevel"/>
    <w:lvl w:ilvl="0">
      <w:lvlJc w:val="left"/>
      <w:lvlText w:val="(%1)"/>
      <w:numFmt w:val="decimal"/>
      <w:start w:val="1"/>
    </w:lvl>
  </w:abstractNum>
  <w:abstractNum w:abstractNumId="16">
    <w:nsid w:val="2C27173B"/>
    <w:multiLevelType w:val="hybridMultilevel"/>
    <w:lvl w:ilvl="0">
      <w:lvlJc w:val="left"/>
      <w:lvlText w:val="(%1)"/>
      <w:numFmt w:val="decimal"/>
      <w:start w:val="3"/>
    </w:lvl>
  </w:abstractNum>
  <w:abstractNum w:abstractNumId="17">
    <w:nsid w:val="4C9B0904"/>
    <w:multiLevelType w:val="hybridMultilevel"/>
    <w:lvl w:ilvl="0">
      <w:lvlJc w:val="left"/>
      <w:lvlText w:val="(%1)"/>
      <w:numFmt w:val="decimal"/>
      <w:start w:val="1"/>
    </w:lvl>
  </w:abstractNum>
  <w:abstractNum w:abstractNumId="18">
    <w:nsid w:val="6AA7B75C"/>
    <w:multiLevelType w:val="hybridMultilevel"/>
    <w:lvl w:ilvl="0">
      <w:lvlJc w:val="left"/>
      <w:lvlText w:val="*"/>
      <w:numFmt w:val="bullet"/>
      <w:start w:val="1"/>
    </w:lvl>
  </w:abstractNum>
  <w:abstractNum w:abstractNumId="19">
    <w:nsid w:val="1DF029D3"/>
    <w:multiLevelType w:val="hybridMultilevel"/>
    <w:lvl w:ilvl="0">
      <w:lvlJc w:val="left"/>
      <w:lvlText w:val="(%1)"/>
      <w:numFmt w:val="decimal"/>
      <w:start w:val="1"/>
    </w:lvl>
  </w:abstractNum>
  <w:abstractNum w:abstractNumId="20">
    <w:nsid w:val="5675FF36"/>
    <w:multiLevelType w:val="hybridMultilevel"/>
    <w:lvl w:ilvl="0">
      <w:lvlJc w:val="left"/>
      <w:lvlText w:val="(%1)"/>
      <w:numFmt w:val="decimal"/>
      <w:start w:val="1"/>
    </w:lvl>
    <w:lvl w:ilvl="1">
      <w:lvlJc w:val="left"/>
      <w:lvlText w:val="(%2)"/>
      <w:numFmt w:val="lowerLetter"/>
      <w:start w:val="1"/>
    </w:lvl>
  </w:abstractNum>
  <w:abstractNum w:abstractNumId="21">
    <w:nsid w:val="3DD15094"/>
    <w:multiLevelType w:val="hybridMultilevel"/>
    <w:lvl w:ilvl="0">
      <w:lvlJc w:val="left"/>
      <w:lvlText w:val="(%1)"/>
      <w:numFmt w:val="decimal"/>
      <w:start w:val="2"/>
    </w:lvl>
  </w:abstractNum>
  <w:abstractNum w:abstractNumId="22">
    <w:nsid w:val="3DB012B3"/>
    <w:multiLevelType w:val="hybridMultilevel"/>
    <w:lvl w:ilvl="0">
      <w:lvlJc w:val="left"/>
      <w:lvlText w:val="(%1)"/>
      <w:numFmt w:val="decimal"/>
      <w:start w:val="1"/>
    </w:lvl>
  </w:abstractNum>
  <w:abstractNum w:abstractNumId="23">
    <w:nsid w:val="2708C9AF"/>
    <w:multiLevelType w:val="hybridMultilevel"/>
    <w:lvl w:ilvl="0">
      <w:lvlJc w:val="left"/>
      <w:lvlText w:val="(%1)"/>
      <w:numFmt w:val="decimal"/>
      <w:start w:val="4"/>
    </w:lvl>
  </w:abstractNum>
  <w:abstractNum w:abstractNumId="24">
    <w:nsid w:val="5B25ACE2"/>
    <w:multiLevelType w:val="hybridMultilevel"/>
    <w:lvl w:ilvl="0">
      <w:lvlJc w:val="left"/>
      <w:lvlText w:val="(%1)"/>
      <w:numFmt w:val="decimal"/>
      <w:start w:val="1"/>
    </w:lvl>
  </w:abstractNum>
  <w:abstractNum w:abstractNumId="25">
    <w:nsid w:val="175DFCF0"/>
    <w:multiLevelType w:val="hybridMultilevel"/>
    <w:lvl w:ilvl="0">
      <w:lvlJc w:val="left"/>
      <w:lvlText w:val="(%1)"/>
      <w:numFmt w:val="lowerLetter"/>
      <w:start w:val="2"/>
    </w:lvl>
  </w:abstractNum>
  <w:abstractNum w:abstractNumId="26">
    <w:nsid w:val="4F97E3E4"/>
    <w:multiLevelType w:val="hybridMultilevel"/>
    <w:lvl w:ilvl="0">
      <w:lvlJc w:val="left"/>
      <w:lvlText w:val="(%1)"/>
      <w:numFmt w:val="lowerRoman"/>
      <w:start w:val="1"/>
    </w:lvl>
  </w:abstractNum>
  <w:abstractNum w:abstractNumId="27">
    <w:nsid w:val="53B0A9E"/>
    <w:multiLevelType w:val="hybridMultilevel"/>
    <w:lvl w:ilvl="0">
      <w:lvlJc w:val="left"/>
      <w:lvlText w:val="(%1)"/>
      <w:numFmt w:val="decimal"/>
      <w:start w:val="1"/>
    </w:lvl>
  </w:abstractNum>
  <w:abstractNum w:abstractNumId="28">
    <w:nsid w:val="34FD6B4F"/>
    <w:multiLevelType w:val="hybridMultilevel"/>
    <w:lvl w:ilvl="0">
      <w:lvlJc w:val="left"/>
      <w:lvlText w:val="(%1)"/>
      <w:numFmt w:val="decimal"/>
      <w:start w:val="2"/>
    </w:lvl>
  </w:abstractNum>
  <w:abstractNum w:abstractNumId="29">
    <w:nsid w:val="5915FF32"/>
    <w:multiLevelType w:val="hybridMultilevel"/>
    <w:lvl w:ilvl="0">
      <w:lvlJc w:val="left"/>
      <w:lvlText w:val="(%1)"/>
      <w:numFmt w:val="lowerRoman"/>
      <w:start w:val="2"/>
    </w:lvl>
  </w:abstractNum>
  <w:abstractNum w:abstractNumId="30">
    <w:nsid w:val="56438D15"/>
    <w:multiLevelType w:val="hybridMultilevel"/>
    <w:lvl w:ilvl="0">
      <w:lvlJc w:val="left"/>
      <w:lvlText w:val="(%1)"/>
      <w:numFmt w:val="lowerRoman"/>
      <w:start w:val="1"/>
    </w:lvl>
  </w:abstractNum>
  <w:abstractNum w:abstractNumId="31">
    <w:nsid w:val="519E3149"/>
    <w:multiLevelType w:val="hybridMultilevel"/>
    <w:lvl w:ilvl="0">
      <w:lvlJc w:val="left"/>
      <w:lvlText w:val="(%1)"/>
      <w:numFmt w:val="lowerLetter"/>
      <w:start w:val="2"/>
    </w:lvl>
  </w:abstractNum>
  <w:abstractNum w:abstractNumId="32">
    <w:nsid w:val="2C6E4AFD"/>
    <w:multiLevelType w:val="hybridMultilevel"/>
    <w:lvl w:ilvl="0">
      <w:lvlJc w:val="left"/>
      <w:lvlText w:val="(%1)"/>
      <w:numFmt w:val="lowerLetter"/>
      <w:start w:val="1"/>
    </w:lvl>
  </w:abstractNum>
  <w:abstractNum w:abstractNumId="33">
    <w:nsid w:val="17A1B582"/>
    <w:multiLevelType w:val="hybridMultilevel"/>
    <w:lvl w:ilvl="0">
      <w:lvlJc w:val="left"/>
      <w:lvlText w:val="(%1)"/>
      <w:numFmt w:val="lowerLetter"/>
      <w:start w:val="7"/>
    </w:lvl>
  </w:abstractNum>
  <w:abstractNum w:abstractNumId="34">
    <w:nsid w:val="4DF72E4E"/>
    <w:multiLevelType w:val="hybridMultilevel"/>
    <w:lvl w:ilvl="0">
      <w:lvlJc w:val="left"/>
      <w:lvlText w:val="(%1)"/>
      <w:numFmt w:val="lowerLetter"/>
      <w:start w:val="1"/>
    </w:lvl>
  </w:abstractNum>
  <w:abstractNum w:abstractNumId="35">
    <w:nsid w:val="5046B5A9"/>
    <w:multiLevelType w:val="hybridMultilevel"/>
    <w:lvl w:ilvl="0">
      <w:lvlJc w:val="left"/>
      <w:lvlText w:val="(%1)"/>
      <w:numFmt w:val="lowerLetter"/>
      <w:start w:val="5"/>
    </w:lvl>
  </w:abstractNum>
  <w:abstractNum w:abstractNumId="36">
    <w:nsid w:val="5D888A08"/>
    <w:multiLevelType w:val="hybridMultilevel"/>
    <w:lvl w:ilvl="0">
      <w:lvlJc w:val="left"/>
      <w:lvlText w:val="(%1)"/>
      <w:numFmt w:val="lowerLetter"/>
      <w:start w:val="1"/>
    </w:lvl>
  </w:abstractNum>
  <w:abstractNum w:abstractNumId="37">
    <w:nsid w:val="2A082C70"/>
    <w:multiLevelType w:val="hybridMultilevel"/>
    <w:lvl w:ilvl="0">
      <w:lvlJc w:val="left"/>
      <w:lvlText w:val="%1"/>
      <w:numFmt w:val="lowerLetter"/>
      <w:start w:val="1"/>
    </w:lvl>
    <w:lvl w:ilvl="1">
      <w:lvlJc w:val="left"/>
      <w:lvlText w:val="(%2)"/>
      <w:numFmt w:val="lowerLetter"/>
      <w:start w:val="2"/>
    </w:lvl>
  </w:abstractNum>
  <w:abstractNum w:abstractNumId="38">
    <w:nsid w:val="5EC6AFD4"/>
    <w:multiLevelType w:val="hybridMultilevel"/>
    <w:lvl w:ilvl="0">
      <w:lvlJc w:val="left"/>
      <w:lvlText w:val="(%1)"/>
      <w:numFmt w:val="lowerLetter"/>
      <w:start w:val="6"/>
    </w:lvl>
    <w:lvl w:ilvl="1">
      <w:lvlJc w:val="left"/>
      <w:lvlText w:val="%2"/>
      <w:numFmt w:val="lowerLetter"/>
      <w:start w:val="1"/>
    </w:lvl>
  </w:abstractNum>
  <w:abstractNum w:abstractNumId="39">
    <w:nsid w:val="19E21BB2"/>
    <w:multiLevelType w:val="hybridMultilevel"/>
    <w:lvl w:ilvl="0">
      <w:lvlJc w:val="left"/>
      <w:lvlText w:val="(%1)"/>
      <w:numFmt w:val="lowerLetter"/>
      <w:start w:val="1"/>
    </w:lvl>
  </w:abstractNum>
  <w:abstractNum w:abstractNumId="40">
    <w:nsid w:val="75E0858A"/>
    <w:multiLevelType w:val="hybridMultilevel"/>
    <w:lvl w:ilvl="0">
      <w:lvlJc w:val="left"/>
      <w:lvlText w:val="(%1)"/>
      <w:numFmt w:val="lowerLetter"/>
      <w:start w:val="1"/>
    </w:lvl>
  </w:abstractNum>
  <w:abstractNum w:abstractNumId="41">
    <w:nsid w:val="57A61A29"/>
    <w:multiLevelType w:val="hybridMultilevel"/>
    <w:lvl w:ilvl="0">
      <w:lvlJc w:val="left"/>
      <w:lvlText w:val="(%1)"/>
      <w:numFmt w:val="lowerLetter"/>
      <w:start w:val="35"/>
    </w:lvl>
    <w:lvl w:ilvl="1">
      <w:lvlJc w:val="left"/>
      <w:lvlText w:val="(%2)"/>
      <w:numFmt w:val="lowerLetter"/>
      <w:start w:val="2"/>
    </w:lvl>
  </w:abstractNum>
  <w:abstractNum w:abstractNumId="42">
    <w:nsid w:val="5399C654"/>
    <w:multiLevelType w:val="hybridMultilevel"/>
    <w:lvl w:ilvl="0">
      <w:lvlJc w:val="left"/>
      <w:lvlText w:val="(%1)"/>
      <w:numFmt w:val="lowerLetter"/>
      <w:start w:val="1"/>
    </w:lvl>
  </w:abstractNum>
  <w:abstractNum w:abstractNumId="43">
    <w:nsid w:val="20EE1348"/>
    <w:multiLevelType w:val="hybridMultilevel"/>
    <w:lvl w:ilvl="0">
      <w:lvlJc w:val="left"/>
      <w:lvlText w:val="(%1)"/>
      <w:numFmt w:val="lowerLetter"/>
      <w:start w:val="2"/>
    </w:lvl>
    <w:lvl w:ilvl="1">
      <w:lvlJc w:val="left"/>
      <w:lvlText w:val="(%2)"/>
      <w:numFmt w:val="lowerLetter"/>
      <w:start w:val="1"/>
    </w:lvl>
  </w:abstractNum>
  <w:abstractNum w:abstractNumId="44">
    <w:nsid w:val="4427069A"/>
    <w:multiLevelType w:val="hybridMultilevel"/>
    <w:lvl w:ilvl="0">
      <w:lvlJc w:val="left"/>
      <w:lvlText w:val="(%1)"/>
      <w:numFmt w:val="lowerLetter"/>
      <w:start w:val="3"/>
    </w:lvl>
  </w:abstractNum>
  <w:abstractNum w:abstractNumId="45">
    <w:nsid w:val="B37E80A"/>
    <w:multiLevelType w:val="hybridMultilevel"/>
    <w:lvl w:ilvl="0">
      <w:lvlJc w:val="left"/>
      <w:lvlText w:val="(%1)"/>
      <w:numFmt w:val="lowerLetter"/>
      <w:start w:val="1"/>
    </w:lvl>
  </w:abstractNum>
  <w:abstractNum w:abstractNumId="46">
    <w:nsid w:val="2157F6BC"/>
    <w:multiLevelType w:val="hybridMultilevel"/>
    <w:lvl w:ilvl="0">
      <w:lvlJc w:val="left"/>
      <w:lvlText w:val="%1"/>
      <w:numFmt w:val="lowerLetter"/>
      <w:start w:val="1"/>
    </w:lvl>
    <w:lvl w:ilvl="1">
      <w:lvlJc w:val="left"/>
      <w:lvlText w:val="(%2)"/>
      <w:numFmt w:val="lowerRoman"/>
      <w:start w:val="1"/>
    </w:lvl>
  </w:abstractNum>
  <w:abstractNum w:abstractNumId="47">
    <w:nsid w:val="704E1DD5"/>
    <w:multiLevelType w:val="hybridMultilevel"/>
    <w:lvl w:ilvl="0">
      <w:lvlJc w:val="left"/>
      <w:lvlText w:val="(%1)"/>
      <w:numFmt w:val="lowerLetter"/>
      <w:start w:val="3"/>
    </w:lvl>
    <w:lvl w:ilvl="1">
      <w:lvlJc w:val="left"/>
      <w:lvlText w:val="%2"/>
      <w:numFmt w:val="lowerRoman"/>
      <w:start w:val="1"/>
    </w:lvl>
  </w:abstractNum>
  <w:abstractNum w:abstractNumId="48">
    <w:nsid w:val="57D2F10E"/>
    <w:multiLevelType w:val="hybridMultilevel"/>
    <w:lvl w:ilvl="0">
      <w:lvlJc w:val="left"/>
      <w:lvlText w:val="(%1)"/>
      <w:numFmt w:val="lowerLetter"/>
      <w:start w:val="5"/>
    </w:lvl>
  </w:abstractNum>
  <w:abstractNum w:abstractNumId="49">
    <w:nsid w:val="BFFAE18"/>
    <w:multiLevelType w:val="hybridMultilevel"/>
    <w:lvl w:ilvl="0">
      <w:lvlJc w:val="left"/>
      <w:lvlText w:val="(%1)"/>
      <w:numFmt w:val="lowerLetter"/>
      <w:start w:val="7"/>
    </w:lvl>
  </w:abstractNum>
  <w:abstractNum w:abstractNumId="50">
    <w:nsid w:val="E3E47A8"/>
    <w:multiLevelType w:val="hybridMultilevel"/>
    <w:lvl w:ilvl="0">
      <w:lvlJc w:val="left"/>
      <w:lvlText w:val="%1"/>
      <w:numFmt w:val="lowerRoman"/>
      <w:start w:val="1"/>
    </w:lvl>
    <w:lvl w:ilvl="1">
      <w:lvlJc w:val="left"/>
      <w:lvlText w:val="(%2)"/>
      <w:numFmt w:val="lowerRoman"/>
      <w:start w:val="1"/>
    </w:lvl>
  </w:abstractNum>
  <w:abstractNum w:abstractNumId="51">
    <w:nsid w:val="2E48F044"/>
    <w:multiLevelType w:val="hybridMultilevel"/>
    <w:lvl w:ilvl="0">
      <w:lvlJc w:val="left"/>
      <w:lvlText w:val="(%1)"/>
      <w:numFmt w:val="lowerRoman"/>
      <w:start w:val="2"/>
    </w:lvl>
    <w:lvl w:ilvl="1">
      <w:lvlJc w:val="left"/>
      <w:lvlText w:val="(%2)"/>
      <w:numFmt w:val="lowerRoman"/>
      <w:start w:val="2"/>
    </w:lvl>
  </w:abstractNum>
  <w:abstractNum w:abstractNumId="52">
    <w:nsid w:val="49D0FEAC"/>
    <w:multiLevelType w:val="hybridMultilevel"/>
    <w:lvl w:ilvl="0">
      <w:lvlJc w:val="left"/>
      <w:lvlText w:val="(%1)"/>
      <w:numFmt w:val="lowerLetter"/>
      <w:start w:val="10"/>
    </w:lvl>
  </w:abstractNum>
  <w:abstractNum w:abstractNumId="53">
    <w:nsid w:val="4BEE5A5B"/>
    <w:multiLevelType w:val="hybridMultilevel"/>
    <w:lvl w:ilvl="0">
      <w:lvlJc w:val="left"/>
      <w:lvlText w:val="(%1)"/>
      <w:numFmt w:val="lowerLetter"/>
      <w:start w:val="11"/>
    </w:lvl>
  </w:abstractNum>
  <w:abstractNum w:abstractNumId="54">
    <w:nsid w:val="5551B9F3"/>
    <w:multiLevelType w:val="hybridMultilevel"/>
    <w:lvl w:ilvl="0">
      <w:lvlJc w:val="left"/>
      <w:lvlText w:val="(%1)"/>
      <w:numFmt w:val="lowerLetter"/>
      <w:start w:val="1"/>
    </w:lvl>
  </w:abstractNum>
  <w:abstractNum w:abstractNumId="55">
    <w:nsid w:val="24F6AB8E"/>
    <w:multiLevelType w:val="hybridMultilevel"/>
    <w:lvl w:ilvl="0">
      <w:lvlJc w:val="left"/>
      <w:lvlText w:val="(%1)"/>
      <w:numFmt w:val="lowerLetter"/>
      <w:start w:val="1"/>
    </w:lvl>
    <w:lvl w:ilvl="1">
      <w:lvlJc w:val="left"/>
      <w:lvlText w:val="(%2)"/>
      <w:numFmt w:val="lowerRoman"/>
      <w:start w:val="1"/>
    </w:lvl>
  </w:abstractNum>
  <w:abstractNum w:abstractNumId="56">
    <w:nsid w:val="634C574C"/>
    <w:multiLevelType w:val="hybridMultilevel"/>
    <w:lvl w:ilvl="0">
      <w:lvlJc w:val="left"/>
      <w:lvlText w:val="(%1)"/>
      <w:numFmt w:val="lowerRoman"/>
      <w:start w:val="3"/>
    </w:lvl>
  </w:abstractNum>
  <w:abstractNum w:abstractNumId="57">
    <w:nsid w:val="24E99DD7"/>
    <w:multiLevelType w:val="hybridMultilevel"/>
    <w:lvl w:ilvl="0">
      <w:lvlJc w:val="left"/>
      <w:lvlText w:val="(%1)"/>
      <w:numFmt w:val="lowerLetter"/>
      <w:start w:val="4"/>
    </w:lvl>
  </w:abstractNum>
  <w:abstractNum w:abstractNumId="58">
    <w:nsid w:val="2A31B62D"/>
    <w:multiLevelType w:val="hybridMultilevel"/>
    <w:lvl w:ilvl="0">
      <w:lvlJc w:val="left"/>
      <w:lvlText w:val="(%1)"/>
      <w:numFmt w:val="lowerLetter"/>
      <w:start w:val="1"/>
    </w:lvl>
  </w:abstractNum>
  <w:abstractNum w:abstractNumId="59">
    <w:nsid w:val="1849C29B"/>
    <w:multiLevelType w:val="hybridMultilevel"/>
    <w:lvl w:ilvl="0">
      <w:lvlJc w:val="left"/>
      <w:lvlText w:val="(%1)"/>
      <w:numFmt w:val="lowerLetter"/>
      <w:start w:val="2"/>
    </w:lvl>
  </w:abstractNum>
  <w:abstractNum w:abstractNumId="60">
    <w:nsid w:val="7DFF9D09"/>
    <w:multiLevelType w:val="hybridMultilevel"/>
    <w:lvl w:ilvl="0">
      <w:lvlJc w:val="left"/>
      <w:lvlText w:val="(%1)"/>
      <w:numFmt w:val="lowerLetter"/>
      <w:start w:val="1"/>
    </w:lvl>
  </w:abstractNum>
  <w:abstractNum w:abstractNumId="61">
    <w:nsid w:val="754342"/>
    <w:multiLevelType w:val="hybridMultilevel"/>
    <w:lvl w:ilvl="0">
      <w:lvlJc w:val="left"/>
      <w:lvlText w:val="(%1)"/>
      <w:numFmt w:val="lowerLetter"/>
      <w:start w:val="1"/>
    </w:lvl>
  </w:abstractNum>
  <w:abstractNum w:abstractNumId="62">
    <w:nsid w:val="69E7F3E5"/>
    <w:multiLevelType w:val="hybridMultilevel"/>
    <w:lvl w:ilvl="0">
      <w:lvlJc w:val="left"/>
      <w:lvlText w:val="(%1)"/>
      <w:numFmt w:val="lowerLetter"/>
      <w:start w:val="3"/>
    </w:lvl>
  </w:abstractNum>
  <w:abstractNum w:abstractNumId="63">
    <w:nsid w:val="2A6DE806"/>
    <w:multiLevelType w:val="hybridMultilevel"/>
    <w:lvl w:ilvl="0">
      <w:lvlJc w:val="left"/>
      <w:lvlText w:val="(%1)"/>
      <w:numFmt w:val="lowerLetter"/>
      <w:start w:val="1"/>
    </w:lvl>
  </w:abstractNum>
  <w:abstractNum w:abstractNumId="64">
    <w:nsid w:val="1816F8C4"/>
    <w:multiLevelType w:val="hybridMultilevel"/>
    <w:lvl w:ilvl="0">
      <w:lvlJc w:val="left"/>
      <w:lvlText w:val="(%1)"/>
      <w:numFmt w:val="lowerLetter"/>
      <w:start w:val="3"/>
    </w:lvl>
  </w:abstractNum>
  <w:abstractNum w:abstractNumId="65">
    <w:nsid w:val="37DF2233"/>
    <w:multiLevelType w:val="hybridMultilevel"/>
    <w:lvl w:ilvl="0">
      <w:lvlJc w:val="left"/>
      <w:lvlText w:val="(%1)"/>
      <w:numFmt w:val="lowerLetter"/>
      <w:start w:val="1"/>
    </w:lvl>
  </w:abstractNum>
  <w:abstractNum w:abstractNumId="66">
    <w:nsid w:val="7AB49DAF"/>
    <w:multiLevelType w:val="hybridMultilevel"/>
    <w:lvl w:ilvl="0">
      <w:lvlJc w:val="left"/>
      <w:lvlText w:val="(%1)"/>
      <w:numFmt w:val="lowerLetter"/>
      <w:start w:val="1"/>
    </w:lvl>
    <w:lvl w:ilvl="1">
      <w:lvlJc w:val="left"/>
      <w:lvlText w:val="(%2)"/>
      <w:numFmt w:val="lowerRoman"/>
      <w:start w:val="1"/>
    </w:lvl>
  </w:abstractNum>
  <w:abstractNum w:abstractNumId="67">
    <w:nsid w:val="759F82CD"/>
    <w:multiLevelType w:val="hybridMultilevel"/>
    <w:lvl w:ilvl="0">
      <w:lvlJc w:val="left"/>
      <w:lvlText w:val="(%1)"/>
      <w:numFmt w:val="lowerLetter"/>
      <w:start w:val="2"/>
    </w:lvl>
  </w:abstractNum>
  <w:abstractNum w:abstractNumId="68">
    <w:nsid w:val="61E74EA3"/>
    <w:multiLevelType w:val="hybridMultilevel"/>
    <w:lvl w:ilvl="0">
      <w:lvlJc w:val="left"/>
      <w:lvlText w:val="(%1)"/>
      <w:numFmt w:val="lowerLetter"/>
      <w:start w:val="3"/>
    </w:lvl>
  </w:abstractNum>
  <w:abstractNum w:abstractNumId="69">
    <w:nsid w:val="597B4D84"/>
    <w:multiLevelType w:val="hybridMultilevel"/>
    <w:lvl w:ilvl="0">
      <w:lvlJc w:val="left"/>
      <w:lvlText w:val="(%1)"/>
      <w:numFmt w:val="lowerLetter"/>
      <w:start w:val="7"/>
    </w:lvl>
  </w:abstractNum>
  <w:abstractNum w:abstractNumId="70">
    <w:nsid w:val="F819E7F"/>
    <w:multiLevelType w:val="hybridMultilevel"/>
    <w:lvl w:ilvl="0">
      <w:lvlJc w:val="left"/>
      <w:lvlText w:val="(%1)"/>
      <w:numFmt w:val="lowerRoman"/>
      <w:start w:val="1"/>
    </w:lvl>
  </w:abstractNum>
  <w:abstractNum w:abstractNumId="71">
    <w:nsid w:val="57C7D42D"/>
    <w:multiLevelType w:val="hybridMultilevel"/>
    <w:lvl w:ilvl="0">
      <w:lvlJc w:val="left"/>
      <w:lvlText w:val="(%1)"/>
      <w:numFmt w:val="lowerRoman"/>
      <w:start w:val="2"/>
    </w:lvl>
  </w:abstractNum>
  <w:abstractNum w:abstractNumId="72">
    <w:nsid w:val="312167AD"/>
    <w:multiLevelType w:val="hybridMultilevel"/>
    <w:lvl w:ilvl="0">
      <w:lvlJc w:val="left"/>
      <w:lvlText w:val="(%1)"/>
      <w:numFmt w:val="lowerLetter"/>
      <w:start w:val="2"/>
    </w:lvl>
  </w:abstractNum>
  <w:abstractNum w:abstractNumId="73">
    <w:nsid w:val="631B64D4"/>
    <w:multiLevelType w:val="hybridMultilevel"/>
    <w:lvl w:ilvl="0">
      <w:lvlJc w:val="left"/>
      <w:lvlText w:val="(%1)"/>
      <w:numFmt w:val="lowerLetter"/>
      <w:start w:val="1"/>
    </w:lvl>
  </w:abstractNum>
  <w:abstractNum w:abstractNumId="74">
    <w:nsid w:val="78B5E77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75">
    <w:nsid w:val="75486E4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6">
    <w:nsid w:val="6E534CDE"/>
    <w:multiLevelType w:val="hybridMultilevel"/>
    <w:lvl w:ilvl="0">
      <w:lvlJc w:val="left"/>
      <w:lvlText w:val="(%1)"/>
      <w:numFmt w:val="upperLetter"/>
      <w:start w:val="2"/>
    </w:lvl>
    <w:lvl w:ilvl="1">
      <w:lvlJc w:val="left"/>
      <w:lvlText w:val="(%2)"/>
      <w:numFmt w:val="decimal"/>
      <w:start w:val="1"/>
    </w:lvl>
  </w:abstractNum>
  <w:abstractNum w:abstractNumId="77">
    <w:nsid w:val="1A0DDE32"/>
    <w:multiLevelType w:val="hybridMultilevel"/>
    <w:lvl w:ilvl="0">
      <w:lvlJc w:val="left"/>
      <w:lvlText w:val="(%1)"/>
      <w:numFmt w:val="decimal"/>
      <w:start w:val="3"/>
    </w:lvl>
    <w:lvl w:ilvl="1">
      <w:lvlJc w:val="left"/>
      <w:lvlText w:val="(%2)"/>
      <w:numFmt w:val="decimal"/>
      <w:start w:val="4"/>
    </w:lvl>
  </w:abstractNum>
  <w:abstractNum w:abstractNumId="78">
    <w:nsid w:val="65968C1C"/>
    <w:multiLevelType w:val="hybridMultilevel"/>
    <w:lvl w:ilvl="0">
      <w:lvlJc w:val="left"/>
      <w:lvlText w:val="(%1)"/>
      <w:numFmt w:val="upperLetter"/>
      <w:start w:val="3"/>
    </w:lvl>
  </w:abstractNum>
  <w:abstractNum w:abstractNumId="79">
    <w:nsid w:val="46263DEC"/>
    <w:multiLevelType w:val="hybridMultilevel"/>
    <w:lvl w:ilvl="0">
      <w:lvlJc w:val="left"/>
      <w:lvlText w:val="%1"/>
      <w:numFmt w:val="lowerLetter"/>
      <w:start w:val="1"/>
    </w:lvl>
    <w:lvl w:ilvl="1">
      <w:lvlJc w:val="left"/>
      <w:lvlText w:val="(%2)"/>
      <w:numFmt w:val="lowerLetter"/>
      <w:start w:val="7"/>
    </w:lvl>
  </w:abstractNum>
  <w:abstractNum w:abstractNumId="80">
    <w:nsid w:val="260D8C4A"/>
    <w:multiLevelType w:val="hybridMultilevel"/>
    <w:lvl w:ilvl="0">
      <w:lvlJc w:val="left"/>
      <w:lvlText w:val="(%1)"/>
      <w:numFmt w:val="lowerLetter"/>
      <w:start w:val="9"/>
    </w:lvl>
    <w:lvl w:ilvl="1">
      <w:lvlJc w:val="left"/>
      <w:lvlText w:val="%2"/>
      <w:numFmt w:val="lowerLetter"/>
      <w:start w:val="1"/>
    </w:lvl>
  </w:abstractNum>
  <w:abstractNum w:abstractNumId="81">
    <w:nsid w:val="73D4D3C4"/>
    <w:multiLevelType w:val="hybridMultilevel"/>
    <w:lvl w:ilvl="0">
      <w:lvlJc w:val="left"/>
      <w:lvlText w:val="(%1)"/>
      <w:numFmt w:val="lowerLetter"/>
      <w:start w:val="9"/>
    </w:lvl>
  </w:abstractNum>
  <w:abstractNum w:abstractNumId="82">
    <w:nsid w:val="746F2E30"/>
    <w:multiLevelType w:val="hybridMultilevel"/>
    <w:lvl w:ilvl="0">
      <w:lvlJc w:val="left"/>
      <w:lvlText w:val="%1"/>
      <w:numFmt w:val="lowerLetter"/>
      <w:start w:val="1"/>
    </w:lvl>
    <w:lvl w:ilvl="1">
      <w:lvlJc w:val="left"/>
      <w:lvlText w:val="(%2)"/>
      <w:numFmt w:val="lowerLetter"/>
      <w:start w:val="1"/>
    </w:lvl>
  </w:abstractNum>
  <w:abstractNum w:abstractNumId="83">
    <w:nsid w:val="6FDE8AF6"/>
    <w:multiLevelType w:val="hybridMultilevel"/>
    <w:lvl w:ilvl="0">
      <w:lvlJc w:val="left"/>
      <w:lvlText w:val="(%1)"/>
      <w:numFmt w:val="lowerLetter"/>
      <w:start w:val="9"/>
    </w:lvl>
    <w:lvl w:ilvl="1">
      <w:lvlJc w:val="left"/>
      <w:lvlText w:val="%2"/>
      <w:numFmt w:val="lowerLetter"/>
      <w:start w:val="1"/>
    </w:lvl>
  </w:abstractNum>
  <w:abstractNum w:abstractNumId="84">
    <w:nsid w:val="3FC32E20"/>
    <w:multiLevelType w:val="hybridMultilevel"/>
    <w:lvl w:ilvl="0">
      <w:lvlJc w:val="left"/>
      <w:lvlText w:val="(%1)"/>
      <w:numFmt w:val="lowerLetter"/>
      <w:start w:val="3"/>
    </w:lvl>
  </w:abstractNum>
  <w:abstractNum w:abstractNumId="85">
    <w:nsid w:val="49C0E823"/>
    <w:multiLevelType w:val="hybridMultilevel"/>
    <w:lvl w:ilvl="0">
      <w:lvlJc w:val="left"/>
      <w:lvlText w:val="(%1)"/>
      <w:numFmt w:val="lowerLetter"/>
      <w:start w:val="5"/>
    </w:lvl>
  </w:abstractNum>
  <w:abstractNum w:abstractNumId="86">
    <w:nsid w:val="14D53685"/>
    <w:multiLevelType w:val="hybridMultilevel"/>
    <w:lvl w:ilvl="0">
      <w:lvlJc w:val="left"/>
      <w:lvlText w:val="(%1)"/>
      <w:numFmt w:val="lowerLetter"/>
      <w:start w:val="1"/>
    </w:lvl>
  </w:abstractNum>
  <w:abstractNum w:abstractNumId="87">
    <w:nsid w:val="230F856C"/>
    <w:multiLevelType w:val="hybridMultilevel"/>
    <w:lvl w:ilvl="0">
      <w:lvlJc w:val="left"/>
      <w:lvlText w:val="(%1)"/>
      <w:numFmt w:val="lowerLetter"/>
      <w:start w:val="1"/>
    </w:lvl>
  </w:abstractNum>
  <w:abstractNum w:abstractNumId="88">
    <w:nsid w:val="6EAA85FB"/>
    <w:multiLevelType w:val="hybridMultilevel"/>
    <w:lvl w:ilvl="0">
      <w:lvlJc w:val="left"/>
      <w:lvlText w:val="(%1)"/>
      <w:numFmt w:val="lowerLetter"/>
      <w:start w:val="3"/>
    </w:lvl>
    <w:lvl w:ilvl="1">
      <w:lvlJc w:val="left"/>
      <w:lvlText w:val="(%2)"/>
      <w:numFmt w:val="lowerRoman"/>
      <w:start w:val="1"/>
    </w:lvl>
  </w:abstractNum>
  <w:abstractNum w:abstractNumId="89">
    <w:nsid w:val="3F06ECB2"/>
    <w:multiLevelType w:val="hybridMultilevel"/>
    <w:lvl w:ilvl="0">
      <w:lvlJc w:val="left"/>
      <w:lvlText w:val="%1"/>
      <w:numFmt w:val="lowerRoman"/>
      <w:start w:val="1"/>
    </w:lvl>
    <w:lvl w:ilvl="1">
      <w:lvlJc w:val="left"/>
      <w:lvlText w:val="(%2)"/>
      <w:numFmt w:val="lowerRoman"/>
      <w:start w:val="3"/>
    </w:lvl>
  </w:abstractNum>
  <w:abstractNum w:abstractNumId="90">
    <w:nsid w:val="3B594807"/>
    <w:multiLevelType w:val="hybridMultilevel"/>
    <w:lvl w:ilvl="0">
      <w:lvlJc w:val="left"/>
      <w:lvlText w:val="(%1)"/>
      <w:numFmt w:val="lowerRoman"/>
      <w:start w:val="2"/>
    </w:lvl>
    <w:lvl w:ilvl="1">
      <w:lvlJc w:val="left"/>
      <w:lvlText w:val="(%2)"/>
      <w:numFmt w:val="lowerRoman"/>
      <w:start w:val="4"/>
    </w:lvl>
  </w:abstractNum>
  <w:abstractNum w:abstractNumId="91">
    <w:nsid w:val="6CAA2304"/>
    <w:multiLevelType w:val="hybridMultilevel"/>
    <w:lvl w:ilvl="0">
      <w:lvlJc w:val="left"/>
      <w:lvlText w:val="(%1)"/>
      <w:numFmt w:val="lowerLetter"/>
      <w:start w:val="5"/>
    </w:lvl>
  </w:abstractNum>
  <w:abstractNum w:abstractNumId="92">
    <w:nsid w:val="3F7C2FF4"/>
    <w:multiLevelType w:val="hybridMultilevel"/>
    <w:lvl w:ilvl="0">
      <w:lvlJc w:val="left"/>
      <w:lvlText w:val="(%1)"/>
      <w:numFmt w:val="lowerLetter"/>
      <w:start w:val="1"/>
    </w:lvl>
  </w:abstractNum>
  <w:abstractNum w:abstractNumId="93">
    <w:nsid w:val="25413BEC"/>
    <w:multiLevelType w:val="hybridMultilevel"/>
    <w:lvl w:ilvl="0">
      <w:lvlJc w:val="left"/>
      <w:lvlText w:val="(%1)"/>
      <w:numFmt w:val="lowerLetter"/>
      <w:start w:val="1"/>
    </w:lvl>
  </w:abstractNum>
  <w:abstractNum w:abstractNumId="94">
    <w:nsid w:val="17180B0B"/>
    <w:multiLevelType w:val="hybridMultilevel"/>
    <w:lvl w:ilvl="0">
      <w:lvlJc w:val="left"/>
      <w:lvlText w:val="(%1)"/>
      <w:numFmt w:val="lowerLetter"/>
      <w:start w:val="1"/>
    </w:lvl>
  </w:abstractNum>
  <w:abstractNum w:abstractNumId="95">
    <w:nsid w:val="579328B9"/>
    <w:multiLevelType w:val="hybridMultilevel"/>
    <w:lvl w:ilvl="0">
      <w:lvlJc w:val="left"/>
      <w:lvlText w:val="(%1)"/>
      <w:numFmt w:val="lowerLetter"/>
      <w:start w:val="2"/>
    </w:lvl>
  </w:abstractNum>
  <w:abstractNum w:abstractNumId="96">
    <w:nsid w:val="5D205E20"/>
    <w:multiLevelType w:val="hybridMultilevel"/>
    <w:lvl w:ilvl="0">
      <w:lvlJc w:val="left"/>
      <w:lvlText w:val="(%1)"/>
      <w:numFmt w:val="lowerLetter"/>
      <w:start w:val="1"/>
    </w:lvl>
  </w:abstractNum>
  <w:abstractNum w:abstractNumId="97">
    <w:nsid w:val="11CCA8BA"/>
    <w:multiLevelType w:val="hybridMultilevel"/>
    <w:lvl w:ilvl="0">
      <w:lvlJc w:val="left"/>
      <w:lvlText w:val="(%1)"/>
      <w:numFmt w:val="lowerLetter"/>
      <w:start w:val="2"/>
    </w:lvl>
  </w:abstractNum>
  <w:abstractNum w:abstractNumId="98">
    <w:nsid w:val="4D32AB86"/>
    <w:multiLevelType w:val="hybridMultilevel"/>
    <w:lvl w:ilvl="0">
      <w:lvlJc w:val="left"/>
      <w:lvlText w:val="(%1)"/>
      <w:numFmt w:val="lowerLetter"/>
      <w:start w:val="7"/>
    </w:lvl>
  </w:abstractNum>
  <w:abstractNum w:abstractNumId="99">
    <w:nsid w:val="3F07ACC3"/>
    <w:multiLevelType w:val="hybridMultilevel"/>
    <w:lvl w:ilvl="0">
      <w:lvlJc w:val="left"/>
      <w:lvlText w:val="(%1)"/>
      <w:numFmt w:val="lowerLetter"/>
      <w:start w:val="16"/>
    </w:lvl>
  </w:abstractNum>
  <w:abstractNum w:abstractNumId="100">
    <w:nsid w:val="6B47F63E"/>
    <w:multiLevelType w:val="hybridMultilevel"/>
    <w:lvl w:ilvl="0">
      <w:lvlJc w:val="left"/>
      <w:lvlText w:val="(%1)"/>
      <w:numFmt w:val="lowerLetter"/>
      <w:start w:val="1"/>
    </w:lvl>
  </w:abstractNum>
  <w:abstractNum w:abstractNumId="101">
    <w:nsid w:val="5CB44A05"/>
    <w:multiLevelType w:val="hybridMultilevel"/>
    <w:lvl w:ilvl="0">
      <w:lvlJc w:val="left"/>
      <w:lvlText w:val="%1"/>
      <w:numFmt w:val="lowerLetter"/>
      <w:start w:val="1"/>
    </w:lvl>
    <w:lvl w:ilvl="1">
      <w:lvlJc w:val="left"/>
      <w:lvlText w:val="(%2)"/>
      <w:numFmt w:val="lowerLetter"/>
      <w:start w:val="1"/>
    </w:lvl>
  </w:abstractNum>
  <w:abstractNum w:abstractNumId="102">
    <w:nsid w:val="16CF80F1"/>
    <w:multiLevelType w:val="hybridMultilevel"/>
    <w:lvl w:ilvl="0">
      <w:lvlJc w:val="left"/>
      <w:lvlText w:val="(%1)"/>
      <w:numFmt w:val="lowerLetter"/>
      <w:start w:val="9"/>
    </w:lvl>
    <w:lvl w:ilvl="1">
      <w:lvlJc w:val="left"/>
      <w:lvlText w:val="%2"/>
      <w:numFmt w:val="lowerLetter"/>
      <w:start w:val="1"/>
    </w:lvl>
  </w:abstractNum>
  <w:abstractNum w:abstractNumId="103">
    <w:nsid w:val="1C695DEC"/>
    <w:multiLevelType w:val="hybridMultilevel"/>
    <w:lvl w:ilvl="0">
      <w:lvlJc w:val="left"/>
      <w:lvlText w:val="(%1)"/>
      <w:numFmt w:val="lowerLetter"/>
      <w:start w:val="4"/>
    </w:lvl>
  </w:abstractNum>
  <w:abstractNum w:abstractNumId="104">
    <w:nsid w:val="3FCFAED9"/>
    <w:multiLevelType w:val="hybridMultilevel"/>
    <w:lvl w:ilvl="0">
      <w:lvlJc w:val="left"/>
      <w:lvlText w:val="(%1)"/>
      <w:numFmt w:val="lowerLetter"/>
      <w:start w:val="1"/>
    </w:lvl>
  </w:abstractNum>
  <w:abstractNum w:abstractNumId="105">
    <w:nsid w:val="F856867"/>
    <w:multiLevelType w:val="hybridMultilevel"/>
    <w:lvl w:ilvl="0">
      <w:lvlJc w:val="left"/>
      <w:lvlText w:val="(%1)"/>
      <w:numFmt w:val="lowerLetter"/>
      <w:start w:val="4"/>
    </w:lvl>
  </w:abstractNum>
  <w:abstractNum w:abstractNumId="106">
    <w:nsid w:val="11B1CC33"/>
    <w:multiLevelType w:val="hybridMultilevel"/>
    <w:lvl w:ilvl="0">
      <w:lvlJc w:val="left"/>
      <w:lvlText w:val="(%1)"/>
      <w:numFmt w:val="lowerLetter"/>
      <w:start w:val="1"/>
    </w:lvl>
  </w:abstractNum>
  <w:abstractNum w:abstractNumId="107">
    <w:nsid w:val="2E22FBB7"/>
    <w:multiLevelType w:val="hybridMultilevel"/>
    <w:lvl w:ilvl="0">
      <w:lvlJc w:val="left"/>
      <w:lvlText w:val="(%1)"/>
      <w:numFmt w:val="lowerLetter"/>
      <w:start w:val="1"/>
    </w:lvl>
  </w:abstractNum>
  <w:abstractNum w:abstractNumId="108">
    <w:nsid w:val="29934699"/>
    <w:multiLevelType w:val="hybridMultilevel"/>
    <w:lvl w:ilvl="0">
      <w:lvlJc w:val="left"/>
      <w:lvlText w:val="(%1)"/>
      <w:numFmt w:val="lowerLetter"/>
      <w:start w:val="2"/>
    </w:lvl>
  </w:abstractNum>
  <w:abstractNum w:abstractNumId="109">
    <w:nsid w:val="77485850"/>
    <w:multiLevelType w:val="hybridMultilevel"/>
    <w:lvl w:ilvl="0">
      <w:lvlJc w:val="left"/>
      <w:lvlText w:val="%1"/>
      <w:numFmt w:val="lowerLetter"/>
      <w:start w:val="1"/>
    </w:lvl>
    <w:lvl w:ilvl="1">
      <w:lvlJc w:val="left"/>
      <w:lvlText w:val="(%2)"/>
      <w:numFmt w:val="lowerLetter"/>
      <w:start w:val="1"/>
    </w:lvl>
  </w:abstractNum>
  <w:abstractNum w:abstractNumId="110">
    <w:nsid w:val="744939A3"/>
    <w:multiLevelType w:val="hybridMultilevel"/>
    <w:lvl w:ilvl="0">
      <w:lvlJc w:val="left"/>
      <w:lvlText w:val="(%1)"/>
      <w:numFmt w:val="lowerLetter"/>
      <w:start w:val="6"/>
    </w:lvl>
    <w:lvl w:ilvl="1">
      <w:lvlJc w:val="left"/>
      <w:lvlText w:val="(%2)"/>
      <w:numFmt w:val="lowerLetter"/>
      <w:start w:val="6"/>
    </w:lvl>
  </w:abstractNum>
  <w:abstractNum w:abstractNumId="111">
    <w:nsid w:val="4FA0D2E3"/>
    <w:multiLevelType w:val="hybridMultilevel"/>
    <w:lvl w:ilvl="0">
      <w:lvlJc w:val="left"/>
      <w:lvlText w:val="(%1)"/>
      <w:numFmt w:val="lowerLetter"/>
      <w:start w:val="8"/>
    </w:lvl>
  </w:abstractNum>
  <w:abstractNum w:abstractNumId="112">
    <w:nsid w:val="6B1D2C14"/>
    <w:multiLevelType w:val="hybridMultilevel"/>
    <w:lvl w:ilvl="0">
      <w:lvlJc w:val="left"/>
      <w:lvlText w:val="(%1)"/>
      <w:numFmt w:val="lowerLetter"/>
      <w:start w:val="20"/>
    </w:lvl>
  </w:abstractNum>
  <w:abstractNum w:abstractNumId="113">
    <w:nsid w:val="68B867D3"/>
    <w:multiLevelType w:val="hybridMultilevel"/>
    <w:lvl w:ilvl="0">
      <w:lvlJc w:val="left"/>
      <w:lvlText w:val="%1"/>
      <w:numFmt w:val="lowerRoman"/>
      <w:start w:val="1"/>
    </w:lvl>
    <w:lvl w:ilvl="1">
      <w:lvlJc w:val="left"/>
      <w:lvlText w:val="(%2)"/>
      <w:numFmt w:val="lowerLetter"/>
      <w:start w:val="1"/>
    </w:lvl>
  </w:abstractNum>
  <w:abstractNum w:abstractNumId="114">
    <w:nsid w:val="3F7F5DD9"/>
    <w:multiLevelType w:val="hybridMultilevel"/>
    <w:lvl w:ilvl="0">
      <w:lvlJc w:val="left"/>
      <w:lvlText w:val="(%1)"/>
      <w:numFmt w:val="lowerRoman"/>
      <w:start w:val="1"/>
    </w:lvl>
    <w:lvl w:ilvl="1">
      <w:lvlJc w:val="left"/>
      <w:lvlText w:val="%2"/>
      <w:numFmt w:val="lowerLetter"/>
      <w:start w:val="1"/>
    </w:lvl>
  </w:abstractNum>
  <w:abstractNum w:abstractNumId="115">
    <w:nsid w:val="2AE05A34"/>
    <w:multiLevelType w:val="hybridMultilevel"/>
    <w:lvl w:ilvl="0">
      <w:lvlJc w:val="left"/>
      <w:lvlText w:val="(%1)"/>
      <w:numFmt w:val="lowerRoman"/>
      <w:start w:val="4"/>
    </w:lvl>
    <w:lvl w:ilvl="1">
      <w:lvlJc w:val="left"/>
      <w:lvlText w:val="(%2)"/>
      <w:numFmt w:val="lowerLetter"/>
      <w:start w:val="5"/>
    </w:lvl>
  </w:abstractNum>
  <w:abstractNum w:abstractNumId="116">
    <w:nsid w:val="32794FF7"/>
    <w:multiLevelType w:val="hybridMultilevel"/>
    <w:lvl w:ilvl="0">
      <w:lvlJc w:val="left"/>
      <w:lvlText w:val="(%1)"/>
      <w:numFmt w:val="lowerLetter"/>
      <w:start w:val="11"/>
    </w:lvl>
  </w:abstractNum>
  <w:abstractNum w:abstractNumId="117">
    <w:nsid w:val="5454945E"/>
    <w:multiLevelType w:val="hybridMultilevel"/>
    <w:lvl w:ilvl="0">
      <w:lvlJc w:val="left"/>
      <w:lvlText w:val="(%1)"/>
      <w:numFmt w:val="lowerLetter"/>
      <w:start w:val="1"/>
    </w:lvl>
  </w:abstractNum>
  <w:abstractNum w:abstractNumId="118">
    <w:nsid w:val="4DEFDFA0"/>
    <w:multiLevelType w:val="hybridMultilevel"/>
    <w:lvl w:ilvl="0">
      <w:lvlJc w:val="left"/>
      <w:lvlText w:val="(%1)"/>
      <w:numFmt w:val="lowerLetter"/>
      <w:start w:val="3"/>
    </w:lvl>
  </w:abstractNum>
  <w:abstractNum w:abstractNumId="119">
    <w:nsid w:val="2123D5F2"/>
    <w:multiLevelType w:val="hybridMultilevel"/>
    <w:lvl w:ilvl="0">
      <w:lvlJc w:val="left"/>
      <w:lvlText w:val="%1"/>
      <w:numFmt w:val="lowerLetter"/>
      <w:start w:val="1"/>
    </w:lvl>
    <w:lvl w:ilvl="1">
      <w:lvlJc w:val="left"/>
      <w:lvlText w:val="(%2)"/>
      <w:numFmt w:val="lowerLetter"/>
      <w:start w:val="1"/>
    </w:lvl>
  </w:abstractNum>
  <w:abstractNum w:abstractNumId="120">
    <w:nsid w:val="135B8110"/>
    <w:multiLevelType w:val="hybridMultilevel"/>
    <w:lvl w:ilvl="0">
      <w:lvlJc w:val="left"/>
      <w:lvlText w:val="(%1)"/>
      <w:numFmt w:val="lowerLetter"/>
      <w:start w:val="9"/>
    </w:lvl>
    <w:lvl w:ilvl="1">
      <w:lvlJc w:val="left"/>
      <w:lvlText w:val="(%2)"/>
      <w:numFmt w:val="lowerLetter"/>
      <w:start w:val="4"/>
    </w:lvl>
  </w:abstractNum>
  <w:abstractNum w:abstractNumId="121">
    <w:nsid w:val="94927A8"/>
    <w:multiLevelType w:val="hybridMultilevel"/>
    <w:lvl w:ilvl="0">
      <w:lvlJc w:val="left"/>
      <w:lvlText w:val="(%1)"/>
      <w:numFmt w:val="lowerLetter"/>
      <w:start w:val="5"/>
    </w:lvl>
  </w:abstractNum>
  <w:abstractNum w:abstractNumId="122">
    <w:nsid w:val="DCDF8F6"/>
    <w:multiLevelType w:val="hybridMultilevel"/>
    <w:lvl w:ilvl="0">
      <w:lvlJc w:val="left"/>
      <w:lvlText w:val="(%1)"/>
      <w:numFmt w:val="lowerLetter"/>
      <w:start w:val="18"/>
    </w:lvl>
  </w:abstractNum>
  <w:abstractNum w:abstractNumId="123">
    <w:nsid w:val="52D7B105"/>
    <w:multiLevelType w:val="hybridMultilevel"/>
    <w:lvl w:ilvl="0">
      <w:lvlJc w:val="left"/>
      <w:lvlText w:val="(%1)"/>
      <w:numFmt w:val="lowerLetter"/>
      <w:start w:val="1"/>
    </w:lvl>
  </w:abstractNum>
  <w:abstractNum w:abstractNumId="124">
    <w:nsid w:val="2E8A6394"/>
    <w:multiLevelType w:val="hybridMultilevel"/>
    <w:lvl w:ilvl="0">
      <w:lvlJc w:val="left"/>
      <w:lvlText w:val="(%1)"/>
      <w:numFmt w:val="lowerLetter"/>
      <w:start w:val="8"/>
    </w:lvl>
  </w:abstractNum>
  <w:abstractNum w:abstractNumId="125">
    <w:nsid w:val="24E60401"/>
    <w:multiLevelType w:val="hybridMultilevel"/>
    <w:lvl w:ilvl="0">
      <w:lvlJc w:val="left"/>
      <w:lvlText w:val="(%1)"/>
      <w:numFmt w:val="lowerLetter"/>
      <w:start w:val="1"/>
    </w:lvl>
  </w:abstractNum>
  <w:abstractNum w:abstractNumId="126">
    <w:nsid w:val="2A6AD9BE"/>
    <w:multiLevelType w:val="hybridMultilevel"/>
    <w:lvl w:ilvl="0">
      <w:lvlJc w:val="left"/>
      <w:lvlText w:val="(%1)"/>
      <w:numFmt w:val="lowerLetter"/>
      <w:start w:val="1"/>
    </w:lvl>
  </w:abstractNum>
  <w:abstractNum w:abstractNumId="127">
    <w:nsid w:val="BAAC1B4"/>
    <w:multiLevelType w:val="hybridMultilevel"/>
    <w:lvl w:ilvl="0">
      <w:lvlJc w:val="left"/>
      <w:lvlText w:val="(%1)"/>
      <w:numFmt w:val="lowerLetter"/>
      <w:start w:val="2"/>
    </w:lvl>
  </w:abstractNum>
  <w:abstractNum w:abstractNumId="128">
    <w:nsid w:val="36B2ACBC"/>
    <w:multiLevelType w:val="hybridMultilevel"/>
    <w:lvl w:ilvl="0">
      <w:lvlJc w:val="left"/>
      <w:lvlText w:val="(%1)"/>
      <w:numFmt w:val="lowerLetter"/>
      <w:start w:val="6"/>
    </w:lvl>
  </w:abstractNum>
  <w:abstractNum w:abstractNumId="129">
    <w:nsid w:val="779D8544"/>
    <w:multiLevelType w:val="hybridMultilevel"/>
    <w:lvl w:ilvl="0">
      <w:lvlJc w:val="left"/>
      <w:lvlText w:val="(%1)"/>
      <w:numFmt w:val="lowerLetter"/>
      <w:start w:val="9"/>
    </w:lvl>
  </w:abstractNum>
  <w:abstractNum w:abstractNumId="130">
    <w:nsid w:val="4AB26E78"/>
    <w:multiLevelType w:val="hybridMultilevel"/>
    <w:lvl w:ilvl="0">
      <w:lvlJc w:val="left"/>
      <w:lvlText w:val="(%1)"/>
      <w:numFmt w:val="lowerRoman"/>
      <w:start w:val="3"/>
    </w:lvl>
  </w:abstractNum>
  <w:abstractNum w:abstractNumId="131">
    <w:nsid w:val="21FAA2FA"/>
    <w:multiLevelType w:val="hybridMultilevel"/>
    <w:lvl w:ilvl="0">
      <w:lvlJc w:val="left"/>
      <w:lvlText w:val="(%1)"/>
      <w:numFmt w:val="lowerLetter"/>
      <w:start w:val="1"/>
    </w:lvl>
  </w:abstractNum>
  <w:abstractNum w:abstractNumId="132">
    <w:nsid w:val="5451CF49"/>
    <w:multiLevelType w:val="hybridMultilevel"/>
    <w:lvl w:ilvl="0">
      <w:lvlJc w:val="left"/>
      <w:lvlText w:val="(%1)"/>
      <w:numFmt w:val="lowerLetter"/>
      <w:start w:val="6"/>
    </w:lvl>
  </w:abstractNum>
  <w:abstractNum w:abstractNumId="133">
    <w:nsid w:val="6181EF69"/>
    <w:multiLevelType w:val="hybridMultilevel"/>
    <w:lvl w:ilvl="0">
      <w:lvlJc w:val="left"/>
      <w:lvlText w:val="(%1)"/>
      <w:numFmt w:val="lowerLetter"/>
      <w:start w:val="12"/>
    </w:lvl>
  </w:abstractNum>
  <w:abstractNum w:abstractNumId="134">
    <w:nsid w:val="3E6400E6"/>
    <w:multiLevelType w:val="hybridMultilevel"/>
    <w:lvl w:ilvl="0">
      <w:lvlJc w:val="left"/>
      <w:lvlText w:val="(%1)"/>
      <w:numFmt w:val="lowerRoman"/>
      <w:start w:val="2"/>
    </w:lvl>
  </w:abstractNum>
  <w:abstractNum w:abstractNumId="135">
    <w:nsid w:val="14217E23"/>
    <w:multiLevelType w:val="hybridMultilevel"/>
    <w:lvl w:ilvl="0">
      <w:lvlJc w:val="left"/>
      <w:lvlText w:val="(%1)"/>
      <w:numFmt w:val="lowerLetter"/>
      <w:start w:val="1"/>
    </w:lvl>
  </w:abstractNum>
  <w:abstractNum w:abstractNumId="136">
    <w:nsid w:val="710757D0"/>
    <w:multiLevelType w:val="hybridMultilevel"/>
    <w:lvl w:ilvl="0">
      <w:lvlJc w:val="left"/>
      <w:lvlText w:val="(%1)"/>
      <w:numFmt w:val="lowerLetter"/>
      <w:start w:val="3"/>
    </w:lvl>
    <w:lvl w:ilvl="1">
      <w:lvlJc w:val="left"/>
      <w:lvlText w:val="(%2)"/>
      <w:numFmt w:val="lowerRoman"/>
      <w:start w:val="1"/>
    </w:lvl>
  </w:abstractNum>
  <w:abstractNum w:abstractNumId="137">
    <w:nsid w:val="5015CD1A"/>
    <w:multiLevelType w:val="hybridMultilevel"/>
    <w:lvl w:ilvl="0">
      <w:lvlJc w:val="left"/>
      <w:lvlText w:val="(%1)"/>
      <w:numFmt w:val="lowerLetter"/>
      <w:start w:val="5"/>
    </w:lvl>
    <w:lvl w:ilvl="1">
      <w:lvlJc w:val="left"/>
      <w:lvlText w:val="(%2)"/>
      <w:numFmt w:val="lowerRoman"/>
      <w:start w:val="1"/>
    </w:lvl>
  </w:abstractNum>
  <w:abstractNum w:abstractNumId="138">
    <w:nsid w:val="424479DA"/>
    <w:multiLevelType w:val="hybridMultilevel"/>
    <w:lvl w:ilvl="0">
      <w:lvlJc w:val="left"/>
      <w:lvlText w:val="(%1)"/>
      <w:numFmt w:val="lowerLetter"/>
      <w:start w:val="7"/>
    </w:lvl>
  </w:abstractNum>
  <w:abstractNum w:abstractNumId="139">
    <w:nsid w:val="1A9A9E69"/>
    <w:multiLevelType w:val="hybridMultilevel"/>
    <w:lvl w:ilvl="0">
      <w:lvlJc w:val="left"/>
      <w:lvlText w:val="(%1)"/>
      <w:numFmt w:val="lowerLetter"/>
      <w:start w:val="1"/>
    </w:lvl>
  </w:abstractNum>
  <w:abstractNum w:abstractNumId="140">
    <w:nsid w:val="475E256A"/>
    <w:multiLevelType w:val="hybridMultilevel"/>
    <w:lvl w:ilvl="0">
      <w:lvlJc w:val="left"/>
      <w:lvlText w:val="(%1)"/>
      <w:numFmt w:val="lowerLetter"/>
      <w:start w:val="3"/>
    </w:lvl>
  </w:abstractNum>
  <w:abstractNum w:abstractNumId="141">
    <w:nsid w:val="368DB37E"/>
    <w:multiLevelType w:val="hybridMultilevel"/>
    <w:lvl w:ilvl="0">
      <w:lvlJc w:val="left"/>
      <w:lvlText w:val="(%1)"/>
      <w:numFmt w:val="lowerLetter"/>
      <w:start w:val="1"/>
    </w:lvl>
  </w:abstractNum>
  <w:abstractNum w:abstractNumId="142">
    <w:nsid w:val="6A3B714C"/>
    <w:multiLevelType w:val="hybridMultilevel"/>
    <w:lvl w:ilvl="0">
      <w:lvlJc w:val="left"/>
      <w:lvlText w:val="(%1)"/>
      <w:numFmt w:val="lowerLetter"/>
      <w:start w:val="3"/>
    </w:lvl>
  </w:abstractNum>
  <w:abstractNum w:abstractNumId="143">
    <w:nsid w:val="327B517E"/>
    <w:multiLevelType w:val="hybridMultilevel"/>
    <w:lvl w:ilvl="0">
      <w:lvlJc w:val="left"/>
      <w:lvlText w:val="(%1)"/>
      <w:numFmt w:val="lowerLetter"/>
      <w:start w:val="4"/>
    </w:lvl>
  </w:abstractNum>
  <w:abstractNum w:abstractNumId="144">
    <w:nsid w:val="1F461B51"/>
    <w:multiLevelType w:val="hybridMultilevel"/>
    <w:lvl w:ilvl="0">
      <w:lvlJc w:val="left"/>
      <w:lvlText w:val="%1"/>
      <w:numFmt w:val="decimal"/>
      <w:start w:val="1"/>
    </w:lvl>
    <w:lvl w:ilvl="1">
      <w:lvlJc w:val="left"/>
      <w:lvlText w:val="(%2)"/>
      <w:numFmt w:val="lowerLetter"/>
      <w:start w:val="1"/>
    </w:lvl>
  </w:abstractNum>
  <w:abstractNum w:abstractNumId="145">
    <w:nsid w:val="29BACF25"/>
    <w:multiLevelType w:val="hybridMultilevel"/>
    <w:lvl w:ilvl="0">
      <w:lvlJc w:val="left"/>
      <w:lvlText w:val="(%1)"/>
      <w:numFmt w:val="decimal"/>
      <w:start w:val="30"/>
    </w:lvl>
    <w:lvl w:ilvl="1">
      <w:lvlJc w:val="left"/>
      <w:lvlText w:val="(%2)"/>
      <w:numFmt w:val="lowerLetter"/>
      <w:start w:val="2"/>
    </w:lvl>
  </w:abstractNum>
  <w:abstractNum w:abstractNumId="146">
    <w:nsid w:val="5D5BABB3"/>
    <w:multiLevelType w:val="hybridMultilevel"/>
    <w:lvl w:ilvl="0">
      <w:lvlJc w:val="left"/>
      <w:lvlText w:val="(%1)"/>
      <w:numFmt w:val="lowerLetter"/>
      <w:start w:val="1"/>
    </w:lvl>
  </w:abstractNum>
  <w:abstractNum w:abstractNumId="147">
    <w:nsid w:val="51BF6B48"/>
    <w:multiLevelType w:val="hybridMultilevel"/>
    <w:lvl w:ilvl="0">
      <w:lvlJc w:val="left"/>
      <w:lvlText w:val="(%1)"/>
      <w:numFmt w:val="lowerLetter"/>
      <w:start w:val="3"/>
    </w:lvl>
    <w:lvl w:ilvl="1">
      <w:lvlJc w:val="left"/>
      <w:lvlText w:val="(%2)"/>
      <w:numFmt w:val="lowerRoman"/>
      <w:start w:val="1"/>
    </w:lvl>
  </w:abstractNum>
  <w:abstractNum w:abstractNumId="148">
    <w:nsid w:val="7E0F6384"/>
    <w:multiLevelType w:val="hybridMultilevel"/>
    <w:lvl w:ilvl="0">
      <w:lvlJc w:val="left"/>
      <w:lvlText w:val="(%1)"/>
      <w:numFmt w:val="lowerRoman"/>
      <w:start w:val="3"/>
    </w:lvl>
  </w:abstractNum>
  <w:abstractNum w:abstractNumId="149">
    <w:nsid w:val="2B4B8B53"/>
    <w:multiLevelType w:val="hybridMultilevel"/>
    <w:lvl w:ilvl="0">
      <w:lvlJc w:val="left"/>
      <w:lvlText w:val="(%1)"/>
      <w:numFmt w:val="lowerLetter"/>
      <w:start w:val="1"/>
    </w:lvl>
  </w:abstractNum>
  <w:abstractNum w:abstractNumId="150">
    <w:nsid w:val="72E3413A"/>
    <w:multiLevelType w:val="hybridMultilevel"/>
    <w:lvl w:ilvl="0">
      <w:lvlJc w:val="left"/>
      <w:lvlText w:val="(%1)"/>
      <w:numFmt w:val="lowerLetter"/>
      <w:start w:val="3"/>
    </w:lvl>
  </w:abstractNum>
  <w:abstractNum w:abstractNumId="151">
    <w:nsid w:val="116AE494"/>
    <w:multiLevelType w:val="hybridMultilevel"/>
    <w:lvl w:ilvl="0">
      <w:lvlJc w:val="left"/>
      <w:lvlText w:val="(%1)"/>
      <w:numFmt w:val="lowerLetter"/>
      <w:start w:val="1"/>
    </w:lvl>
    <w:lvl w:ilvl="1">
      <w:lvlJc w:val="left"/>
      <w:lvlText w:val="(%2)"/>
      <w:numFmt w:val="lowerRoman"/>
      <w:start w:val="1"/>
    </w:lvl>
  </w:abstractNum>
  <w:abstractNum w:abstractNumId="152">
    <w:nsid w:val="3494B2FB"/>
    <w:multiLevelType w:val="hybridMultilevel"/>
    <w:lvl w:ilvl="0">
      <w:lvlJc w:val="left"/>
      <w:lvlText w:val="(%1)"/>
      <w:numFmt w:val="lowerRoman"/>
      <w:start w:val="4"/>
    </w:lvl>
  </w:abstractNum>
  <w:abstractNum w:abstractNumId="153">
    <w:nsid w:val="B13A31"/>
    <w:multiLevelType w:val="hybridMultilevel"/>
    <w:lvl w:ilvl="0">
      <w:lvlJc w:val="left"/>
      <w:lvlText w:val="(%1)"/>
      <w:numFmt w:val="lowerLetter"/>
      <w:start w:val="2"/>
    </w:lvl>
  </w:abstractNum>
  <w:abstractNum w:abstractNumId="154">
    <w:nsid w:val="64429599"/>
    <w:multiLevelType w:val="hybridMultilevel"/>
    <w:lvl w:ilvl="0">
      <w:lvlJc w:val="left"/>
      <w:lvlText w:val="(%1)"/>
      <w:numFmt w:val="lowerLetter"/>
      <w:start w:val="1"/>
    </w:lvl>
  </w:abstractNum>
  <w:abstractNum w:abstractNumId="155">
    <w:nsid w:val="631F1690"/>
    <w:multiLevelType w:val="hybridMultilevel"/>
    <w:lvl w:ilvl="0">
      <w:lvlJc w:val="left"/>
      <w:lvlText w:val="(%1)"/>
      <w:numFmt w:val="lowerRoman"/>
      <w:start w:val="1"/>
    </w:lvl>
  </w:abstractNum>
  <w:abstractNum w:abstractNumId="156">
    <w:nsid w:val="25973E32"/>
    <w:multiLevelType w:val="hybridMultilevel"/>
    <w:lvl w:ilvl="0">
      <w:lvlJc w:val="left"/>
      <w:lvlText w:val="(%1)"/>
      <w:numFmt w:val="lowerRoman"/>
      <w:start w:val="2"/>
    </w:lvl>
  </w:abstractNum>
  <w:abstractNum w:abstractNumId="157">
    <w:nsid w:val="EAD6F57"/>
    <w:multiLevelType w:val="hybridMultilevel"/>
    <w:lvl w:ilvl="0">
      <w:lvlJc w:val="left"/>
      <w:lvlText w:val="(%1)"/>
      <w:numFmt w:val="lowerRoman"/>
      <w:start w:val="3"/>
    </w:lvl>
  </w:abstractNum>
  <w:abstractNum w:abstractNumId="158">
    <w:nsid w:val="6EC9D844"/>
    <w:multiLevelType w:val="hybridMultilevel"/>
    <w:lvl w:ilvl="0">
      <w:lvlJc w:val="left"/>
      <w:lvlText w:val="(%1)"/>
      <w:numFmt w:val="lowerLetter"/>
      <w:start w:val="2"/>
    </w:lvl>
  </w:abstractNum>
  <w:abstractNum w:abstractNumId="159">
    <w:nsid w:val="5C49EAEE"/>
    <w:multiLevelType w:val="hybridMultilevel"/>
    <w:lvl w:ilvl="0">
      <w:lvlJc w:val="left"/>
      <w:lvlText w:val="(%1)"/>
      <w:numFmt w:val="lowerLetter"/>
      <w:start w:val="3"/>
    </w:lvl>
  </w:abstractNum>
  <w:abstractNum w:abstractNumId="160">
    <w:nsid w:val="64AF49B"/>
    <w:multiLevelType w:val="hybridMultilevel"/>
    <w:lvl w:ilvl="0">
      <w:lvlJc w:val="left"/>
      <w:lvlText w:val="(%1)"/>
      <w:numFmt w:val="lowerLetter"/>
      <w:start w:val="1"/>
    </w:lvl>
  </w:abstractNum>
  <w:abstractNum w:abstractNumId="161">
    <w:nsid w:val="397C46BC"/>
    <w:multiLevelType w:val="hybridMultilevel"/>
    <w:lvl w:ilvl="0">
      <w:lvlJc w:val="left"/>
      <w:lvlText w:val="(%1)"/>
      <w:numFmt w:val="upperLetter"/>
      <w:start w:val="7"/>
    </w:lvl>
    <w:lvl w:ilvl="1">
      <w:lvlJc w:val="left"/>
      <w:lvlText w:val="(%2)"/>
      <w:numFmt w:val="lowerLetter"/>
      <w:start w:val="3"/>
    </w:lvl>
  </w:abstractNum>
  <w:abstractNum w:abstractNumId="162">
    <w:nsid w:val="7E448DE9"/>
    <w:multiLevelType w:val="hybridMultilevel"/>
    <w:lvl w:ilvl="0">
      <w:lvlJc w:val="left"/>
      <w:lvlText w:val="(%1)"/>
      <w:numFmt w:val="lowerLetter"/>
      <w:start w:val="4"/>
    </w:lvl>
  </w:abstractNum>
  <w:abstractNum w:abstractNumId="163">
    <w:nsid w:val="5A9CC3E5"/>
    <w:multiLevelType w:val="hybridMultilevel"/>
    <w:lvl w:ilvl="0">
      <w:lvlJc w:val="left"/>
      <w:lvlText w:val="(%1)"/>
      <w:numFmt w:val="lowerLetter"/>
      <w:start w:val="1"/>
    </w:lvl>
    <w:lvl w:ilvl="1">
      <w:lvlJc w:val="left"/>
      <w:lvlText w:val="(%2)"/>
      <w:numFmt w:val="lowerRoman"/>
      <w:start w:val="1"/>
    </w:lvl>
  </w:abstractNum>
  <w:abstractNum w:abstractNumId="164">
    <w:nsid w:val="1AFE3625"/>
    <w:multiLevelType w:val="hybridMultilevel"/>
    <w:lvl w:ilvl="0">
      <w:lvlJc w:val="left"/>
      <w:lvlText w:val="(%1)"/>
      <w:numFmt w:val="lowerLetter"/>
      <w:start w:val="2"/>
    </w:lvl>
  </w:abstractNum>
  <w:abstractNum w:abstractNumId="165">
    <w:nsid w:val="3CA88ECF"/>
    <w:multiLevelType w:val="hybridMultilevel"/>
    <w:lvl w:ilvl="0">
      <w:lvlJc w:val="left"/>
      <w:lvlText w:val="(%1)"/>
      <w:numFmt w:val="lowerLetter"/>
      <w:start w:val="5"/>
    </w:lvl>
  </w:abstractNum>
  <w:abstractNum w:abstractNumId="166">
    <w:nsid w:val="6EBE4208"/>
    <w:multiLevelType w:val="hybridMultilevel"/>
    <w:lvl w:ilvl="0">
      <w:lvlJc w:val="left"/>
      <w:lvlText w:val="(%1)"/>
      <w:numFmt w:val="lowerLetter"/>
      <w:start w:val="1"/>
    </w:lvl>
    <w:lvl w:ilvl="1">
      <w:lvlJc w:val="left"/>
      <w:lvlText w:val="(%2)"/>
      <w:numFmt w:val="upperLetter"/>
      <w:start w:val="1"/>
    </w:lvl>
  </w:abstractNum>
  <w:abstractNum w:abstractNumId="167">
    <w:nsid w:val="C058DF5"/>
    <w:multiLevelType w:val="hybridMultilevel"/>
    <w:lvl w:ilvl="0">
      <w:lvlJc w:val="left"/>
      <w:lvlText w:val="%1"/>
      <w:numFmt w:val="lowerRoman"/>
      <w:start w:val="1"/>
    </w:lvl>
    <w:lvl w:ilvl="1">
      <w:lvlJc w:val="left"/>
      <w:lvlText w:val="(%2)"/>
      <w:numFmt w:val="upperLetter"/>
      <w:start w:val="2"/>
    </w:lvl>
  </w:abstractNum>
  <w:abstractNum w:abstractNumId="168">
    <w:nsid w:val="CBE5BE9"/>
    <w:multiLevelType w:val="hybridMultilevel"/>
    <w:lvl w:ilvl="0">
      <w:lvlJc w:val="left"/>
      <w:lvlText w:val="(%1)"/>
      <w:numFmt w:val="lowerRoman"/>
      <w:start w:val="2"/>
    </w:lvl>
    <w:lvl w:ilvl="1">
      <w:lvlJc w:val="left"/>
      <w:lvlText w:val="(%2)"/>
      <w:numFmt w:val="upperLetter"/>
      <w:start w:val="1"/>
    </w:lvl>
  </w:abstractNum>
  <w:abstractNum w:abstractNumId="169">
    <w:nsid w:val="3102BBE2"/>
    <w:multiLevelType w:val="hybridMultilevel"/>
    <w:lvl w:ilvl="0">
      <w:lvlJc w:val="left"/>
      <w:lvlText w:val="(%1)"/>
      <w:numFmt w:val="lowerRoman"/>
      <w:start w:val="3"/>
    </w:lvl>
  </w:abstractNum>
  <w:abstractNum w:abstractNumId="170">
    <w:nsid w:val="26A02C5E"/>
    <w:multiLevelType w:val="hybridMultilevel"/>
    <w:lvl w:ilvl="0">
      <w:lvlJc w:val="left"/>
      <w:lvlText w:val="(%1)"/>
      <w:numFmt w:val="lowerLetter"/>
      <w:start w:val="3"/>
    </w:lvl>
  </w:abstractNum>
  <w:abstractNum w:abstractNumId="171">
    <w:nsid w:val="541C8153"/>
    <w:multiLevelType w:val="hybridMultilevel"/>
    <w:lvl w:ilvl="0">
      <w:lvlJc w:val="left"/>
      <w:lvlText w:val="(%1)"/>
      <w:numFmt w:val="lowerLetter"/>
      <w:start w:val="4"/>
    </w:lvl>
  </w:abstractNum>
  <w:abstractNum w:abstractNumId="172">
    <w:nsid w:val="67906F60"/>
    <w:multiLevelType w:val="hybridMultilevel"/>
    <w:lvl w:ilvl="0">
      <w:lvlJc w:val="left"/>
      <w:lvlText w:val="%1"/>
      <w:numFmt w:val="lowerLetter"/>
      <w:start w:val="1"/>
    </w:lvl>
    <w:lvl w:ilvl="1">
      <w:lvlJc w:val="left"/>
      <w:lvlText w:val="(%2)"/>
      <w:numFmt w:val="lowerLetter"/>
      <w:start w:val="1"/>
    </w:lvl>
  </w:abstractNum>
  <w:abstractNum w:abstractNumId="173">
    <w:nsid w:val="10DB9DAA"/>
    <w:multiLevelType w:val="hybridMultilevel"/>
    <w:lvl w:ilvl="0">
      <w:lvlJc w:val="left"/>
      <w:lvlText w:val="(%1)"/>
      <w:numFmt w:val="lowerLetter"/>
      <w:start w:val="26"/>
    </w:lvl>
    <w:lvl w:ilvl="1">
      <w:lvlJc w:val="left"/>
      <w:lvlText w:val="%2"/>
      <w:numFmt w:val="lowerLetter"/>
      <w:start w:val="1"/>
    </w:lvl>
  </w:abstractNum>
  <w:abstractNum w:abstractNumId="174">
    <w:nsid w:val="697D2D2"/>
    <w:multiLevelType w:val="hybridMultilevel"/>
    <w:lvl w:ilvl="0">
      <w:lvlJc w:val="left"/>
      <w:lvlText w:val="(%1)"/>
      <w:numFmt w:val="lowerLetter"/>
      <w:start w:val="1"/>
    </w:lvl>
  </w:abstractNum>
  <w:abstractNum w:abstractNumId="175">
    <w:nsid w:val="6D68AB2"/>
    <w:multiLevelType w:val="hybridMultilevel"/>
    <w:lvl w:ilvl="0">
      <w:lvlJc w:val="left"/>
      <w:lvlText w:val="(%1)"/>
      <w:numFmt w:val="lowerLetter"/>
      <w:start w:val="4"/>
    </w:lvl>
  </w:abstractNum>
  <w:abstractNum w:abstractNumId="176">
    <w:nsid w:val="3A966CD0"/>
    <w:multiLevelType w:val="hybridMultilevel"/>
    <w:lvl w:ilvl="0">
      <w:lvlJc w:val="left"/>
      <w:lvlText w:val="(%1)"/>
      <w:numFmt w:val="lowerLetter"/>
      <w:start w:val="1"/>
    </w:lvl>
    <w:lvl w:ilvl="1">
      <w:lvlJc w:val="left"/>
      <w:lvlText w:val="(%2)"/>
      <w:numFmt w:val="lowerLetter"/>
      <w:start w:val="9"/>
    </w:lvl>
  </w:abstractNum>
  <w:abstractNum w:abstractNumId="177">
    <w:nsid w:val="63F37E85"/>
    <w:multiLevelType w:val="hybridMultilevel"/>
    <w:lvl w:ilvl="0">
      <w:lvlJc w:val="left"/>
      <w:lvlText w:val="%1"/>
      <w:numFmt w:val="upperLetter"/>
      <w:start w:val="1"/>
    </w:lvl>
    <w:lvl w:ilvl="1">
      <w:lvlJc w:val="left"/>
      <w:lvlText w:val="(%2)"/>
      <w:numFmt w:val="lowerRoman"/>
      <w:start w:val="2"/>
    </w:lvl>
  </w:abstractNum>
  <w:abstractNum w:abstractNumId="178">
    <w:nsid w:val="5895F5FA"/>
    <w:multiLevelType w:val="hybridMultilevel"/>
    <w:lvl w:ilvl="0">
      <w:lvlJc w:val="left"/>
      <w:lvlText w:val="(%1)"/>
      <w:numFmt w:val="upperLetter"/>
      <w:start w:val="3"/>
    </w:lvl>
    <w:lvl w:ilvl="1">
      <w:lvlJc w:val="left"/>
      <w:lvlText w:val="(%2)"/>
      <w:numFmt w:val="lowerRoman"/>
      <w:start w:val="3"/>
    </w:lvl>
  </w:abstractNum>
  <w:abstractNum w:abstractNumId="179">
    <w:nsid w:val="38A5D054"/>
    <w:multiLevelType w:val="hybridMultilevel"/>
    <w:lvl w:ilvl="0">
      <w:lvlJc w:val="left"/>
      <w:lvlText w:val="(%1)"/>
      <w:numFmt w:val="lowerRoman"/>
      <w:start w:val="6"/>
    </w:lvl>
  </w:abstractNum>
  <w:abstractNum w:abstractNumId="180">
    <w:nsid w:val="F3F09D8"/>
    <w:multiLevelType w:val="hybridMultilevel"/>
    <w:lvl w:ilvl="0">
      <w:lvlJc w:val="left"/>
      <w:lvlText w:val="(%1)"/>
      <w:numFmt w:val="lowerLetter"/>
      <w:start w:val="1"/>
    </w:lvl>
  </w:abstractNum>
  <w:abstractNum w:abstractNumId="181">
    <w:nsid w:val="4B793735"/>
    <w:multiLevelType w:val="hybridMultilevel"/>
    <w:lvl w:ilvl="0">
      <w:lvlJc w:val="left"/>
      <w:lvlText w:val="(%1)"/>
      <w:numFmt w:val="lowerLetter"/>
      <w:start w:val="1"/>
    </w:lvl>
    <w:lvl w:ilvl="1">
      <w:lvlJc w:val="left"/>
      <w:lvlText w:val="(%2)"/>
      <w:numFmt w:val="lowerRoman"/>
      <w:start w:val="1"/>
    </w:lvl>
  </w:abstractNum>
  <w:abstractNum w:abstractNumId="182">
    <w:nsid w:val="4A10B4E8"/>
    <w:multiLevelType w:val="hybridMultilevel"/>
    <w:lvl w:ilvl="0">
      <w:lvlJc w:val="left"/>
      <w:lvlText w:val="(%1)"/>
      <w:numFmt w:val="lowerLetter"/>
      <w:start w:val="1"/>
    </w:lvl>
  </w:abstractNum>
  <w:abstractNum w:abstractNumId="183">
    <w:nsid w:val="43D3BCD4"/>
    <w:multiLevelType w:val="hybridMultilevel"/>
    <w:lvl w:ilvl="0">
      <w:lvlJc w:val="left"/>
      <w:lvlText w:val="(%1)"/>
      <w:numFmt w:val="lowerRoman"/>
      <w:start w:val="2"/>
    </w:lvl>
  </w:abstractNum>
  <w:abstractNum w:abstractNumId="184">
    <w:nsid w:val="4C2A7166"/>
    <w:multiLevelType w:val="hybridMultilevel"/>
    <w:lvl w:ilvl="0">
      <w:lvlJc w:val="left"/>
      <w:lvlText w:val="(%1)"/>
      <w:numFmt w:val="lowerLetter"/>
      <w:start w:val="2"/>
    </w:lvl>
  </w:abstractNum>
  <w:abstractNum w:abstractNumId="185">
    <w:nsid w:val="2E534A82"/>
    <w:multiLevelType w:val="hybridMultilevel"/>
    <w:lvl w:ilvl="0">
      <w:lvlJc w:val="left"/>
      <w:lvlText w:val="(%1)"/>
      <w:numFmt w:val="lowerLetter"/>
      <w:start w:val="1"/>
    </w:lvl>
  </w:abstractNum>
  <w:abstractNum w:abstractNumId="186">
    <w:nsid w:val="26F2D364"/>
    <w:multiLevelType w:val="hybridMultilevel"/>
    <w:lvl w:ilvl="0">
      <w:lvlJc w:val="left"/>
      <w:lvlText w:val="(%1)"/>
      <w:numFmt w:val="lowerLetter"/>
      <w:start w:val="2"/>
    </w:lvl>
  </w:abstractNum>
  <w:abstractNum w:abstractNumId="187">
    <w:nsid w:val="71C1AF98"/>
    <w:multiLevelType w:val="hybridMultilevel"/>
    <w:lvl w:ilvl="0">
      <w:lvlJc w:val="left"/>
      <w:lvlText w:val="%1."/>
      <w:numFmt w:val="decimal"/>
      <w:start w:val="4"/>
    </w:lvl>
  </w:abstractNum>
  <w:abstractNum w:abstractNumId="188">
    <w:nsid w:val="3D00B9D9"/>
    <w:multiLevelType w:val="hybridMultilevel"/>
    <w:lvl w:ilvl="0">
      <w:lvlJc w:val="left"/>
      <w:lvlText w:val="1"/>
      <w:numFmt w:val="bullet"/>
      <w:start w:val="1"/>
    </w:lvl>
  </w:abstractNum>
  <w:abstractNum w:abstractNumId="189">
    <w:nsid w:val="15BCABA8"/>
    <w:multiLevelType w:val="hybridMultilevel"/>
    <w:lvl w:ilvl="0">
      <w:lvlJc w:val="left"/>
      <w:lvlText w:val="2"/>
      <w:numFmt w:val="bullet"/>
      <w:start w:val="1"/>
    </w:lvl>
  </w:abstractNum>
  <w:abstractNum w:abstractNumId="190">
    <w:nsid w:val="4E0B9A87"/>
    <w:multiLevelType w:val="hybridMultilevel"/>
    <w:lvl w:ilvl="0">
      <w:lvlJc w:val="left"/>
      <w:lvlText w:val="4"/>
      <w:numFmt w:val="bullet"/>
      <w:start w:val="1"/>
    </w:lvl>
  </w:abstractNum>
  <w:abstractNum w:abstractNumId="191">
    <w:nsid w:val="434BAE75"/>
    <w:multiLevelType w:val="hybridMultilevel"/>
    <w:lvl w:ilvl="0">
      <w:lvlJc w:val="left"/>
      <w:lvlText w:val="5"/>
      <w:numFmt w:val="bullet"/>
      <w:start w:val="1"/>
    </w:lvl>
  </w:abstractNum>
  <w:abstractNum w:abstractNumId="192">
    <w:nsid w:val="4F38F265"/>
    <w:multiLevelType w:val="hybridMultilevel"/>
    <w:lvl w:ilvl="0">
      <w:lvlJc w:val="left"/>
      <w:lvlText w:val="%1."/>
      <w:numFmt w:val="decimal"/>
      <w:start w:val="1"/>
    </w:lvl>
  </w:abstractNum>
  <w:abstractNum w:abstractNumId="193">
    <w:nsid w:val="4C502870"/>
    <w:multiLevelType w:val="hybridMultilevel"/>
    <w:lvl w:ilvl="0">
      <w:lvlJc w:val="left"/>
      <w:lvlText w:val="%1."/>
      <w:numFmt w:val="decimal"/>
      <w:start w:val="2"/>
    </w:lvl>
  </w:abstractNum>
  <w:abstractNum w:abstractNumId="194">
    <w:nsid w:val="1DE8725A"/>
    <w:multiLevelType w:val="hybridMultilevel"/>
    <w:lvl w:ilvl="0">
      <w:lvlJc w:val="left"/>
      <w:lvlText w:val="6"/>
      <w:numFmt w:val="bullet"/>
      <w:start w:val="1"/>
    </w:lvl>
  </w:abstractNum>
  <w:abstractNum w:abstractNumId="195">
    <w:nsid w:val="6A37288A"/>
    <w:multiLevelType w:val="hybridMultilevel"/>
    <w:lvl w:ilvl="0">
      <w:lvlJc w:val="left"/>
      <w:lvlText w:val="%1."/>
      <w:numFmt w:val="decimal"/>
      <w:start w:val="1"/>
    </w:lvl>
  </w:abstractNum>
  <w:abstractNum w:abstractNumId="196">
    <w:nsid w:val="8F8B73F"/>
    <w:multiLevelType w:val="hybridMultilevel"/>
    <w:lvl w:ilvl="0">
      <w:lvlJc w:val="left"/>
      <w:lvlText w:val="7"/>
      <w:numFmt w:val="bullet"/>
      <w:start w:val="1"/>
    </w:lvl>
  </w:abstractNum>
  <w:abstractNum w:abstractNumId="197">
    <w:nsid w:val="CA6B462"/>
    <w:multiLevelType w:val="hybridMultilevel"/>
    <w:lvl w:ilvl="0">
      <w:lvlJc w:val="left"/>
      <w:lvlText w:val="8"/>
      <w:numFmt w:val="bullet"/>
      <w:start w:val="1"/>
    </w:lvl>
  </w:abstractNum>
  <w:abstractNum w:abstractNumId="198">
    <w:nsid w:val="763CB680"/>
    <w:multiLevelType w:val="hybridMultilevel"/>
    <w:lvl w:ilvl="0">
      <w:lvlJc w:val="left"/>
      <w:lvlText w:val="9"/>
      <w:numFmt w:val="bullet"/>
      <w:start w:val="1"/>
    </w:lvl>
  </w:abstractNum>
  <w:abstractNum w:abstractNumId="199">
    <w:nsid w:val="15B71329"/>
    <w:multiLevelType w:val="hybridMultilevel"/>
    <w:lvl w:ilvl="0">
      <w:lvlJc w:val="left"/>
      <w:lvlText w:val="%1."/>
      <w:numFmt w:val="decimal"/>
      <w:start w:val="1"/>
    </w:lvl>
  </w:abstractNum>
  <w:abstractNum w:abstractNumId="200">
    <w:nsid w:val="3DA97044"/>
    <w:multiLevelType w:val="hybridMultilevel"/>
    <w:lvl w:ilvl="0">
      <w:lvlJc w:val="left"/>
      <w:lvlText w:val="%1."/>
      <w:numFmt w:val="decimal"/>
      <w:start w:val="2"/>
    </w:lvl>
  </w:abstractNum>
  <w:abstractNum w:abstractNumId="201">
    <w:nsid w:val="1CDCE2DE"/>
    <w:multiLevelType w:val="hybridMultilevel"/>
    <w:lvl w:ilvl="0">
      <w:lvlJc w:val="left"/>
      <w:lvlText w:val="%1."/>
      <w:numFmt w:val="decimal"/>
      <w:start w:val="1"/>
    </w:lvl>
    <w:lvl w:ilvl="1">
      <w:lvlJc w:val="left"/>
      <w:lvlText w:val="☐"/>
      <w:numFmt w:val="bullet"/>
      <w:start w:val="1"/>
    </w:lvl>
  </w:abstractNum>
  <w:abstractNum w:abstractNumId="202">
    <w:nsid w:val="69D3947C"/>
    <w:multiLevelType w:val="hybridMultilevel"/>
    <w:lvl w:ilvl="0">
      <w:lvlJc w:val="left"/>
      <w:lvlText w:val="%1."/>
      <w:numFmt w:val="decimal"/>
      <w:start w:val="3"/>
    </w:lvl>
  </w:abstractNum>
  <w:abstractNum w:abstractNumId="203">
    <w:nsid w:val="2539DFA5"/>
    <w:multiLevelType w:val="hybridMultilevel"/>
    <w:lvl w:ilvl="0">
      <w:lvlJc w:val="left"/>
      <w:lvlText w:val="%1"/>
      <w:numFmt w:val="decimal"/>
      <w:start w:val="10"/>
    </w:lvl>
  </w:abstractNum>
  <w:abstractNum w:abstractNumId="204">
    <w:nsid w:val="2DB88089"/>
    <w:multiLevelType w:val="hybridMultilevel"/>
    <w:lvl w:ilvl="0">
      <w:lvlJc w:val="left"/>
      <w:lvlText w:val="%1."/>
      <w:numFmt w:val="decimal"/>
      <w:start w:val="1"/>
    </w:lvl>
  </w:abstractNum>
  <w:abstractNum w:abstractNumId="205">
    <w:nsid w:val="706B674E"/>
    <w:multiLevelType w:val="hybridMultilevel"/>
    <w:lvl w:ilvl="0">
      <w:lvlJc w:val="left"/>
      <w:lvlText w:val="%1."/>
      <w:numFmt w:val="decimal"/>
      <w:start w:val="7"/>
    </w:lvl>
  </w:abstractNum>
  <w:abstractNum w:abstractNumId="206">
    <w:nsid w:val="2C106A57"/>
    <w:multiLevelType w:val="hybridMultilevel"/>
    <w:lvl w:ilvl="0">
      <w:lvlJc w:val="left"/>
      <w:lvlText w:val="%1"/>
      <w:numFmt w:val="decimal"/>
      <w:start w:val="39"/>
    </w:lvl>
  </w:abstractNum>
  <w:abstractNum w:abstractNumId="207">
    <w:nsid w:val="684EED59"/>
    <w:multiLevelType w:val="hybridMultilevel"/>
    <w:lvl w:ilvl="0">
      <w:lvlJc w:val="left"/>
      <w:lvlText w:val="%1."/>
      <w:numFmt w:val="decimal"/>
      <w:start w:val="19"/>
    </w:lvl>
  </w:abstractNum>
  <w:abstractNum w:abstractNumId="208">
    <w:nsid w:val="545EE5D3"/>
    <w:multiLevelType w:val="hybridMultilevel"/>
    <w:lvl w:ilvl="0">
      <w:lvlJc w:val="left"/>
      <w:lvlText w:val="%1"/>
      <w:numFmt w:val="decimal"/>
      <w:start w:val="40"/>
    </w:lvl>
  </w:abstractNum>
  <w:abstractNum w:abstractNumId="209">
    <w:nsid w:val="4A66051"/>
    <w:multiLevelType w:val="hybridMultilevel"/>
    <w:lvl w:ilvl="0">
      <w:lvlJc w:val="left"/>
      <w:lvlText w:val="%1."/>
      <w:numFmt w:val="decimal"/>
      <w:start w:val="22"/>
    </w:lvl>
  </w:abstractNum>
  <w:abstractNum w:abstractNumId="210">
    <w:nsid w:val="20F4BDAD"/>
    <w:multiLevelType w:val="hybridMultilevel"/>
    <w:lvl w:ilvl="0">
      <w:lvlJc w:val="left"/>
      <w:lvlText w:val="%1"/>
      <w:numFmt w:val="lowerLetter"/>
      <w:start w:val="1"/>
    </w:lvl>
    <w:lvl w:ilvl="1">
      <w:lvlJc w:val="left"/>
      <w:lvlText w:val="%2."/>
      <w:numFmt w:val="decimal"/>
      <w:start w:val="1"/>
    </w:lvl>
  </w:abstractNum>
  <w:abstractNum w:abstractNumId="211">
    <w:nsid w:val="639DEFAC"/>
    <w:multiLevelType w:val="hybridMultilevel"/>
    <w:lvl w:ilvl="0">
      <w:lvlJc w:val="left"/>
      <w:lvlText w:val="(%1)"/>
      <w:numFmt w:val="lowerLetter"/>
      <w:start w:val="2"/>
    </w:lvl>
    <w:lvl w:ilvl="1">
      <w:lvlJc w:val="left"/>
      <w:lvlText w:val="%2."/>
      <w:numFmt w:val="decimal"/>
      <w:start w:val="2"/>
    </w:lvl>
  </w:abstractNum>
  <w:abstractNum w:abstractNumId="212">
    <w:nsid w:val="501F9786"/>
    <w:multiLevelType w:val="hybridMultilevel"/>
    <w:lvl w:ilvl="0">
      <w:lvlJc w:val="left"/>
      <w:lvlText w:val="%1."/>
      <w:numFmt w:val="decimal"/>
      <w:start w:val="4"/>
    </w:lvl>
  </w:abstractNum>
  <w:abstractNum w:abstractNumId="213">
    <w:nsid w:val="6B057295"/>
    <w:multiLevelType w:val="hybridMultilevel"/>
    <w:lvl w:ilvl="0">
      <w:lvlJc w:val="left"/>
      <w:lvlText w:val="%1."/>
      <w:numFmt w:val="decimal"/>
      <w:start w:val="1"/>
    </w:lvl>
    <w:lvl w:ilvl="1">
      <w:lvlJc w:val="left"/>
      <w:lvlText w:val="(%2)"/>
      <w:numFmt w:val="lowerLetter"/>
      <w:start w:val="1"/>
    </w:lvl>
  </w:abstractNum>
  <w:abstractNum w:abstractNumId="214">
    <w:nsid w:val="2771AC80"/>
    <w:multiLevelType w:val="hybridMultilevel"/>
    <w:lvl w:ilvl="0">
      <w:lvlJc w:val="left"/>
      <w:lvlText w:val="%1."/>
      <w:numFmt w:val="decimal"/>
      <w:start w:val="1"/>
    </w:lvl>
  </w:abstractNum>
  <w:abstractNum w:abstractNumId="215">
    <w:nsid w:val="1C4A08EC"/>
    <w:multiLevelType w:val="hybridMultilevel"/>
    <w:lvl w:ilvl="0">
      <w:lvlJc w:val="left"/>
      <w:lvlText w:val="(%1)"/>
      <w:numFmt w:val="lowerLetter"/>
      <w:start w:val="1"/>
    </w:lvl>
  </w:abstractNum>
  <w:abstractNum w:abstractNumId="216">
    <w:nsid w:val="1958BD17"/>
    <w:multiLevelType w:val="hybridMultilevel"/>
    <w:lvl w:ilvl="0">
      <w:lvlJc w:val="left"/>
      <w:lvlText w:val="%1."/>
      <w:numFmt w:val="decimal"/>
      <w:start w:val="5"/>
    </w:lvl>
  </w:abstractNum>
  <w:abstractNum w:abstractNumId="217">
    <w:nsid w:val="4E647FE4"/>
    <w:multiLevelType w:val="hybridMultilevel"/>
    <w:lvl w:ilvl="0">
      <w:lvlJc w:val="left"/>
      <w:lvlText w:val="(%1)"/>
      <w:numFmt w:val="lowerLetter"/>
      <w:start w:val="1"/>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jpe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46" Type="http://schemas.openxmlformats.org/officeDocument/2006/relationships/hyperlink" Target="https://www.sec.gov/Archives/edgar/data/0001530979/000119312521157761/d488865dex31.htm" TargetMode="External"/><Relationship Id="rId47" Type="http://schemas.openxmlformats.org/officeDocument/2006/relationships/hyperlink" Target="https://www.sec.gov/Archives/edgar/data/0001530979/000119312521157761/d488865dex32.htm" TargetMode="External"/><Relationship Id="rId48" Type="http://schemas.openxmlformats.org/officeDocument/2006/relationships/hyperlink" Target="https://www.sec.gov/Archives/edgar/data/0001530979/000119312521121653/d27841dex103.htm" TargetMode="External"/><Relationship Id="rId49" Type="http://schemas.openxmlformats.org/officeDocument/2006/relationships/hyperlink" Target="https://www.sec.gov/Archives/edgar/data/0001530979/000119312521121653/d27841dex104.htm" TargetMode="External"/><Relationship Id="rId50" Type="http://schemas.openxmlformats.org/officeDocument/2006/relationships/hyperlink" Target="https://www.sec.gov/Archives/edgar/data/0001530979/000119312521121653/d27841dex105.htm" TargetMode="External"/><Relationship Id="rId51" Type="http://schemas.openxmlformats.org/officeDocument/2006/relationships/hyperlink" Target="https://www.sec.gov/Archives/edgar/data/0001530979/000119312521121653/d27841dex106.htm" TargetMode="External"/><Relationship Id="rId52" Type="http://schemas.openxmlformats.org/officeDocument/2006/relationships/hyperlink" Target="https://www.sec.gov/Archives/edgar/data/0001530979/000119312521130292/d27841dex107.htm" TargetMode="External"/><Relationship Id="rId53" Type="http://schemas.openxmlformats.org/officeDocument/2006/relationships/hyperlink" Target="https://www.sec.gov/Archives/edgar/data/0001530979/000119312521130292/d27841dex108.htm" TargetMode="External"/><Relationship Id="rId54" Type="http://schemas.openxmlformats.org/officeDocument/2006/relationships/hyperlink" Target="https://www.sec.gov/Archives/edgar/data/0001530979/000119312521130292/d27841dex109.htm" TargetMode="External"/><Relationship Id="rId55" Type="http://schemas.openxmlformats.org/officeDocument/2006/relationships/hyperlink" Target="https://www.sec.gov/Archives/edgar/data/0001530979/000119312521130292/d27841dex1010.htm" TargetMode="External"/><Relationship Id="rId56" Type="http://schemas.openxmlformats.org/officeDocument/2006/relationships/hyperlink" Target="https://www.sec.gov/Archives/edgar/data/0001530979/000119312521130292/d27841dex1011.htm" TargetMode="External"/><Relationship Id="rId57" Type="http://schemas.openxmlformats.org/officeDocument/2006/relationships/hyperlink" Target="https://www.sec.gov/Archives/edgar/data/0001530979/000119312521130292/d27841dex1012.htm" TargetMode="External"/><Relationship Id="rId58" Type="http://schemas.openxmlformats.org/officeDocument/2006/relationships/hyperlink" Target="https://www.sec.gov/Archives/edgar/data/0001530979/000119312521130292/d27841dex1013.htm" TargetMode="External"/><Relationship Id="rId59" Type="http://schemas.openxmlformats.org/officeDocument/2006/relationships/hyperlink" Target="https://www.sec.gov/Archives/edgar/data/0001530979/000119312521130292/d27841dex1014.htm" TargetMode="External"/><Relationship Id="rId60" Type="http://schemas.openxmlformats.org/officeDocument/2006/relationships/hyperlink" Target="https://www.sec.gov/Archives/edgar/data/0001530979/000119312521130292/d27841dex1015.htm" TargetMode="External"/><Relationship Id="rId63" Type="http://schemas.openxmlformats.org/officeDocument/2006/relationships/hyperlink" Target="https://www.sec.gov/Archives/edgar/data/0001530979/000119312521130292/d27841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2021-06-17T07:36:55Z</dcterms:created>
  <dcterms:modified xsi:type="dcterms:W3CDTF">2021-06-17T07:36:55Z</dcterms:modified>
</cp:coreProperties>
</file>