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3660" w:right="1620" w:hanging="3587"/>
        <w:spacing w:after="0" w:line="194" w:lineRule="auto"/>
        <w:tabs>
          <w:tab w:leader="none" w:pos="476" w:val="left"/>
        </w:tabs>
        <w:numPr>
          <w:ilvl w:val="0"/>
          <w:numId w:val="1"/>
        </w:numPr>
        <w:rPr>
          <w:rFonts w:ascii="MS PGothic" w:cs="MS PGothic" w:eastAsia="MS PGothic" w:hAnsi="MS PGothic"/>
          <w:sz w:val="40"/>
          <w:szCs w:val="40"/>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4" w:lineRule="exact"/>
        <w:rPr>
          <w:sz w:val="24"/>
          <w:szCs w:val="24"/>
          <w:color w:val="auto"/>
        </w:rPr>
      </w:pPr>
    </w:p>
    <w:p>
      <w:pPr>
        <w:ind w:left="43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188595</wp:posOffset>
            </wp:positionV>
            <wp:extent cx="2931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283210</wp:posOffset>
            </wp:positionV>
            <wp:extent cx="180022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The Honest Company, Inc.</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26670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91"/>
              </w:rPr>
              <w:t>Delaware</w:t>
            </w:r>
          </w:p>
        </w:tc>
        <w:tc>
          <w:tcPr>
            <w:tcW w:w="5840" w:type="dxa"/>
            <w:vAlign w:val="bottom"/>
          </w:tcPr>
          <w:p>
            <w:pPr>
              <w:jc w:val="right"/>
              <w:ind w:right="75"/>
              <w:spacing w:after="0"/>
              <w:rPr>
                <w:sz w:val="20"/>
                <w:szCs w:val="20"/>
                <w:color w:val="auto"/>
              </w:rPr>
            </w:pPr>
            <w:r>
              <w:rPr>
                <w:rFonts w:ascii="Arial" w:cs="Arial" w:eastAsia="Arial" w:hAnsi="Arial"/>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Arial" w:cs="Arial" w:eastAsia="Arial" w:hAnsi="Arial"/>
                <w:sz w:val="16"/>
                <w:szCs w:val="16"/>
                <w:color w:val="auto"/>
                <w:w w:val="93"/>
              </w:rPr>
              <w:t>(State or Other Jurisdiction of</w:t>
            </w:r>
          </w:p>
        </w:tc>
        <w:tc>
          <w:tcPr>
            <w:tcW w:w="5840" w:type="dxa"/>
            <w:vAlign w:val="bottom"/>
          </w:tcPr>
          <w:p>
            <w:pPr>
              <w:jc w:val="center"/>
              <w:ind w:left="4575"/>
              <w:spacing w:after="0"/>
              <w:rPr>
                <w:sz w:val="20"/>
                <w:szCs w:val="20"/>
                <w:color w:val="auto"/>
              </w:rPr>
            </w:pPr>
            <w:r>
              <w:rPr>
                <w:rFonts w:ascii="Arial" w:cs="Arial" w:eastAsia="Arial" w:hAnsi="Arial"/>
                <w:sz w:val="16"/>
                <w:szCs w:val="16"/>
                <w:color w:val="auto"/>
                <w:w w:val="93"/>
              </w:rPr>
              <w:t>(I.R.S. Employer</w:t>
            </w:r>
          </w:p>
        </w:tc>
      </w:tr>
      <w:tr>
        <w:trPr>
          <w:trHeight w:val="243"/>
        </w:trPr>
        <w:tc>
          <w:tcPr>
            <w:tcW w:w="2760" w:type="dxa"/>
            <w:vAlign w:val="bottom"/>
          </w:tcPr>
          <w:p>
            <w:pPr>
              <w:jc w:val="center"/>
              <w:ind w:right="35"/>
              <w:spacing w:after="0"/>
              <w:rPr>
                <w:sz w:val="20"/>
                <w:szCs w:val="20"/>
                <w:color w:val="auto"/>
              </w:rPr>
            </w:pPr>
            <w:r>
              <w:rPr>
                <w:rFonts w:ascii="Arial" w:cs="Arial" w:eastAsia="Arial" w:hAnsi="Arial"/>
                <w:sz w:val="16"/>
                <w:szCs w:val="16"/>
                <w:color w:val="auto"/>
                <w:w w:val="94"/>
              </w:rPr>
              <w:t>Incorporation or Organization)</w:t>
            </w:r>
          </w:p>
        </w:tc>
        <w:tc>
          <w:tcPr>
            <w:tcW w:w="5840" w:type="dxa"/>
            <w:vAlign w:val="bottom"/>
          </w:tcPr>
          <w:p>
            <w:pPr>
              <w:jc w:val="center"/>
              <w:ind w:left="4555"/>
              <w:spacing w:after="0"/>
              <w:rPr>
                <w:sz w:val="20"/>
                <w:szCs w:val="20"/>
                <w:color w:val="auto"/>
              </w:rPr>
            </w:pPr>
            <w:r>
              <w:rPr>
                <w:rFonts w:ascii="Arial" w:cs="Arial" w:eastAsia="Arial" w:hAnsi="Arial"/>
                <w:sz w:val="16"/>
                <w:szCs w:val="16"/>
                <w:color w:val="auto"/>
                <w:w w:val="96"/>
              </w:rPr>
              <w:t>Identification No.)</w:t>
            </w:r>
          </w:p>
        </w:tc>
      </w:tr>
      <w:tr>
        <w:trPr>
          <w:trHeight w:val="263"/>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93"/>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89"/>
              </w:rPr>
              <w:t>Los Angeles, CA</w:t>
            </w:r>
          </w:p>
        </w:tc>
        <w:tc>
          <w:tcPr>
            <w:tcW w:w="5840" w:type="dxa"/>
            <w:vAlign w:val="bottom"/>
          </w:tcPr>
          <w:p>
            <w:pPr>
              <w:jc w:val="right"/>
              <w:ind w:right="275"/>
              <w:spacing w:after="0"/>
              <w:rPr>
                <w:sz w:val="20"/>
                <w:szCs w:val="20"/>
                <w:color w:val="auto"/>
              </w:rPr>
            </w:pPr>
            <w:r>
              <w:rPr>
                <w:rFonts w:ascii="Arial" w:cs="Arial" w:eastAsia="Arial" w:hAnsi="Arial"/>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Arial" w:cs="Arial" w:eastAsia="Arial" w:hAnsi="Arial"/>
                <w:sz w:val="16"/>
                <w:szCs w:val="16"/>
                <w:color w:val="auto"/>
                <w:w w:val="93"/>
              </w:rPr>
              <w:t>(Address of Principal Executive Offices)</w:t>
            </w:r>
          </w:p>
        </w:tc>
        <w:tc>
          <w:tcPr>
            <w:tcW w:w="5840" w:type="dxa"/>
            <w:vAlign w:val="bottom"/>
          </w:tcPr>
          <w:p>
            <w:pPr>
              <w:jc w:val="center"/>
              <w:ind w:left="4555"/>
              <w:spacing w:after="0"/>
              <w:rPr>
                <w:sz w:val="20"/>
                <w:szCs w:val="20"/>
                <w:color w:val="auto"/>
              </w:rPr>
            </w:pPr>
            <w:r>
              <w:rPr>
                <w:rFonts w:ascii="Arial" w:cs="Arial" w:eastAsia="Arial" w:hAnsi="Arial"/>
                <w:sz w:val="16"/>
                <w:szCs w:val="16"/>
                <w:color w:val="auto"/>
                <w:w w:val="95"/>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Arial" w:cs="Arial" w:eastAsia="Arial" w:hAnsi="Arial"/>
                <w:sz w:val="18"/>
                <w:szCs w:val="18"/>
                <w:b w:val="1"/>
                <w:bCs w:val="1"/>
                <w:color w:val="auto"/>
                <w:w w:val="90"/>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Arial" w:cs="Arial" w:eastAsia="Arial" w:hAnsi="Arial"/>
                <w:sz w:val="16"/>
                <w:szCs w:val="16"/>
                <w:color w:val="auto"/>
                <w:w w:val="92"/>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Arial" w:cs="Arial" w:eastAsia="Arial" w:hAnsi="Arial"/>
                <w:sz w:val="18"/>
                <w:szCs w:val="18"/>
                <w:b w:val="1"/>
                <w:bCs w:val="1"/>
                <w:color w:val="auto"/>
              </w:rPr>
              <w:t>N/A</w:t>
            </w:r>
          </w:p>
        </w:tc>
      </w:tr>
    </w:tbl>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5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440" w:type="dxa"/>
            <w:vAlign w:val="bottom"/>
          </w:tcPr>
          <w:p>
            <w:pPr>
              <w:spacing w:after="0"/>
              <w:rPr>
                <w:sz w:val="18"/>
                <w:szCs w:val="18"/>
                <w:color w:val="auto"/>
              </w:rPr>
            </w:pPr>
          </w:p>
        </w:tc>
      </w:tr>
      <w:tr>
        <w:trPr>
          <w:trHeight w:val="234"/>
        </w:trPr>
        <w:tc>
          <w:tcPr>
            <w:tcW w:w="4420" w:type="dxa"/>
            <w:vAlign w:val="bottom"/>
          </w:tcPr>
          <w:p>
            <w:pPr>
              <w:ind w:left="154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Symbol(s)</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420" w:type="dxa"/>
            <w:vAlign w:val="bottom"/>
          </w:tcPr>
          <w:p>
            <w:pPr>
              <w:ind w:left="560"/>
              <w:spacing w:after="0"/>
              <w:rPr>
                <w:sz w:val="20"/>
                <w:szCs w:val="20"/>
                <w:color w:val="auto"/>
              </w:rPr>
            </w:pPr>
            <w:r>
              <w:rPr>
                <w:rFonts w:ascii="Arial" w:cs="Arial" w:eastAsia="Arial" w:hAnsi="Arial"/>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HNST</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58" w:lineRule="exact"/>
        <w:rPr>
          <w:sz w:val="24"/>
          <w:szCs w:val="24"/>
          <w:color w:val="auto"/>
        </w:rPr>
      </w:pPr>
    </w:p>
    <w:p>
      <w:pPr>
        <w:jc w:val="both"/>
        <w:ind w:firstLine="539"/>
        <w:spacing w:after="0" w:line="22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539"/>
        <w:spacing w:after="0" w:line="18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53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55" w:lineRule="exact"/>
        <w:rPr>
          <w:sz w:val="24"/>
          <w:szCs w:val="24"/>
          <w:color w:val="auto"/>
        </w:rPr>
      </w:pPr>
    </w:p>
    <w:p>
      <w:pPr>
        <w:ind w:right="280" w:firstLine="539"/>
        <w:spacing w:after="0" w:line="20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20" w:right="339" w:bottom="0" w:gutter="0" w:footer="0" w:header="0"/>
        </w:sectPr>
      </w:pPr>
    </w:p>
    <w:bookmarkStart w:id="1" w:name="page2"/>
    <w:bookmarkEnd w:id="1"/>
    <w:p>
      <w:pPr>
        <w:ind w:right="159" w:firstLine="1"/>
        <w:spacing w:after="0" w:line="34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8, 2021, the registrant had 91,028,488 shares of common stock, $0.0001 par value per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990600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17780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599"/>
          </w:cols>
          <w:pgMar w:left="860" w:top="295" w:right="1440"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64"/>
        </w:trPr>
        <w:tc>
          <w:tcPr>
            <w:tcW w:w="8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FINANCIAL INFORMATION</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3</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Financial Statements (unaudited)</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3</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w:t>
              </w:r>
            </w:hyperlink>
          </w:p>
        </w:tc>
        <w:tc>
          <w:tcPr>
            <w:tcW w:w="940" w:type="dxa"/>
            <w:vAlign w:val="bottom"/>
            <w:gridSpan w:val="2"/>
          </w:tcPr>
          <w:p>
            <w:pPr>
              <w:jc w:val="center"/>
              <w:ind w:left="668"/>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920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Loss</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4</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9200" w:type="dxa"/>
            <w:vAlign w:val="bottom"/>
          </w:tcPr>
          <w:p>
            <w:pPr>
              <w:ind w:left="180"/>
              <w:spacing w:after="0"/>
              <w:rPr>
                <w:rFonts w:ascii="Arial" w:cs="Arial" w:eastAsia="Arial" w:hAnsi="Arial"/>
                <w:sz w:val="18"/>
                <w:szCs w:val="18"/>
                <w:color w:val="auto"/>
                <w:w w:val="97"/>
              </w:rPr>
            </w:pPr>
            <w:hyperlink w:anchor="page6">
              <w:r>
                <w:rPr>
                  <w:rFonts w:ascii="Arial" w:cs="Arial" w:eastAsia="Arial" w:hAnsi="Arial"/>
                  <w:sz w:val="18"/>
                  <w:szCs w:val="18"/>
                  <w:color w:val="auto"/>
                  <w:w w:val="97"/>
                </w:rPr>
                <w:t>Condensed Consolidated Statements of Redeemable Convertible Preferred Stock and Stockholders’ Equity (Deficit)</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6">
              <w:r>
                <w:rPr>
                  <w:rFonts w:ascii="Arial" w:cs="Arial" w:eastAsia="Arial" w:hAnsi="Arial"/>
                  <w:sz w:val="20"/>
                  <w:szCs w:val="20"/>
                  <w:color w:val="0000FF"/>
                  <w:w w:val="89"/>
                </w:rPr>
                <w:t>5</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Cash Flows</w:t>
              </w:r>
            </w:hyperlink>
          </w:p>
        </w:tc>
        <w:tc>
          <w:tcPr>
            <w:tcW w:w="940" w:type="dxa"/>
            <w:vAlign w:val="bottom"/>
            <w:gridSpan w:val="2"/>
          </w:tcPr>
          <w:p>
            <w:pPr>
              <w:jc w:val="center"/>
              <w:ind w:left="668"/>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rFonts w:ascii="Arial" w:cs="Arial" w:eastAsia="Arial" w:hAnsi="Arial"/>
                <w:sz w:val="18"/>
                <w:szCs w:val="18"/>
                <w:color w:val="auto"/>
              </w:rPr>
            </w:pPr>
            <w:hyperlink w:anchor="page9">
              <w:r>
                <w:rPr>
                  <w:rFonts w:ascii="Arial" w:cs="Arial" w:eastAsia="Arial" w:hAnsi="Arial"/>
                  <w:sz w:val="18"/>
                  <w:szCs w:val="18"/>
                  <w:color w:val="auto"/>
                </w:rPr>
                <w:t>Notes to Condensed Consolidated Financial Statements</w:t>
              </w:r>
            </w:hyperlink>
          </w:p>
        </w:tc>
        <w:tc>
          <w:tcPr>
            <w:tcW w:w="940" w:type="dxa"/>
            <w:vAlign w:val="bottom"/>
            <w:gridSpan w:val="2"/>
          </w:tcPr>
          <w:p>
            <w:pPr>
              <w:jc w:val="center"/>
              <w:ind w:left="668"/>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8</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tcPr>
          <w:p>
            <w:pPr>
              <w:ind w:left="14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Quantitative and Qualitative Disclosures About Market Risk</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Controls and Procedures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9200" w:type="dxa"/>
            <w:vAlign w:val="bottom"/>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OTHER INFORMATION</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Legal Proceedings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Risk Factors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Unregistered Sales of Equity Securities and Use of Proceeds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Defaults Under Senior Securities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Mine Safety Disclosures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37</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tcPr>
          <w:p>
            <w:pPr>
              <w:ind w:left="140"/>
              <w:spacing w:after="0"/>
              <w:rPr>
                <w:rFonts w:ascii="Arial" w:cs="Arial" w:eastAsia="Arial" w:hAnsi="Arial"/>
                <w:sz w:val="18"/>
                <w:szCs w:val="18"/>
                <w:color w:val="auto"/>
              </w:rPr>
            </w:pPr>
            <w:hyperlink w:anchor="page39">
              <w:r>
                <w:rPr>
                  <w:rFonts w:ascii="Arial" w:cs="Arial" w:eastAsia="Arial" w:hAnsi="Arial"/>
                  <w:sz w:val="18"/>
                  <w:szCs w:val="18"/>
                  <w:color w:val="auto"/>
                </w:rPr>
                <w:t>Other Information</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tcPr>
          <w:p>
            <w:pPr>
              <w:ind w:left="140"/>
              <w:spacing w:after="0"/>
              <w:rPr>
                <w:rFonts w:ascii="Arial" w:cs="Arial" w:eastAsia="Arial" w:hAnsi="Arial"/>
                <w:sz w:val="18"/>
                <w:szCs w:val="18"/>
                <w:color w:val="auto"/>
              </w:rPr>
            </w:pPr>
            <w:hyperlink w:anchor="page39">
              <w:r>
                <w:rPr>
                  <w:rFonts w:ascii="Arial" w:cs="Arial" w:eastAsia="Arial" w:hAnsi="Arial"/>
                  <w:sz w:val="18"/>
                  <w:szCs w:val="18"/>
                  <w:color w:val="auto"/>
                </w:rPr>
                <w:t>Exhibits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rFonts w:ascii="Arial" w:cs="Arial" w:eastAsia="Arial" w:hAnsi="Arial"/>
                <w:sz w:val="18"/>
                <w:szCs w:val="18"/>
                <w:color w:val="auto"/>
              </w:rPr>
            </w:pPr>
            <w:hyperlink w:anchor="page40">
              <w:r>
                <w:rPr>
                  <w:rFonts w:ascii="Arial" w:cs="Arial" w:eastAsia="Arial" w:hAnsi="Arial"/>
                  <w:sz w:val="18"/>
                  <w:szCs w:val="18"/>
                  <w:color w:val="auto"/>
                </w:rPr>
                <w:t>Signatures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9"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(“Securities Act”), and Section 21E of the Securities Exchange Act of 1934, as amended)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if any, and other factors set forth in other parts of this Quarterly Report on Form 10-Q.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19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revenue, cost of revenue, operating expenses, gross margin, adjusted EBITDA and other operating results;</w:t>
      </w:r>
    </w:p>
    <w:p>
      <w:pPr>
        <w:spacing w:after="0" w:line="34" w:lineRule="exact"/>
        <w:rPr>
          <w:rFonts w:ascii="Arial" w:cs="Arial" w:eastAsia="Arial" w:hAnsi="Arial"/>
          <w:sz w:val="17"/>
          <w:szCs w:val="17"/>
          <w:color w:val="auto"/>
        </w:rPr>
      </w:pPr>
    </w:p>
    <w:p>
      <w:pPr>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initiatives and priorities, including the timing and cadence of marketing and product innovation;</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strategy to deliver sustained long-term growth and increased value for our stakeholders;</w:t>
      </w:r>
    </w:p>
    <w:p>
      <w:pPr>
        <w:ind w:left="660" w:right="18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or other public health crises on our business and the global economy, including the shift from our Digital channel to our Retail channel as consumers get vaccinated and return to in-store shopping;</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continued revenue growth through omnichannel strategy and ability to capture growth in whitespace opportunities in our Retail channel;</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market share in our core product categories;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consumers and successfully retain existing consumers, including their level of spend with us;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expansion with retail and digital partners and our belief that significant opportunity exists to expand our on-shelf presence and the depth of our product offering with new and existing retail and digital partners;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increase market share and household penetration of our products;</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consumer demand and the timing and amount of orders from key customers;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costs and success of our marketing efforts, and our ability to grow brand awareness and maintain, protect and enhance our brand;</w:t>
      </w:r>
    </w:p>
    <w:p>
      <w:pPr>
        <w:spacing w:after="0" w:line="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inventory and maintain sufficient inventory to satisfy customer demands and meet revenue targets;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gauge consumer trends and changing consumer preferences;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any costs associated therewith;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markets and expand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complete acquisitions that complement and expand our reach and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manufacturers, distributors and retailers;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offset commodity prices, labor costs, input cost and transportation cost inflation with productivity or pricing improvements;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suppliers and manufacturers to comply with safety, environmental or other laws or regulations;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or remain in compliance with laws and regulations that currently apply or become applicable to our business in the United States, such as the U.S. Food and Drug Administration governmental regulation and state regulation; and other jurisdictions where we elect to do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conditions and their impact on consumer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outcome of legal or administrative proceedings;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jc w:val="center"/>
              <w:ind w:left="3870"/>
              <w:spacing w:after="0"/>
              <w:rPr>
                <w:sz w:val="20"/>
                <w:szCs w:val="20"/>
                <w:color w:val="auto"/>
              </w:rPr>
            </w:pPr>
            <w:r>
              <w:rPr>
                <w:rFonts w:ascii="Arial" w:cs="Arial" w:eastAsia="Arial" w:hAnsi="Arial"/>
                <w:sz w:val="18"/>
                <w:szCs w:val="18"/>
                <w:b w:val="1"/>
                <w:bCs w:val="1"/>
                <w:color w:val="auto"/>
              </w:rPr>
              <w:t>PART I—FINANCIAL INFORMATION</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02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020" w:type="dxa"/>
            <w:vAlign w:val="bottom"/>
          </w:tcPr>
          <w:p>
            <w:pPr>
              <w:jc w:val="center"/>
              <w:ind w:left="4150"/>
              <w:spacing w:after="0"/>
              <w:rPr>
                <w:sz w:val="20"/>
                <w:szCs w:val="20"/>
                <w:color w:val="auto"/>
              </w:rPr>
            </w:pPr>
            <w:r>
              <w:rPr>
                <w:rFonts w:ascii="Arial" w:cs="Arial" w:eastAsia="Arial" w:hAnsi="Arial"/>
                <w:sz w:val="18"/>
                <w:szCs w:val="18"/>
                <w:b w:val="1"/>
                <w:bCs w:val="1"/>
                <w:color w:val="auto"/>
                <w:w w:val="91"/>
              </w:rPr>
              <w:t>The Honest Company, Inc.</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28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5500"/>
              <w:spacing w:after="0"/>
              <w:rPr>
                <w:sz w:val="20"/>
                <w:szCs w:val="20"/>
                <w:color w:val="auto"/>
              </w:rPr>
            </w:pPr>
            <w:r>
              <w:rPr>
                <w:rFonts w:ascii="Arial" w:cs="Arial" w:eastAsia="Arial" w:hAnsi="Arial"/>
                <w:sz w:val="18"/>
                <w:szCs w:val="18"/>
                <w:i w:val="1"/>
                <w:iCs w:val="1"/>
                <w:color w:val="auto"/>
              </w:rPr>
              <w:t>(Unaudited)</w:t>
            </w: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gridSpan w:val="4"/>
          </w:tcPr>
          <w:p>
            <w:pPr>
              <w:jc w:val="center"/>
              <w:ind w:left="18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7"/>
        </w:trPr>
        <w:tc>
          <w:tcPr>
            <w:tcW w:w="7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3"/>
                <w:szCs w:val="23"/>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62,678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31,654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22,795</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77,858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76,669</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13,777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213,633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173,557</w:t>
            </w: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Restricted cash, net of current portion</w:t>
            </w:r>
          </w:p>
        </w:tc>
        <w:tc>
          <w:tcPr>
            <w:tcW w:w="260" w:type="dxa"/>
            <w:vAlign w:val="bottom"/>
          </w:tcPr>
          <w:p>
            <w:pPr>
              <w:spacing w:after="0"/>
              <w:rPr>
                <w:sz w:val="23"/>
                <w:szCs w:val="23"/>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53,888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56,703</w:t>
            </w: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274,360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240,732</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4"/>
              </w:rPr>
              <w:t>Liabilities, Redeemable Convertible Preferred Stock and Stockholders’ Equity (Deficit)</w:t>
            </w: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31,178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31,132</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54,070</w:t>
            </w: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Long term liabilities</w:t>
            </w: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Lease financing obligation, net of current portion</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37,758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38,426</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94,875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101,153</w:t>
            </w:r>
          </w:p>
        </w:tc>
        <w:tc>
          <w:tcPr>
            <w:tcW w:w="0" w:type="dxa"/>
            <w:vAlign w:val="bottom"/>
          </w:tcPr>
          <w:p>
            <w:pPr>
              <w:spacing w:after="0"/>
              <w:rPr>
                <w:sz w:val="1"/>
                <w:szCs w:val="1"/>
                <w:color w:val="auto"/>
              </w:rPr>
            </w:pPr>
          </w:p>
        </w:tc>
      </w:tr>
      <w:tr>
        <w:trPr>
          <w:trHeight w:val="27"/>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020" w:type="dxa"/>
            <w:vAlign w:val="bottom"/>
          </w:tcPr>
          <w:p>
            <w:pPr>
              <w:ind w:left="20"/>
              <w:spacing w:after="0"/>
              <w:rPr>
                <w:sz w:val="20"/>
                <w:szCs w:val="20"/>
                <w:color w:val="auto"/>
              </w:rPr>
            </w:pPr>
            <w:r>
              <w:rPr>
                <w:rFonts w:ascii="Arial" w:cs="Arial" w:eastAsia="Arial" w:hAnsi="Arial"/>
                <w:sz w:val="18"/>
                <w:szCs w:val="18"/>
                <w:color w:val="auto"/>
                <w:w w:val="94"/>
              </w:rPr>
              <w:t>Redeemable convertible preferred stock, $0.0001 par value, 49,192,248 shares authorized at</w:t>
            </w: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w w:val="97"/>
              </w:rPr>
              <w:t>December 31, 2020; 49,100,928 shares issued and outstanding as of December 31, 2020;</w:t>
            </w: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(liquidation preference of $396,726 as of December 31, 2020)</w:t>
            </w:r>
          </w:p>
        </w:tc>
        <w:tc>
          <w:tcPr>
            <w:tcW w:w="260" w:type="dxa"/>
            <w:vAlign w:val="bottom"/>
          </w:tcPr>
          <w:p>
            <w:pPr>
              <w:spacing w:after="0"/>
              <w:rPr>
                <w:sz w:val="20"/>
                <w:szCs w:val="20"/>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376,404</w:t>
            </w: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020" w:type="dxa"/>
            <w:vAlign w:val="bottom"/>
          </w:tcPr>
          <w:p>
            <w:pPr>
              <w:ind w:left="140"/>
              <w:spacing w:after="0"/>
              <w:rPr>
                <w:sz w:val="20"/>
                <w:szCs w:val="20"/>
                <w:color w:val="auto"/>
              </w:rPr>
            </w:pPr>
            <w:r>
              <w:rPr>
                <w:rFonts w:ascii="Arial" w:cs="Arial" w:eastAsia="Arial" w:hAnsi="Arial"/>
                <w:sz w:val="18"/>
                <w:szCs w:val="18"/>
                <w:color w:val="auto"/>
                <w:w w:val="89"/>
              </w:rPr>
              <w:t>Preferred stock, $0.0001 par value, 20,000,000 shares authorized at September 30, 2021, none</w:t>
            </w: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issued or outstanding as of September 30, 2021</w:t>
            </w:r>
          </w:p>
        </w:tc>
        <w:tc>
          <w:tcPr>
            <w:tcW w:w="260" w:type="dxa"/>
            <w:vAlign w:val="bottom"/>
          </w:tcPr>
          <w:p>
            <w:pPr>
              <w:spacing w:after="0"/>
              <w:rPr>
                <w:sz w:val="20"/>
                <w:szCs w:val="20"/>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020" w:type="dxa"/>
            <w:vAlign w:val="bottom"/>
          </w:tcPr>
          <w:p>
            <w:pPr>
              <w:ind w:left="140"/>
              <w:spacing w:after="0"/>
              <w:rPr>
                <w:sz w:val="20"/>
                <w:szCs w:val="20"/>
                <w:color w:val="auto"/>
              </w:rPr>
            </w:pPr>
            <w:r>
              <w:rPr>
                <w:rFonts w:ascii="Arial" w:cs="Arial" w:eastAsia="Arial" w:hAnsi="Arial"/>
                <w:sz w:val="18"/>
                <w:szCs w:val="18"/>
                <w:color w:val="auto"/>
                <w:w w:val="96"/>
              </w:rPr>
              <w:t>Common stock, $0.0001 par value, 1,000,000,000 and 150,000,000 shares authorized at</w:t>
            </w: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40"/>
              <w:spacing w:after="0"/>
              <w:rPr>
                <w:sz w:val="20"/>
                <w:szCs w:val="20"/>
                <w:color w:val="auto"/>
              </w:rPr>
            </w:pPr>
            <w:r>
              <w:rPr>
                <w:rFonts w:ascii="Arial" w:cs="Arial" w:eastAsia="Arial" w:hAnsi="Arial"/>
                <w:sz w:val="18"/>
                <w:szCs w:val="18"/>
                <w:color w:val="auto"/>
                <w:w w:val="90"/>
              </w:rPr>
              <w:t>September 30, 2021 and December 31, 2020, respectively; 90,528,446 and 34,089,186 shares</w:t>
            </w: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w w:val="97"/>
              </w:rPr>
              <w:t>issued and outstanding as of September 30, 2021 and December 31, 2020, respectively</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562,109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116,055</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(382,631)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(352,977)</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20" w:type="dxa"/>
            <w:vAlign w:val="bottom"/>
          </w:tcPr>
          <w:p>
            <w:pPr>
              <w:ind w:left="240"/>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179,485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(236,825)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Pr>
          <w:p>
            <w:pPr>
              <w:ind w:left="240"/>
              <w:spacing w:after="0"/>
              <w:rPr>
                <w:sz w:val="20"/>
                <w:szCs w:val="20"/>
                <w:color w:val="auto"/>
              </w:rPr>
            </w:pPr>
            <w:r>
              <w:rPr>
                <w:rFonts w:ascii="Arial" w:cs="Arial" w:eastAsia="Arial" w:hAnsi="Arial"/>
                <w:sz w:val="18"/>
                <w:szCs w:val="18"/>
                <w:color w:val="auto"/>
                <w:w w:val="96"/>
              </w:rPr>
              <w:t>Total liabilities, redeemable convertible preferred stock and stockholders’ equity (deficit)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274,360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240,732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20"/>
          </w:cols>
          <w:pgMar w:left="320" w:top="769" w:right="359"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415"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260" w:type="dxa"/>
            <w:vAlign w:val="bottom"/>
          </w:tcPr>
          <w:p>
            <w:pPr>
              <w:spacing w:after="0"/>
              <w:rPr>
                <w:sz w:val="18"/>
                <w:szCs w:val="18"/>
                <w:color w:val="auto"/>
              </w:rPr>
            </w:pPr>
          </w:p>
        </w:tc>
        <w:tc>
          <w:tcPr>
            <w:tcW w:w="26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For the nine months ended</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26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82,651</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77,928</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238,258</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222,654</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52,892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153,177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140,953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29,759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85,081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81,701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18,568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65,356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45,848</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13,687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41,868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113,306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(29,654)</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3"/>
                <w:szCs w:val="23"/>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3"/>
                <w:szCs w:val="23"/>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attributable to common stockholders: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90,397,409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34,084,819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64,399,183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34,071,770</w:t>
            </w:r>
          </w:p>
        </w:tc>
        <w:tc>
          <w:tcPr>
            <w:tcW w:w="0" w:type="dxa"/>
            <w:vAlign w:val="bottom"/>
          </w:tcPr>
          <w:p>
            <w:pPr>
              <w:spacing w:after="0"/>
              <w:rPr>
                <w:sz w:val="1"/>
                <w:szCs w:val="1"/>
                <w:color w:val="auto"/>
              </w:rPr>
            </w:pPr>
          </w:p>
        </w:tc>
      </w:tr>
      <w:tr>
        <w:trPr>
          <w:trHeight w:val="540"/>
        </w:trPr>
        <w:tc>
          <w:tcPr>
            <w:tcW w:w="5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Unrealized gain (loss) on short-term investments, net of taxes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(29,750)</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80" w:type="dxa"/>
            <w:vAlign w:val="bottom"/>
          </w:tcPr>
          <w:p>
            <w:pPr>
              <w:spacing w:after="0"/>
              <w:rPr>
                <w:sz w:val="19"/>
                <w:szCs w:val="19"/>
                <w:color w:val="auto"/>
              </w:rPr>
            </w:pPr>
          </w:p>
        </w:tc>
        <w:tc>
          <w:tcPr>
            <w:tcW w:w="26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89"/>
              </w:rPr>
              <w:t>Redeemable Convertible</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268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26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89"/>
              </w:rPr>
              <w:t>Preferred Stock</w:t>
            </w:r>
          </w:p>
        </w:tc>
        <w:tc>
          <w:tcPr>
            <w:tcW w:w="60" w:type="dxa"/>
            <w:vAlign w:val="bottom"/>
          </w:tcPr>
          <w:p>
            <w:pPr>
              <w:spacing w:after="0"/>
              <w:rPr>
                <w:sz w:val="5"/>
                <w:szCs w:val="5"/>
                <w:color w:val="auto"/>
              </w:rPr>
            </w:pPr>
          </w:p>
        </w:tc>
        <w:tc>
          <w:tcPr>
            <w:tcW w:w="208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14"/>
                <w:szCs w:val="14"/>
                <w:color w:val="auto"/>
              </w:rPr>
            </w:pPr>
          </w:p>
        </w:tc>
        <w:tc>
          <w:tcPr>
            <w:tcW w:w="2680" w:type="dxa"/>
            <w:vAlign w:val="bottom"/>
            <w:tcBorders>
              <w:right w:val="single" w:sz="8" w:color="auto"/>
            </w:tcBorders>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Paid-in</w:t>
            </w:r>
          </w:p>
        </w:tc>
        <w:tc>
          <w:tcPr>
            <w:tcW w:w="1140" w:type="dxa"/>
            <w:vAlign w:val="bottom"/>
            <w:gridSpan w:val="3"/>
            <w:vMerge w:val="restart"/>
          </w:tcPr>
          <w:p>
            <w:pPr>
              <w:ind w:left="20"/>
              <w:spacing w:after="0" w:line="194" w:lineRule="exact"/>
              <w:rPr>
                <w:sz w:val="20"/>
                <w:szCs w:val="20"/>
                <w:color w:val="auto"/>
              </w:rPr>
            </w:pPr>
            <w:r>
              <w:rPr>
                <w:rFonts w:ascii="Arial" w:cs="Arial" w:eastAsia="Arial" w:hAnsi="Arial"/>
                <w:sz w:val="18"/>
                <w:szCs w:val="18"/>
                <w:b w:val="1"/>
                <w:bCs w:val="1"/>
                <w:color w:val="auto"/>
                <w:w w:val="97"/>
              </w:rPr>
              <w:t>Accumulated</w:t>
            </w:r>
          </w:p>
        </w:tc>
        <w:tc>
          <w:tcPr>
            <w:tcW w:w="1320" w:type="dxa"/>
            <w:vAlign w:val="bottom"/>
            <w:gridSpan w:val="3"/>
            <w:vMerge w:val="restart"/>
          </w:tcPr>
          <w:p>
            <w:pPr>
              <w:ind w:left="20"/>
              <w:spacing w:after="0" w:line="194" w:lineRule="exact"/>
              <w:rPr>
                <w:sz w:val="20"/>
                <w:szCs w:val="20"/>
                <w:color w:val="auto"/>
              </w:rPr>
            </w:pPr>
            <w:r>
              <w:rPr>
                <w:rFonts w:ascii="Arial" w:cs="Arial" w:eastAsia="Arial" w:hAnsi="Arial"/>
                <w:sz w:val="18"/>
                <w:szCs w:val="18"/>
                <w:b w:val="1"/>
                <w:bCs w:val="1"/>
                <w:color w:val="auto"/>
                <w:w w:val="94"/>
              </w:rPr>
              <w:t>Comprehensive</w:t>
            </w:r>
          </w:p>
        </w:tc>
        <w:tc>
          <w:tcPr>
            <w:tcW w:w="160" w:type="dxa"/>
            <w:vAlign w:val="bottom"/>
          </w:tcPr>
          <w:p>
            <w:pPr>
              <w:spacing w:after="0"/>
              <w:rPr>
                <w:sz w:val="14"/>
                <w:szCs w:val="14"/>
                <w:color w:val="auto"/>
              </w:rPr>
            </w:pPr>
          </w:p>
        </w:tc>
        <w:tc>
          <w:tcPr>
            <w:tcW w:w="940" w:type="dxa"/>
            <w:vAlign w:val="bottom"/>
            <w:vMerge w:val="restart"/>
          </w:tcPr>
          <w:p>
            <w:pPr>
              <w:jc w:val="center"/>
              <w:ind w:right="90"/>
              <w:spacing w:after="0" w:line="194"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Balances at</w:t>
            </w: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17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26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34,033,074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(338,511)</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(230,277)</w:t>
            </w:r>
          </w:p>
        </w:tc>
        <w:tc>
          <w:tcPr>
            <w:tcW w:w="0" w:type="dxa"/>
            <w:vAlign w:val="bottom"/>
          </w:tcPr>
          <w:p>
            <w:pPr>
              <w:spacing w:after="0"/>
              <w:rPr>
                <w:sz w:val="1"/>
                <w:szCs w:val="1"/>
                <w:color w:val="auto"/>
              </w:rPr>
            </w:pPr>
          </w:p>
        </w:tc>
      </w:tr>
      <w:tr>
        <w:trPr>
          <w:trHeight w:val="270"/>
        </w:trPr>
        <w:tc>
          <w:tcPr>
            <w:tcW w:w="17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w w:val="96"/>
              </w:rPr>
              <w:t>Other comprehensive</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rPr>
              <w:t>Stock-based</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w w:val="93"/>
              </w:rPr>
              <w:t>Balances at March 31,</w:t>
            </w: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26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34,062,494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110,045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(337,952)</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(227,789)</w:t>
            </w:r>
          </w:p>
        </w:tc>
        <w:tc>
          <w:tcPr>
            <w:tcW w:w="0" w:type="dxa"/>
            <w:vAlign w:val="bottom"/>
          </w:tcPr>
          <w:p>
            <w:pPr>
              <w:spacing w:after="0"/>
              <w:rPr>
                <w:sz w:val="1"/>
                <w:szCs w:val="1"/>
                <w:color w:val="auto"/>
              </w:rPr>
            </w:pPr>
          </w:p>
        </w:tc>
      </w:tr>
      <w:tr>
        <w:trPr>
          <w:trHeight w:val="270"/>
        </w:trPr>
        <w:tc>
          <w:tcPr>
            <w:tcW w:w="17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w w:val="96"/>
              </w:rPr>
              <w:t>Other comprehensive</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rPr>
              <w:t>Stock-based</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Balances at June 30,</w:t>
            </w: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26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34,083,994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112,376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(338,327)</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(225,664)</w:t>
            </w:r>
          </w:p>
        </w:tc>
        <w:tc>
          <w:tcPr>
            <w:tcW w:w="0" w:type="dxa"/>
            <w:vAlign w:val="bottom"/>
          </w:tcPr>
          <w:p>
            <w:pPr>
              <w:spacing w:after="0"/>
              <w:rPr>
                <w:sz w:val="1"/>
                <w:szCs w:val="1"/>
                <w:color w:val="auto"/>
              </w:rPr>
            </w:pPr>
          </w:p>
        </w:tc>
      </w:tr>
      <w:tr>
        <w:trPr>
          <w:trHeight w:val="270"/>
        </w:trPr>
        <w:tc>
          <w:tcPr>
            <w:tcW w:w="17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w w:val="96"/>
              </w:rPr>
              <w:t>Other comprehensive</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6"/>
        </w:trPr>
        <w:tc>
          <w:tcPr>
            <w:tcW w:w="1780" w:type="dxa"/>
            <w:vAlign w:val="bottom"/>
          </w:tcPr>
          <w:p>
            <w:pPr>
              <w:ind w:left="100"/>
              <w:spacing w:after="0"/>
              <w:rPr>
                <w:sz w:val="20"/>
                <w:szCs w:val="20"/>
                <w:color w:val="auto"/>
              </w:rPr>
            </w:pPr>
            <w:r>
              <w:rPr>
                <w:rFonts w:ascii="Arial" w:cs="Arial" w:eastAsia="Arial" w:hAnsi="Arial"/>
                <w:sz w:val="18"/>
                <w:szCs w:val="18"/>
                <w:color w:val="auto"/>
              </w:rPr>
              <w:t>Stock-based</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w w:val="88"/>
              </w:rPr>
              <w:t>Balances at September</w:t>
            </w: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80" w:type="dxa"/>
            <w:vAlign w:val="bottom"/>
            <w:vMerge w:val="continue"/>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7"/>
              </w:rPr>
              <w:t>34,085,576</w:t>
            </w: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114,189</w:t>
            </w:r>
          </w:p>
        </w:tc>
        <w:tc>
          <w:tcPr>
            <w:tcW w:w="8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(340,313)</w:t>
            </w:r>
          </w:p>
        </w:tc>
        <w:tc>
          <w:tcPr>
            <w:tcW w:w="8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(225,950)</w:t>
            </w: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0"/>
                <w:szCs w:val="20"/>
                <w:color w:val="auto"/>
              </w:rPr>
            </w:pPr>
            <w:r>
              <w:rPr>
                <w:rFonts w:ascii="Arial" w:cs="Arial" w:eastAsia="Arial" w:hAnsi="Arial"/>
                <w:sz w:val="18"/>
                <w:szCs w:val="18"/>
                <w:b w:val="1"/>
                <w:bCs w:val="1"/>
                <w:color w:val="auto"/>
              </w:rPr>
              <w:t>30, 2020</w:t>
            </w:r>
          </w:p>
        </w:tc>
        <w:tc>
          <w:tcPr>
            <w:tcW w:w="126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00"/>
          </w:cols>
          <w:pgMar w:left="36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95250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9" w:right="339" w:bottom="144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214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0"/>
              </w:rPr>
              <w:t>Redeemable Convertible</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14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68"/>
        </w:trPr>
        <w:tc>
          <w:tcPr>
            <w:tcW w:w="2560" w:type="dxa"/>
            <w:vAlign w:val="bottom"/>
          </w:tcPr>
          <w:p>
            <w:pPr>
              <w:spacing w:after="0"/>
              <w:rPr>
                <w:sz w:val="5"/>
                <w:szCs w:val="5"/>
                <w:color w:val="auto"/>
              </w:rPr>
            </w:pPr>
          </w:p>
        </w:tc>
        <w:tc>
          <w:tcPr>
            <w:tcW w:w="214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0"/>
              </w:rPr>
              <w:t>Preferred Stock</w:t>
            </w:r>
          </w:p>
        </w:tc>
        <w:tc>
          <w:tcPr>
            <w:tcW w:w="60" w:type="dxa"/>
            <w:vAlign w:val="bottom"/>
          </w:tcPr>
          <w:p>
            <w:pPr>
              <w:spacing w:after="0"/>
              <w:rPr>
                <w:sz w:val="5"/>
                <w:szCs w:val="5"/>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140" w:type="dxa"/>
            <w:vAlign w:val="bottom"/>
            <w:tcBorders>
              <w:right w:val="single" w:sz="8" w:color="auto"/>
            </w:tcBorders>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Paid-in</w:t>
            </w:r>
          </w:p>
        </w:tc>
        <w:tc>
          <w:tcPr>
            <w:tcW w:w="1140" w:type="dxa"/>
            <w:vAlign w:val="bottom"/>
            <w:gridSpan w:val="3"/>
            <w:vMerge w:val="restart"/>
          </w:tcPr>
          <w:p>
            <w:pPr>
              <w:ind w:left="20"/>
              <w:spacing w:after="0" w:line="194" w:lineRule="exact"/>
              <w:rPr>
                <w:sz w:val="20"/>
                <w:szCs w:val="20"/>
                <w:color w:val="auto"/>
              </w:rPr>
            </w:pPr>
            <w:r>
              <w:rPr>
                <w:rFonts w:ascii="Arial" w:cs="Arial" w:eastAsia="Arial" w:hAnsi="Arial"/>
                <w:sz w:val="18"/>
                <w:szCs w:val="18"/>
                <w:b w:val="1"/>
                <w:bCs w:val="1"/>
                <w:color w:val="auto"/>
                <w:w w:val="97"/>
              </w:rPr>
              <w:t>Accumulated</w:t>
            </w:r>
          </w:p>
        </w:tc>
        <w:tc>
          <w:tcPr>
            <w:tcW w:w="1320" w:type="dxa"/>
            <w:vAlign w:val="bottom"/>
            <w:gridSpan w:val="3"/>
            <w:vMerge w:val="restart"/>
          </w:tcPr>
          <w:p>
            <w:pPr>
              <w:ind w:left="20"/>
              <w:spacing w:after="0" w:line="194" w:lineRule="exact"/>
              <w:rPr>
                <w:sz w:val="20"/>
                <w:szCs w:val="20"/>
                <w:color w:val="auto"/>
              </w:rPr>
            </w:pPr>
            <w:r>
              <w:rPr>
                <w:rFonts w:ascii="Arial" w:cs="Arial" w:eastAsia="Arial" w:hAnsi="Arial"/>
                <w:sz w:val="18"/>
                <w:szCs w:val="18"/>
                <w:b w:val="1"/>
                <w:bCs w:val="1"/>
                <w:color w:val="auto"/>
                <w:w w:val="94"/>
              </w:rPr>
              <w:t>Comprehensive</w:t>
            </w:r>
          </w:p>
        </w:tc>
        <w:tc>
          <w:tcPr>
            <w:tcW w:w="160" w:type="dxa"/>
            <w:vAlign w:val="bottom"/>
          </w:tcPr>
          <w:p>
            <w:pPr>
              <w:spacing w:after="0"/>
              <w:rPr>
                <w:sz w:val="14"/>
                <w:szCs w:val="14"/>
                <w:color w:val="auto"/>
              </w:rPr>
            </w:pPr>
          </w:p>
        </w:tc>
        <w:tc>
          <w:tcPr>
            <w:tcW w:w="940" w:type="dxa"/>
            <w:vAlign w:val="bottom"/>
            <w:vMerge w:val="restart"/>
          </w:tcPr>
          <w:p>
            <w:pPr>
              <w:jc w:val="center"/>
              <w:ind w:right="90"/>
              <w:spacing w:after="0" w:line="194"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Income (Loss)</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7"/>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w w:val="95"/>
              </w:rPr>
              <w:t>Balances at December 31, 2020</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34,089,186</w:t>
            </w:r>
          </w:p>
        </w:tc>
        <w:tc>
          <w:tcPr>
            <w:tcW w:w="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116,055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(352,977)</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(236,825)</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Stock options exercised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38,188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Balances at March 31, 2021</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34,127,374</w:t>
            </w:r>
          </w:p>
        </w:tc>
        <w:tc>
          <w:tcPr>
            <w:tcW w:w="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117,926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(357,461)</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(239,520)</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(20,034)</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Stock options exercised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53,694</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w w:val="93"/>
              </w:rPr>
              <w:t>Dividends paid ($0.42 per share)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56"/>
        </w:trPr>
        <w:tc>
          <w:tcPr>
            <w:tcW w:w="256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w w:val="94"/>
              </w:rPr>
              <w:t>pursuant to initial public offering,</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w w:val="94"/>
              </w:rPr>
              <w:t>net of underwriting commissions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w w:val="94"/>
              </w:rPr>
              <w:t>and discounts and offering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00"/>
              <w:spacing w:after="0"/>
              <w:rPr>
                <w:sz w:val="20"/>
                <w:szCs w:val="20"/>
                <w:color w:val="auto"/>
              </w:rPr>
            </w:pPr>
            <w:r>
              <w:rPr>
                <w:rFonts w:ascii="Arial" w:cs="Arial" w:eastAsia="Arial" w:hAnsi="Arial"/>
                <w:sz w:val="18"/>
                <w:szCs w:val="18"/>
                <w:color w:val="auto"/>
              </w:rPr>
              <w:t>of $12.2 million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6,451,613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91,038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91,039</w:t>
            </w:r>
          </w:p>
        </w:tc>
        <w:tc>
          <w:tcPr>
            <w:tcW w:w="0" w:type="dxa"/>
            <w:vAlign w:val="bottom"/>
          </w:tcPr>
          <w:p>
            <w:pPr>
              <w:spacing w:after="0"/>
              <w:rPr>
                <w:sz w:val="1"/>
                <w:szCs w:val="1"/>
                <w:color w:val="auto"/>
              </w:rPr>
            </w:pPr>
          </w:p>
        </w:tc>
      </w:tr>
      <w:tr>
        <w:trPr>
          <w:trHeight w:val="256"/>
        </w:trPr>
        <w:tc>
          <w:tcPr>
            <w:tcW w:w="2560" w:type="dxa"/>
            <w:vAlign w:val="bottom"/>
          </w:tcPr>
          <w:p>
            <w:pPr>
              <w:ind w:left="100"/>
              <w:spacing w:after="0"/>
              <w:rPr>
                <w:sz w:val="20"/>
                <w:szCs w:val="20"/>
                <w:color w:val="auto"/>
              </w:rPr>
            </w:pPr>
            <w:r>
              <w:rPr>
                <w:rFonts w:ascii="Arial" w:cs="Arial" w:eastAsia="Arial" w:hAnsi="Arial"/>
                <w:sz w:val="18"/>
                <w:szCs w:val="18"/>
                <w:color w:val="auto"/>
              </w:rPr>
              <w:t>Conversion of redeemable</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rPr>
              <w:t>convertible preferred stock to</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w w:val="94"/>
              </w:rPr>
              <w:t>common stock upon initial public</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00"/>
              <w:spacing w:after="0"/>
              <w:rPr>
                <w:sz w:val="20"/>
                <w:szCs w:val="20"/>
                <w:color w:val="auto"/>
              </w:rPr>
            </w:pPr>
            <w:r>
              <w:rPr>
                <w:rFonts w:ascii="Arial" w:cs="Arial" w:eastAsia="Arial" w:hAnsi="Arial"/>
                <w:sz w:val="18"/>
                <w:szCs w:val="18"/>
                <w:color w:val="auto"/>
              </w:rPr>
              <w:t>offering</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(49,100,928)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w w:val="93"/>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49,649,023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376,405</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Vested restricted stock units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7"/>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Balances at June 30, 2021</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vMerge w:val="continue"/>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90,288,407</w:t>
            </w:r>
          </w:p>
        </w:tc>
        <w:tc>
          <w:tcPr>
            <w:tcW w:w="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557,285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(377,495)</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179,787</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Stock options exercised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139,299</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Vested restricted stock</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162,462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560" w:type="dxa"/>
            <w:vAlign w:val="bottom"/>
          </w:tcPr>
          <w:p>
            <w:pPr>
              <w:ind w:left="100"/>
              <w:spacing w:after="0"/>
              <w:rPr>
                <w:sz w:val="20"/>
                <w:szCs w:val="20"/>
                <w:color w:val="auto"/>
              </w:rPr>
            </w:pPr>
            <w:r>
              <w:rPr>
                <w:rFonts w:ascii="Arial" w:cs="Arial" w:eastAsia="Arial" w:hAnsi="Arial"/>
                <w:sz w:val="18"/>
                <w:szCs w:val="18"/>
                <w:color w:val="auto"/>
              </w:rPr>
              <w:t>Shares withheld related to net</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00"/>
              <w:spacing w:after="0"/>
              <w:rPr>
                <w:sz w:val="20"/>
                <w:szCs w:val="20"/>
                <w:color w:val="auto"/>
              </w:rPr>
            </w:pPr>
            <w:r>
              <w:rPr>
                <w:rFonts w:ascii="Arial" w:cs="Arial" w:eastAsia="Arial" w:hAnsi="Arial"/>
                <w:sz w:val="18"/>
                <w:szCs w:val="18"/>
                <w:color w:val="auto"/>
                <w:w w:val="90"/>
              </w:rPr>
              <w:t>share settlement of equity awards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(61,722)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0"/>
        </w:trPr>
        <w:tc>
          <w:tcPr>
            <w:tcW w:w="25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560" w:type="dxa"/>
            <w:vAlign w:val="bottom"/>
          </w:tcPr>
          <w:p>
            <w:pPr>
              <w:spacing w:after="0"/>
              <w:rPr>
                <w:sz w:val="20"/>
                <w:szCs w:val="20"/>
                <w:color w:val="auto"/>
              </w:rPr>
            </w:pPr>
            <w:r>
              <w:rPr>
                <w:rFonts w:ascii="Arial" w:cs="Arial" w:eastAsia="Arial" w:hAnsi="Arial"/>
                <w:sz w:val="18"/>
                <w:szCs w:val="18"/>
                <w:b w:val="1"/>
                <w:bCs w:val="1"/>
                <w:color w:val="auto"/>
                <w:w w:val="96"/>
              </w:rPr>
              <w:t>Balance at September 30,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90,528,446</w:t>
            </w:r>
          </w:p>
        </w:tc>
        <w:tc>
          <w:tcPr>
            <w:tcW w:w="80" w:type="dxa"/>
            <w:vAlign w:val="bottom"/>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562,109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(382,631)</w:t>
            </w:r>
          </w:p>
        </w:tc>
        <w:tc>
          <w:tcPr>
            <w:tcW w:w="80" w:type="dxa"/>
            <w:vAlign w:val="bottom"/>
          </w:tcPr>
          <w:p>
            <w:pPr>
              <w:spacing w:after="0"/>
              <w:rPr>
                <w:sz w:val="24"/>
                <w:szCs w:val="2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179,485</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893445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012"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404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(21,704)</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long-term liabilities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26,858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Proceeds from maturities of short-term investments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44,007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20"/>
              <w:spacing w:after="0"/>
              <w:rPr>
                <w:sz w:val="20"/>
                <w:szCs w:val="20"/>
                <w:color w:val="auto"/>
              </w:rPr>
            </w:pPr>
            <w:r>
              <w:rPr>
                <w:rFonts w:ascii="Arial" w:cs="Arial" w:eastAsia="Arial" w:hAnsi="Arial"/>
                <w:sz w:val="18"/>
                <w:szCs w:val="18"/>
                <w:color w:val="auto"/>
              </w:rPr>
              <w:t>Net cash (used in) provided by investing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43,654</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Proceeds from initial public offering, net of underwriting commissions and discounts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96,517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Taxes paid related to net share settlement of equity awards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Payment of initial public offering costs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Payments on lease obligations</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48,067</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60" w:type="dxa"/>
            <w:vAlign w:val="bottom"/>
          </w:tcPr>
          <w:p>
            <w:pPr>
              <w:spacing w:after="0"/>
              <w:rPr>
                <w:sz w:val="20"/>
                <w:szCs w:val="20"/>
                <w:color w:val="auto"/>
              </w:rPr>
            </w:pPr>
            <w:r>
              <w:rPr>
                <w:rFonts w:ascii="Arial" w:cs="Arial" w:eastAsia="Arial" w:hAnsi="Arial"/>
                <w:sz w:val="18"/>
                <w:szCs w:val="18"/>
                <w:color w:val="auto"/>
              </w:rPr>
              <w:t>End of the period</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61,610</w:t>
            </w:r>
          </w:p>
        </w:tc>
        <w:tc>
          <w:tcPr>
            <w:tcW w:w="0" w:type="dxa"/>
            <w:vAlign w:val="bottom"/>
          </w:tcPr>
          <w:p>
            <w:pPr>
              <w:spacing w:after="0"/>
              <w:rPr>
                <w:sz w:val="1"/>
                <w:szCs w:val="1"/>
                <w:color w:val="auto"/>
              </w:rPr>
            </w:pPr>
          </w:p>
        </w:tc>
      </w:tr>
      <w:tr>
        <w:trPr>
          <w:trHeight w:val="21"/>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w w:val="91"/>
              </w:rPr>
              <w:t>Reconciliation of cash, cash equivalents and restricted cash to the consolidated balance</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69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sheets</w:t>
            </w: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53,669</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Restricted cash, current</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8"/>
                <w:szCs w:val="18"/>
                <w:color w:val="auto"/>
              </w:rPr>
              <w:t>Restricted cash, non-current</w:t>
            </w:r>
          </w:p>
        </w:tc>
        <w:tc>
          <w:tcPr>
            <w:tcW w:w="1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61,610</w:t>
            </w:r>
          </w:p>
        </w:tc>
        <w:tc>
          <w:tcPr>
            <w:tcW w:w="0" w:type="dxa"/>
            <w:vAlign w:val="bottom"/>
          </w:tcPr>
          <w:p>
            <w:pPr>
              <w:spacing w:after="0"/>
              <w:rPr>
                <w:sz w:val="1"/>
                <w:szCs w:val="1"/>
                <w:color w:val="auto"/>
              </w:rPr>
            </w:pPr>
          </w:p>
        </w:tc>
      </w:tr>
      <w:tr>
        <w:trPr>
          <w:trHeight w:val="21"/>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9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Equipment acquired under capital lease obligations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Capital expenditures included in accounts payable and accrued expenses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000"/>
          </w:cols>
          <w:pgMar w:left="340" w:top="769" w:right="559" w:bottom="5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9" w:right="559" w:bottom="590" w:gutter="0" w:footer="0" w:header="0"/>
          <w:type w:val="continuous"/>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September 30, 2021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 except share and per share amounts, percentages and as otherwise indicated)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38"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The Honest Company, Inc. (the “Company”) was incorporated in the State of California on July 19, 2011 and on May 23, 2012 was re-incorporated in the State of Delaware under the same name. The Company is a mission-driven lifestyle brand that formulates, designs and sells clean products with a focus on sustainability and thoughtful design. The Company sells its products through digital and retail sales channels in the following product categories: Diapers and Wipes, Skin and Personal Care, and Household and Wellness.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ind w:right="200" w:firstLine="648"/>
        <w:spacing w:after="0" w:line="268" w:lineRule="auto"/>
        <w:rPr>
          <w:sz w:val="20"/>
          <w:szCs w:val="20"/>
          <w:color w:val="auto"/>
        </w:rPr>
      </w:pPr>
      <w:r>
        <w:rPr>
          <w:rFonts w:ascii="Arial" w:cs="Arial" w:eastAsia="Arial" w:hAnsi="Arial"/>
          <w:sz w:val="16"/>
          <w:szCs w:val="16"/>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$5.5 million.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21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Upon completion of the IPO, the Company paid $9.5 million in cash bonuses to certain employees including members of management, as well as $0.2 million in related payroll taxes and expenses. Cash bonuses of $9.1 million were recorded in sales, general and administrative expenses and</w:t>
      </w:r>
    </w:p>
    <w:p>
      <w:pPr>
        <w:ind w:right="200"/>
        <w:spacing w:after="0" w:line="260" w:lineRule="auto"/>
        <w:rPr>
          <w:sz w:val="20"/>
          <w:szCs w:val="20"/>
          <w:color w:val="auto"/>
        </w:rPr>
      </w:pPr>
      <w:r>
        <w:rPr>
          <w:rFonts w:ascii="Arial" w:cs="Arial" w:eastAsia="Arial" w:hAnsi="Arial"/>
          <w:sz w:val="18"/>
          <w:szCs w:val="18"/>
          <w:color w:val="auto"/>
        </w:rPr>
        <w:t>$0.4 million were recorded in research and development expenses in the accompanying condensed consolidated statement of comprehensive loss for the nine months ended September 30, 2021.</w:t>
      </w:r>
    </w:p>
    <w:p>
      <w:pPr>
        <w:spacing w:after="0" w:line="199" w:lineRule="exact"/>
        <w:rPr>
          <w:sz w:val="20"/>
          <w:szCs w:val="20"/>
          <w:color w:val="auto"/>
        </w:rPr>
      </w:pPr>
    </w:p>
    <w:p>
      <w:pPr>
        <w:ind w:right="120" w:firstLine="648"/>
        <w:spacing w:after="0" w:line="225" w:lineRule="auto"/>
        <w:rPr>
          <w:sz w:val="20"/>
          <w:szCs w:val="20"/>
          <w:color w:val="auto"/>
        </w:rPr>
      </w:pPr>
      <w:r>
        <w:rPr>
          <w:rFonts w:ascii="Arial" w:cs="Arial" w:eastAsia="Arial" w:hAnsi="Arial"/>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w:t>
      </w:r>
    </w:p>
    <w:p>
      <w:pPr>
        <w:spacing w:after="0" w:line="217" w:lineRule="exact"/>
        <w:rPr>
          <w:sz w:val="20"/>
          <w:szCs w:val="20"/>
          <w:color w:val="auto"/>
        </w:rPr>
      </w:pPr>
    </w:p>
    <w:p>
      <w:pPr>
        <w:ind w:right="7480" w:firstLine="8"/>
        <w:spacing w:after="0" w:line="534" w:lineRule="auto"/>
        <w:tabs>
          <w:tab w:leader="none" w:pos="3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2020.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2020 has been derived from the audited financial statements at that date but does not include all of the disclosures required by GAAP.</w:t>
      </w:r>
    </w:p>
    <w:p>
      <w:pPr>
        <w:spacing w:after="0" w:line="1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after elimination of intercompany transactions and balances. There have been no changes in the accounting policies from those disclosed in the audited consolidated financial statements and related notes for the year ended December 31, 2020.</w:t>
      </w:r>
    </w:p>
    <w:p>
      <w:pPr>
        <w:sectPr>
          <w:pgSz w:w="11900" w:h="16838" w:orient="portrait"/>
          <w:cols w:equalWidth="0" w:num="1">
            <w:col w:w="11180"/>
          </w:cols>
          <w:pgMar w:left="320" w:top="76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Stock Split</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condensed consolidated financial statements and accompanying notes have been retroactively adjusted, where applicable, to reflect the impact of the stock split.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valuation of build-to-suit lease, capitalized software, useful lives associated with long-lived assets, valuation allowances with respect to deferred tax assets, accruals and contingencies, recoverability of goodwill and long-lived assets, and the valuation and assumptions underlying stock-based compensation and common stock. On an ongoing basis, the Company evaluates its estimates compared to historical experience and trends, which form the basis for making judgments about the carrying value of assets and liabilities.</w:t>
      </w:r>
    </w:p>
    <w:p>
      <w:pPr>
        <w:spacing w:after="0" w:line="16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March 2020, the World Health Organization declared the outbreak of the novel coronavirus disease (“COVID-19”) a pandemic. The full extent to which the outbreak of the COVID-19 pandemic will impact the Company’s business, results of operations and financial condition is still unknown and will depend on future developments, which are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144"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In light of the currently unknown ultimate duration and severity of COVID-19,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the respective balance sheet dates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Household &amp; Wellness trends, consumer demand for sanitizing and disinfecting products has decelerated at a more rapid than expected rate as more consumers have become vaccinated and retailers continue to manage heavy inventories of sanitization and disinfecting products in stores. The Company will continue to monitor and evaluate the uncertainty and volatility of these conditions and the ultimate impact on the Company’s inventory valuations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56"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Cash equivalents consist of short-term, highly liquid investments with stated maturities of three months or less from the date of purchase. Cash equivalents comprise amounts invested in money market funds. Restricted cash consisted of deposits in a bank account used to collateralize the letters of credit for certain lease arrangements. The Company is no longer required to post collateral in a restricted cash account. Refer to Note 6 included in these condensed consolidated financial statements for additional information on the restricted cash account.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56"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$1.4 million as of September 30, 2021 and December 31, 2020.</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Deferred IPO Costs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Deferred offering costs consisted of costs incurred in connection with the sale of the Company’s common stock in its IPO, including certain legal, accounting, and other IPO-related costs. Immediately upon the completion of the Company's IPO, deferred offering costs of $5.5 million were reclassified into stockholders’ equity from other assets as a reduction from the proceeds of the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Quoted prices in active markets for identical assets or liabilities.</w:t>
      </w:r>
    </w:p>
    <w:p>
      <w:pPr>
        <w:spacing w:after="0" w:line="23" w:lineRule="exact"/>
        <w:rPr>
          <w:sz w:val="20"/>
          <w:szCs w:val="20"/>
          <w:color w:val="auto"/>
        </w:rPr>
      </w:pPr>
    </w:p>
    <w:p>
      <w:pPr>
        <w:jc w:val="both"/>
        <w:ind w:left="740" w:right="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740" w:right="40" w:hanging="728"/>
        <w:spacing w:after="0" w:line="277" w:lineRule="auto"/>
        <w:rPr>
          <w:sz w:val="20"/>
          <w:szCs w:val="20"/>
          <w:color w:val="auto"/>
        </w:rPr>
      </w:pPr>
      <w:r>
        <w:rPr>
          <w:rFonts w:ascii="Arial" w:cs="Arial" w:eastAsia="Arial" w:hAnsi="Arial"/>
          <w:sz w:val="17"/>
          <w:szCs w:val="17"/>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subsequently amended, collectively codified under Topic 842. Topic 842 requires lessees to recognize on the balance sheet assets and 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current GAAP which requires only capital leases to be recognized on the balance sheet, the new ASU will require both types of leases to be recognized on the balance sheet. ASU 2016-02 was effective for public business entities for fiscal years beginning after December 15, 2018. In June 2020, FASB issued ASU No. 2020-05,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 and Leases (Topic 842) – Effective Dates for Certain Entities</w:t>
      </w:r>
      <w:r>
        <w:rPr>
          <w:rFonts w:ascii="Arial" w:cs="Arial" w:eastAsia="Arial" w:hAnsi="Arial"/>
          <w:sz w:val="16"/>
          <w:szCs w:val="16"/>
          <w:color w:val="auto"/>
        </w:rPr>
        <w:t>, which extended the effective date of this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non-public entities for fiscal years beginning after December 15, 2021, and interim periods within fiscal years beginning after December 15, 2022, with early adoption permitted. The Company is evaluating the adoption of this guidance and the potential effects on its consolidated financial statements. The Company anticipates the adoption of this guidance may result in a material impact to the Company’s consolidated financial statements as it relates to its build-to-suit lease and recording other operating leases on the consolidated balance sheets.</w:t>
      </w:r>
    </w:p>
    <w:p>
      <w:pPr>
        <w:spacing w:after="0" w:line="19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to amend the accounting for credit losses for certain financial instruments. This guidance replaces the incurred loss impairment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 w:name="page13"/>
    <w:bookmarkEnd w:id="12"/>
    <w:p>
      <w:pPr>
        <w:ind w:right="160"/>
        <w:spacing w:after="0" w:line="342" w:lineRule="auto"/>
        <w:rPr>
          <w:sz w:val="20"/>
          <w:szCs w:val="20"/>
          <w:color w:val="auto"/>
        </w:rPr>
      </w:pPr>
      <w:r>
        <w:rPr>
          <w:rFonts w:ascii="Arial" w:cs="Arial" w:eastAsia="Arial" w:hAnsi="Arial"/>
          <w:sz w:val="16"/>
          <w:szCs w:val="16"/>
          <w:color w:val="auto"/>
        </w:rPr>
        <w:t>interim periods within those fiscal years. Early adoption is permitted for fiscal years beginning after December 15, 2018, including interim periods within those fiscal years. The Company is evaluating the adoption of this guidance and the potential effects on the consolidated financial statements.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Goodwill and Other (Topic 350): Simplifying the Test for Goodwill Impairment.</w:t>
      </w:r>
    </w:p>
    <w:p>
      <w:pPr>
        <w:spacing w:after="0" w:line="4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amendments in this guidance eliminate Step 2 from the goodwill impairment test, whereby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amendment, an entity should perform its goodwill impairment test by comparing the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In November 2019, the FASB issued ASU No. 2019-10 which delayed the effective dates of this guidance. This guidance is effective for public business entities excluding entities eligible to be SRCs for annual and any interim impairment test performed for periods beginning after December 15, 2019. For all other entities the guidance is effective for fiscal years beginning after December 15, 2022. Early adoption is permitted for interim or annual goodwill impairment tests performed on testing dates after January 1, 2017. The Company is evaluating the adoption of this guidance and the potential effects on the consolidated financial statements.</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simplifies the accounting for income taxes by removing certain exceptions to the general principles in ASC 740 as well as by improving consistent application of the topic by clarifying and amending existing guidance. For public business entities, the ASU is effective for fiscal years, and interim periods within those fiscal years, beginning after December 15, 2020. For all other entities, the ASU is effective for fiscal years beginning after December 15, 2021, and interim periods within fiscal years beginning after December 15, 2022. Early adoption of the amendments is permitted, including adoption in any interim period for (1) public business entities for periods for which financial statements have not yet been issued and (2) all other entities for periods for which financial statements have not yet been made available for issuance.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does not expect ASC 740 to have a material impact on the Company’s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333333"/>
              </w:rPr>
              <w:t>3.</w:t>
            </w:r>
          </w:p>
        </w:tc>
        <w:tc>
          <w:tcPr>
            <w:tcW w:w="2360" w:type="dxa"/>
            <w:vAlign w:val="bottom"/>
          </w:tcPr>
          <w:p>
            <w:pPr>
              <w:jc w:val="center"/>
              <w:ind w:right="1490"/>
              <w:spacing w:after="0"/>
              <w:rPr>
                <w:sz w:val="20"/>
                <w:szCs w:val="20"/>
                <w:color w:val="auto"/>
              </w:rPr>
            </w:pPr>
            <w:r>
              <w:rPr>
                <w:rFonts w:ascii="Arial" w:cs="Arial" w:eastAsia="Arial" w:hAnsi="Arial"/>
                <w:sz w:val="18"/>
                <w:szCs w:val="18"/>
                <w:b w:val="1"/>
                <w:bCs w:val="1"/>
                <w:color w:val="333333"/>
                <w:w w:val="87"/>
              </w:rPr>
              <w:t>Revenue</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960" w:type="dxa"/>
            <w:vAlign w:val="bottom"/>
            <w:gridSpan w:val="2"/>
          </w:tcPr>
          <w:p>
            <w:pPr>
              <w:jc w:val="center"/>
              <w:ind w:right="890"/>
              <w:spacing w:after="0"/>
              <w:rPr>
                <w:sz w:val="20"/>
                <w:szCs w:val="20"/>
                <w:color w:val="auto"/>
              </w:rPr>
            </w:pPr>
            <w:r>
              <w:rPr>
                <w:rFonts w:ascii="Arial" w:cs="Arial" w:eastAsia="Arial" w:hAnsi="Arial"/>
                <w:sz w:val="18"/>
                <w:szCs w:val="18"/>
                <w:i w:val="1"/>
                <w:iCs w:val="1"/>
                <w:color w:val="auto"/>
                <w:w w:val="90"/>
              </w:rPr>
              <w:t>Disaggregation of Revenue</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Revenue by sales channel:</w:t>
            </w:r>
          </w:p>
        </w:tc>
        <w:tc>
          <w:tcPr>
            <w:tcW w:w="260" w:type="dxa"/>
            <w:vAlign w:val="bottom"/>
          </w:tcPr>
          <w:p>
            <w:pPr>
              <w:spacing w:after="0"/>
              <w:rPr>
                <w:sz w:val="23"/>
                <w:szCs w:val="23"/>
                <w:color w:val="auto"/>
              </w:rPr>
            </w:pPr>
          </w:p>
        </w:tc>
        <w:tc>
          <w:tcPr>
            <w:tcW w:w="388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3"/>
              </w:rPr>
              <w:t>For the three months ended September 30,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gridSpan w:val="6"/>
          </w:tcPr>
          <w:p>
            <w:pPr>
              <w:ind w:left="160"/>
              <w:spacing w:after="0"/>
              <w:rPr>
                <w:sz w:val="20"/>
                <w:szCs w:val="20"/>
                <w:color w:val="auto"/>
              </w:rPr>
            </w:pPr>
            <w:r>
              <w:rPr>
                <w:rFonts w:ascii="Arial" w:cs="Arial" w:eastAsia="Arial" w:hAnsi="Arial"/>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Digital</w:t>
            </w:r>
          </w:p>
        </w:tc>
        <w:tc>
          <w:tcPr>
            <w:tcW w:w="23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39,114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43,952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116,395</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131,513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Retail</w:t>
            </w:r>
          </w:p>
        </w:tc>
        <w:tc>
          <w:tcPr>
            <w:tcW w:w="2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43,537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33,976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121,863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91,141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77,928</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238,258</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222,654</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Revenue by product category:</w:t>
            </w:r>
          </w:p>
        </w:tc>
        <w:tc>
          <w:tcPr>
            <w:tcW w:w="260" w:type="dxa"/>
            <w:vAlign w:val="bottom"/>
          </w:tcPr>
          <w:p>
            <w:pPr>
              <w:spacing w:after="0"/>
              <w:rPr>
                <w:sz w:val="24"/>
                <w:szCs w:val="24"/>
                <w:color w:val="auto"/>
              </w:rPr>
            </w:pPr>
          </w:p>
        </w:tc>
        <w:tc>
          <w:tcPr>
            <w:tcW w:w="388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2"/>
              </w:rPr>
              <w:t>For the three months ended 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Diapers and wipes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53,847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46,283</w:t>
            </w:r>
          </w:p>
        </w:tc>
        <w:tc>
          <w:tcPr>
            <w:tcW w:w="80" w:type="dxa"/>
            <w:vAlign w:val="bottom"/>
          </w:tcPr>
          <w:p>
            <w:pPr>
              <w:spacing w:after="0"/>
              <w:rPr>
                <w:sz w:val="23"/>
                <w:szCs w:val="23"/>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151,251</w:t>
            </w:r>
          </w:p>
        </w:tc>
        <w:tc>
          <w:tcPr>
            <w:tcW w:w="80" w:type="dxa"/>
            <w:vAlign w:val="bottom"/>
          </w:tcPr>
          <w:p>
            <w:pPr>
              <w:spacing w:after="0"/>
              <w:rPr>
                <w:sz w:val="23"/>
                <w:szCs w:val="23"/>
                <w:color w:val="auto"/>
              </w:rPr>
            </w:pP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145,510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Skin and personal care</w:t>
            </w: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25,375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19,779</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75,486</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58,819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Household and wellness</w:t>
            </w: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11,866</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11,521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18,325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82,651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77,928</w:t>
            </w:r>
          </w:p>
        </w:tc>
        <w:tc>
          <w:tcPr>
            <w:tcW w:w="80" w:type="dxa"/>
            <w:vAlign w:val="bottom"/>
          </w:tcPr>
          <w:p>
            <w:pPr>
              <w:spacing w:after="0"/>
              <w:rPr>
                <w:sz w:val="22"/>
                <w:szCs w:val="22"/>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238,258</w:t>
            </w:r>
          </w:p>
        </w:tc>
        <w:tc>
          <w:tcPr>
            <w:tcW w:w="80" w:type="dxa"/>
            <w:vAlign w:val="bottom"/>
          </w:tcPr>
          <w:p>
            <w:pPr>
              <w:spacing w:after="0"/>
              <w:rPr>
                <w:sz w:val="22"/>
                <w:szCs w:val="22"/>
                <w:color w:val="auto"/>
              </w:rPr>
            </w:pP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222,654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Non-Monetary Transactions</w:t>
      </w:r>
    </w:p>
    <w:p>
      <w:pPr>
        <w:spacing w:after="0" w:line="22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In March 2021 and September 2021, the Company entered into $4.0 million and $0.7 million, respectively, in trade agreements with a vendor for the exchange of legacy beauty inventory for future marketing and transportation credits. The fair value of the marketing and transportation credits are recognized as revenue, with the corresponding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three and nine months ended September 30, 2021, the Company recognized $0.6 million and $4.5 million, respectively, of revenue and $0.4 million and $3.8 million, respectively, of associated cost of revenue based on timing of delivery of goods. The Company assesses the recoverability of the marketing and transportation credits periodically. Factors considered in evaluating the recoverability include management’s plans with respect to</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 w:name="page14"/>
    <w:bookmarkEnd w:id="13"/>
    <w:p>
      <w:pPr>
        <w:jc w:val="both"/>
        <w:ind w:right="480"/>
        <w:spacing w:after="0" w:line="235" w:lineRule="auto"/>
        <w:rPr>
          <w:sz w:val="20"/>
          <w:szCs w:val="20"/>
          <w:color w:val="auto"/>
        </w:rPr>
      </w:pPr>
      <w:r>
        <w:rPr>
          <w:rFonts w:ascii="Arial" w:cs="Arial" w:eastAsia="Arial" w:hAnsi="Arial"/>
          <w:sz w:val="18"/>
          <w:szCs w:val="18"/>
          <w:color w:val="auto"/>
        </w:rPr>
        <w:t>advertising, freight and other services for which these credits can be used. Any impairment losses are charged to operations as they are determinable. During the three and nine months ended September 30, 2021, the Company recorded no impairment losses related to these credits and an immaterial amount of credits have been used.</w:t>
      </w:r>
    </w:p>
    <w:p>
      <w:pPr>
        <w:spacing w:after="0" w:line="21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of September 30, 2021 and December 31, 2020, all investments in debt securities are classified as available-for-sale investments. All investments are reported within current assets because the securities represent investments of cash available for current operations. As of September 30, 2021 and December 31, 2020, the Company held $51.0 million and $27.5 million, respectively, of investments with contractual maturities of less than one year. As of September 30, 2021 and December 31, 2020, the Company held $11.7 million and $6.9 million, respectively, of investments with contractual maturities between one and two years. Available-for-sale investments are recorded at fair value, and unrealized holding gains and losses are recorded as a component of other comprehensive income (loss). The following table summarizes the Company’s available-for-sale investments: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60"/>
              <w:spacing w:after="0"/>
              <w:rPr>
                <w:sz w:val="20"/>
                <w:szCs w:val="20"/>
                <w:color w:val="auto"/>
              </w:rPr>
            </w:pPr>
            <w:r>
              <w:rPr>
                <w:rFonts w:ascii="Arial" w:cs="Arial" w:eastAsia="Arial" w:hAnsi="Arial"/>
                <w:sz w:val="18"/>
                <w:szCs w:val="18"/>
                <w:b w:val="1"/>
                <w:bCs w:val="1"/>
                <w:color w:val="auto"/>
              </w:rPr>
              <w:t>As of September 30, 2021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Cost or Amortized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Total Estimated</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Corporate bonds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22,694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24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22,688</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33,254</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Arial" w:cs="Arial" w:eastAsia="Arial" w:hAnsi="Arial"/>
                <w:sz w:val="18"/>
                <w:szCs w:val="18"/>
                <w:b w:val="1"/>
                <w:bCs w:val="1"/>
                <w:color w:val="auto"/>
              </w:rPr>
              <w:t>As of December 31, 2020</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Cost or Amortized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Total Estimated</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Corporate bonds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22,894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24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22,949</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Realized gains and losses on investments in debt securities were immaterial for the three and nine months ended September 30, 2021 and 2020.</w:t>
      </w:r>
    </w:p>
    <w:p>
      <w:pPr>
        <w:spacing w:after="0" w:line="27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and recorded at fair value on a recurring basis consist of the following as of:</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September 30, 2021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9,091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9,091</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9,091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9,091</w:t>
            </w: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10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22,688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22,688</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110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33,254</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33,254</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U.S. government and agency securities</w:t>
            </w:r>
          </w:p>
        </w:tc>
        <w:tc>
          <w:tcPr>
            <w:tcW w:w="110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6,736</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6,736</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62,678</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62,678</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9,091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62,678</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71,769</w:t>
            </w:r>
          </w:p>
        </w:tc>
      </w:tr>
      <w:tr>
        <w:trPr>
          <w:trHeight w:val="21"/>
        </w:trPr>
        <w:tc>
          <w:tcPr>
            <w:tcW w:w="4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60" w:right="359" w:bottom="9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914" w:gutter="0" w:footer="0" w:header="0"/>
          <w:type w:val="continuous"/>
        </w:sectPr>
      </w:pPr>
    </w:p>
    <w:bookmarkStart w:id="14" w:name="page15"/>
    <w:bookmarkEnd w:id="14"/>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12,696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12,696</w:t>
            </w: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22,949</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22,949</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6,490</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6,490</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34,425</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34,425</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34,425</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47,121</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carrying amounts for the Company’s accounts receivable, accounts payable, and accrued expenses approximate fair value due to their short maturities.</w:t>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June 4, 2020, the Company terminated its Asset Backed Loan facility (“ABL Revolver”). The Company had no outstanding borrowings under the ABL Revolver immediately prior to termination. Upon termination of the ABL Revolver, the Company was required to post collateral of $7.9 million in a restricted cash account to collateralize the letters of credit related to certain facility leases. As of December 31, 2020, the letters of credit issued related to facility leases of $7.7 million were collateralized by the Company’s restricted cash of $7.9 million. Upon entering into the 2021 Credit Facility (defined below), the Company is no longer required to maintain collateral in a restricted cash account.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Credit Facility</w:t>
      </w:r>
    </w:p>
    <w:p>
      <w:pPr>
        <w:spacing w:after="0" w:line="25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April 2021, the Company entered into a first lien credit agreement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 The 2021 Credit Facility is subject to customary fees for loan facilities of this type, including a commitment fee based on the average daily undrawn portion of the revolving credit facility. The Company expensed the commitment fee and included it in interest and other expense, net in the condensed consolidated statement of comprehensive loss. For the three and nine months ended September 30, 2021, the commitment fee incurred was immaterial. The interest rate applicable to the 2021 Credit Facility is, at the Company’s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 As of September 30, 2021, there was no outstanding balance under the 2021 Credit Facility.</w:t>
      </w:r>
    </w:p>
    <w:p>
      <w:pPr>
        <w:spacing w:after="0" w:line="205" w:lineRule="exact"/>
        <w:rPr>
          <w:sz w:val="20"/>
          <w:szCs w:val="20"/>
          <w:color w:val="auto"/>
        </w:rPr>
      </w:pPr>
    </w:p>
    <w:p>
      <w:pPr>
        <w:ind w:right="200" w:firstLine="648"/>
        <w:spacing w:after="0" w:line="231" w:lineRule="auto"/>
        <w:rPr>
          <w:sz w:val="20"/>
          <w:szCs w:val="20"/>
          <w:color w:val="auto"/>
        </w:rPr>
      </w:pPr>
      <w:r>
        <w:rPr>
          <w:rFonts w:ascii="Arial" w:cs="Arial" w:eastAsia="Arial" w:hAnsi="Arial"/>
          <w:sz w:val="18"/>
          <w:szCs w:val="18"/>
          <w:color w:val="auto"/>
        </w:rPr>
        <w:t>The Company is subject to certain affirmative and negative covenants including the requirement that it maintains a total net leverage ratio of not more than 3.50:1.00 during the periods set forth in the 2021 Credit Facility. Failure to do so, unless waived by the lenders under the 2021 Credit Facility pursuant to its terms, as amended, would result in an event of default under the 2021 Credit Facility. As of September 30, 2021, the Company was in compliance with the net leverage ratio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ind w:left="660"/>
              <w:spacing w:after="0"/>
              <w:rPr>
                <w:sz w:val="20"/>
                <w:szCs w:val="20"/>
                <w:color w:val="auto"/>
              </w:rPr>
            </w:pPr>
            <w:r>
              <w:rPr>
                <w:rFonts w:ascii="Arial" w:cs="Arial" w:eastAsia="Arial" w:hAnsi="Arial"/>
                <w:sz w:val="18"/>
                <w:szCs w:val="18"/>
                <w:color w:val="auto"/>
              </w:rPr>
              <w:t>Accrued expenses consisted of the following as of:</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Payroll and payroll related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Accrued returns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8040" w:firstLine="8"/>
        <w:spacing w:after="0" w:line="518"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From time to time, the Company is subject to various claims and contingencies which are in the scope of ordinary and routine litigation incidental to its business, including those related to regulation, litigation, business transactions, employee-related matters and taxes, among others. When the Company becomes aware of a claim or potential claim, the likelihood of any loss or exposure is assessed. If it is probable that a loss will result and the</w:t>
      </w:r>
    </w:p>
    <w:p>
      <w:pPr>
        <w:spacing w:after="0" w:line="1" w:lineRule="exact"/>
        <w:rPr>
          <w:sz w:val="20"/>
          <w:szCs w:val="20"/>
          <w:color w:val="auto"/>
        </w:rPr>
      </w:pPr>
    </w:p>
    <w:p>
      <w:pPr>
        <w:ind w:right="320"/>
        <w:spacing w:after="0" w:line="307" w:lineRule="auto"/>
        <w:rPr>
          <w:sz w:val="20"/>
          <w:szCs w:val="20"/>
          <w:color w:val="auto"/>
        </w:rPr>
      </w:pPr>
      <w:r>
        <w:rPr>
          <w:rFonts w:ascii="Arial" w:cs="Arial" w:eastAsia="Arial" w:hAnsi="Arial"/>
          <w:sz w:val="18"/>
          <w:szCs w:val="18"/>
          <w:color w:val="auto"/>
        </w:rPr>
        <w:t xml:space="preserve">amount or range of the loss can be reasonably estimated, the Company records a liability for the loss and </w:t>
      </w:r>
      <w:r>
        <w:rPr>
          <w:rFonts w:ascii="Arial" w:cs="Arial" w:eastAsia="Arial" w:hAnsi="Arial"/>
          <w:sz w:val="18"/>
          <w:szCs w:val="18"/>
          <w:color w:val="231F20"/>
        </w:rPr>
        <w:t>discloses the possible loss in the consolidated</w:t>
      </w:r>
      <w:r>
        <w:rPr>
          <w:rFonts w:ascii="Arial" w:cs="Arial" w:eastAsia="Arial" w:hAnsi="Arial"/>
          <w:sz w:val="18"/>
          <w:szCs w:val="18"/>
          <w:color w:val="auto"/>
        </w:rPr>
        <w:t xml:space="preserve"> </w:t>
      </w:r>
      <w:r>
        <w:rPr>
          <w:rFonts w:ascii="Arial" w:cs="Arial" w:eastAsia="Arial" w:hAnsi="Arial"/>
          <w:sz w:val="18"/>
          <w:szCs w:val="18"/>
          <w:color w:val="231F20"/>
        </w:rPr>
        <w:t>financial statements</w:t>
      </w:r>
      <w:r>
        <w:rPr>
          <w:rFonts w:ascii="Arial" w:cs="Arial" w:eastAsia="Arial" w:hAnsi="Arial"/>
          <w:sz w:val="18"/>
          <w:szCs w:val="18"/>
          <w:color w:val="000000"/>
        </w:rPr>
        <w:t>.</w:t>
      </w:r>
      <w:r>
        <w:rPr>
          <w:rFonts w:ascii="Arial" w:cs="Arial" w:eastAsia="Arial" w:hAnsi="Arial"/>
          <w:sz w:val="18"/>
          <w:szCs w:val="18"/>
          <w:color w:val="231F20"/>
        </w:rPr>
        <w:t xml:space="preserve"> Legal costs are expensed as incurred.</w:t>
      </w:r>
    </w:p>
    <w:p>
      <w:pPr>
        <w:spacing w:after="0" w:line="17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is $0.7 million including penalties and interest, for which the Company has paid $0.6 million as of September 30, 2021. During the nine months ended September 30, 2021, the Company recorded interest expense of $0.1 million in interest and other expense, net on the condensed consolidated statement of comprehensive loss. The Company filed its Notice of Appeal on July 1, 2021.</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for the alleged Prop 65 violations contained in its 60-Day Notice of Violation.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06"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are subject to a Court approved stipulation under which the defendants’ obligation to respond to these complaints has been stayed until the conclusion of the process set forth for the appointment of a Lead Plaintiff under the Private Securities Litigation Reform Act. The Company believes the complaints are without merit and intends to vigorously defend itself against these allegations. These matters are in the preliminary stages of litigation with uncertain outcomes at this time. Therefore, the Company cannot estimate the probability of the loss or make an estimate of the loss or range of loss in these matters.</w:t>
      </w:r>
    </w:p>
    <w:p>
      <w:pPr>
        <w:spacing w:after="0" w:line="21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As of September 30, 2021 and December 31, 2020, the Company is not subject to any other currently pending legal matters or claims that could have a material adverse effect on its financial position, results of operations, or cash flows should such litigation be resolved unfavorably.</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Indemnifications</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September 30, 2021 and December 31, 2020,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19" w:lineRule="exact"/>
        <w:rPr>
          <w:sz w:val="20"/>
          <w:szCs w:val="20"/>
          <w:color w:val="auto"/>
        </w:rPr>
      </w:pPr>
    </w:p>
    <w:p>
      <w:pPr>
        <w:ind w:right="8460" w:firstLine="8"/>
        <w:spacing w:after="0" w:line="534" w:lineRule="auto"/>
        <w:tabs>
          <w:tab w:leader="none" w:pos="64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stock option activity for the nine months ended September 30, 2021:</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Options</w:t>
            </w:r>
          </w:p>
        </w:tc>
        <w:tc>
          <w:tcPr>
            <w:tcW w:w="8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18,038,042</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(231,181)</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(360,404)</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at September 30, 2021</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17,446,457</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20" w:firstLine="648"/>
        <w:spacing w:after="0" w:line="243" w:lineRule="auto"/>
        <w:rPr>
          <w:sz w:val="20"/>
          <w:szCs w:val="20"/>
          <w:color w:val="auto"/>
        </w:rPr>
      </w:pPr>
      <w:r>
        <w:rPr>
          <w:rFonts w:ascii="Arial" w:cs="Arial" w:eastAsia="Arial" w:hAnsi="Arial"/>
          <w:sz w:val="18"/>
          <w:szCs w:val="18"/>
          <w:color w:val="auto"/>
        </w:rPr>
        <w:t>From 2018 to 2020, the Company granted stock options that vest based upon achieving a qualifying liquidity event, provided the employee remains employed on the date the vesting condition is satisfied. In conjunction with the IPO, 2,442,918 stock option awards with a weighted average exercise price of $5.54 vested based on the achievement of the IPO qualifying liquidity event, which resulted in the recognition of stock-based compensation expense of $3.1 million upon the effective date of the IPO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243"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color w:val="auto"/>
        </w:rPr>
        <w:t>In April 2021, the Company’s board of directors adopted the Company’s 2021 Equity Incentive Plan (the “2021 Plan”), which became effective in connection with the IPO. All equity-based awards granted on or after the effectiveness of the 2021 Plan will be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The maximum number of shares of the Company’s common stock that may be issued on the exercise of ISOs under its 2021 Plan is 75,100,000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RSU Awards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700" w:type="dxa"/>
            <w:vAlign w:val="bottom"/>
            <w:gridSpan w:val="4"/>
          </w:tcPr>
          <w:p>
            <w:pPr>
              <w:jc w:val="right"/>
              <w:spacing w:after="0"/>
              <w:rPr>
                <w:sz w:val="20"/>
                <w:szCs w:val="20"/>
                <w:color w:val="auto"/>
              </w:rPr>
            </w:pPr>
            <w:r>
              <w:rPr>
                <w:rFonts w:ascii="Arial" w:cs="Arial" w:eastAsia="Arial" w:hAnsi="Arial"/>
                <w:sz w:val="18"/>
                <w:szCs w:val="18"/>
                <w:color w:val="auto"/>
                <w:w w:val="99"/>
              </w:rPr>
              <w:t>The following table summarizes the RSU activity for the nine months ended September 30, 2021: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4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1"/>
              </w:rPr>
              <w:t>Weighted Average Grant Date Fair Value</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3420" w:type="dxa"/>
            <w:vAlign w:val="bottom"/>
            <w:gridSpan w:val="3"/>
          </w:tcPr>
          <w:p>
            <w:pPr>
              <w:ind w:left="102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jc w:val="right"/>
              <w:ind w:right="1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Non-Employee</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Directors, Officers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Non-Employee</w:t>
            </w:r>
          </w:p>
        </w:tc>
        <w:tc>
          <w:tcPr>
            <w:tcW w:w="1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Directors, Officers</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Directors</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and Employees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Directors</w:t>
            </w:r>
          </w:p>
        </w:tc>
        <w:tc>
          <w:tcPr>
            <w:tcW w:w="100" w:type="dxa"/>
            <w:vAlign w:val="bottom"/>
          </w:tcPr>
          <w:p>
            <w:pPr>
              <w:spacing w:after="0"/>
              <w:rPr>
                <w:sz w:val="20"/>
                <w:szCs w:val="20"/>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and Employees</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Unvested RSUs at December 31, 2020</w:t>
            </w: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118,651</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2,605,555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5"/>
        </w:trPr>
        <w:tc>
          <w:tcPr>
            <w:tcW w:w="4280" w:type="dxa"/>
            <w:vAlign w:val="bottom"/>
          </w:tcPr>
          <w:p>
            <w:pPr>
              <w:ind w:left="20"/>
              <w:spacing w:after="0"/>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(2)</w:t>
            </w:r>
          </w:p>
        </w:tc>
        <w:tc>
          <w:tcPr>
            <w:tcW w:w="1660" w:type="dxa"/>
            <w:vAlign w:val="bottom"/>
          </w:tcPr>
          <w:p>
            <w:pPr>
              <w:ind w:left="1020"/>
              <w:spacing w:after="0"/>
              <w:rPr>
                <w:sz w:val="20"/>
                <w:szCs w:val="20"/>
                <w:color w:val="auto"/>
              </w:rPr>
            </w:pPr>
            <w:r>
              <w:rPr>
                <w:rFonts w:ascii="Arial" w:cs="Arial" w:eastAsia="Arial" w:hAnsi="Arial"/>
                <w:sz w:val="18"/>
                <w:szCs w:val="18"/>
                <w:color w:val="auto"/>
                <w:w w:val="92"/>
              </w:rPr>
              <w:t>(10,899)</w:t>
            </w:r>
          </w:p>
        </w:tc>
        <w:tc>
          <w:tcPr>
            <w:tcW w:w="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(158,266)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(5,694)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 xml:space="preserve">Unvested RSUs at </w:t>
            </w:r>
            <w:r>
              <w:rPr>
                <w:rFonts w:ascii="Arial" w:cs="Arial" w:eastAsia="Arial" w:hAnsi="Arial"/>
                <w:sz w:val="19"/>
                <w:szCs w:val="19"/>
                <w:b w:val="1"/>
                <w:bCs w:val="1"/>
                <w:color w:val="auto"/>
              </w:rPr>
              <w:t>September 30,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107,752</w:t>
            </w:r>
          </w:p>
        </w:tc>
        <w:tc>
          <w:tcPr>
            <w:tcW w:w="8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2,441,595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200,000 RSUs granted to an officer of the Company in February 2021 under the 2011 Stock Incentive Plan.</w:t>
      </w:r>
    </w:p>
    <w:p>
      <w:pPr>
        <w:ind w:left="180" w:hanging="172"/>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61,722 shares of common stock that were withheld to cover taxes on the release of vested RSUs and became available for future grants pursuant to the 2021 Plan.</w:t>
      </w:r>
    </w:p>
    <w:p>
      <w:pPr>
        <w:spacing w:after="0" w:line="28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of September 30, 2021, there was $32.9 million of unrecognized stock-based compensation expense related to unvested RSUs, which is expected to be recognized over a weighted-average period of 4.12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For the three and nine months ended September 30, 2021, no shares were purchased under the 2021 ESPP.</w:t>
      </w:r>
    </w:p>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key input assumptions used in the Black-Scholes option-pricing model to estimate the grant-date fair value of the 2021 ESPP:</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Arial" w:cs="Arial" w:eastAsia="Arial" w:hAnsi="Arial"/>
                <w:sz w:val="18"/>
                <w:szCs w:val="18"/>
                <w:b w:val="1"/>
                <w:bCs w:val="1"/>
                <w:color w:val="auto"/>
              </w:rPr>
              <w:t>For the nine months ended September 30, 2021</w:t>
            </w:r>
          </w:p>
        </w:tc>
      </w:tr>
      <w:tr>
        <w:trPr>
          <w:trHeight w:val="27"/>
        </w:trPr>
        <w:tc>
          <w:tcPr>
            <w:tcW w:w="61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5020" w:type="dxa"/>
            <w:vAlign w:val="bottom"/>
          </w:tcPr>
          <w:p>
            <w:pPr>
              <w:jc w:val="center"/>
              <w:ind w:left="10"/>
              <w:spacing w:after="0"/>
              <w:rPr>
                <w:sz w:val="20"/>
                <w:szCs w:val="20"/>
                <w:color w:val="auto"/>
              </w:rPr>
            </w:pPr>
            <w:r>
              <w:rPr>
                <w:rFonts w:ascii="Arial" w:cs="Arial" w:eastAsia="Arial" w:hAnsi="Arial"/>
                <w:sz w:val="18"/>
                <w:szCs w:val="18"/>
                <w:color w:val="auto"/>
                <w:w w:val="91"/>
              </w:rPr>
              <w:t>0.50</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020" w:type="dxa"/>
            <w:vAlign w:val="bottom"/>
          </w:tcPr>
          <w:p>
            <w:pPr>
              <w:jc w:val="center"/>
              <w:ind w:left="10"/>
              <w:spacing w:after="0"/>
              <w:rPr>
                <w:sz w:val="20"/>
                <w:szCs w:val="20"/>
                <w:color w:val="auto"/>
              </w:rPr>
            </w:pPr>
            <w:r>
              <w:rPr>
                <w:rFonts w:ascii="Arial" w:cs="Arial" w:eastAsia="Arial" w:hAnsi="Arial"/>
                <w:sz w:val="18"/>
                <w:szCs w:val="18"/>
                <w:color w:val="auto"/>
                <w:w w:val="91"/>
              </w:rPr>
              <w:t>54.83%</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0.04%</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20" w:type="dxa"/>
            <w:vAlign w:val="bottom"/>
          </w:tcPr>
          <w:p>
            <w:pPr>
              <w:jc w:val="center"/>
              <w:ind w:left="10"/>
              <w:spacing w:after="0"/>
              <w:rPr>
                <w:sz w:val="20"/>
                <w:szCs w:val="20"/>
                <w:color w:val="auto"/>
              </w:rPr>
            </w:pPr>
            <w:r>
              <w:rPr>
                <w:rFonts w:ascii="Arial" w:cs="Arial" w:eastAsia="Arial" w:hAnsi="Arial"/>
                <w:sz w:val="18"/>
                <w:szCs w:val="18"/>
                <w:color w:val="auto"/>
                <w:w w:val="93"/>
              </w:rPr>
              <w:t>—%</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Weighted average grant-date fair value per share</w:t>
            </w:r>
          </w:p>
        </w:tc>
        <w:tc>
          <w:tcPr>
            <w:tcW w:w="5020" w:type="dxa"/>
            <w:vAlign w:val="bottom"/>
          </w:tcPr>
          <w:p>
            <w:pPr>
              <w:jc w:val="center"/>
              <w:ind w:left="10"/>
              <w:spacing w:after="0"/>
              <w:rPr>
                <w:sz w:val="20"/>
                <w:szCs w:val="20"/>
                <w:color w:val="auto"/>
              </w:rPr>
            </w:pPr>
            <w:r>
              <w:rPr>
                <w:rFonts w:ascii="Arial" w:cs="Arial" w:eastAsia="Arial" w:hAnsi="Arial"/>
                <w:sz w:val="18"/>
                <w:szCs w:val="18"/>
                <w:color w:val="auto"/>
                <w:w w:val="88"/>
              </w:rPr>
              <w:t>$4.86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8" w:name="page19"/>
    <w:bookmarkEnd w:id="18"/>
    <w:tbl>
      <w:tblPr>
        <w:tblLayout w:type="fixed"/>
        <w:tblInd w:w="91"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760" w:type="dxa"/>
            <w:vAlign w:val="bottom"/>
            <w:gridSpan w:val="11"/>
          </w:tcPr>
          <w:p>
            <w:pPr>
              <w:ind w:left="660"/>
              <w:spacing w:after="0"/>
              <w:rPr>
                <w:sz w:val="20"/>
                <w:szCs w:val="20"/>
                <w:color w:val="auto"/>
              </w:rPr>
            </w:pPr>
            <w:r>
              <w:rPr>
                <w:rFonts w:ascii="Arial" w:cs="Arial" w:eastAsia="Arial" w:hAnsi="Arial"/>
                <w:sz w:val="18"/>
                <w:szCs w:val="18"/>
                <w:color w:val="auto"/>
                <w:w w:val="90"/>
              </w:rPr>
              <w:t>Stock-based compensation expense related to RSU awards, ESPP purchases and stock options, as applicable, are as follows: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600" w:type="dxa"/>
            <w:vAlign w:val="bottom"/>
            <w:gridSpan w:val="6"/>
          </w:tcPr>
          <w:p>
            <w:pPr>
              <w:ind w:left="120"/>
              <w:spacing w:after="0"/>
              <w:rPr>
                <w:sz w:val="20"/>
                <w:szCs w:val="20"/>
                <w:color w:val="auto"/>
              </w:rPr>
            </w:pPr>
            <w:r>
              <w:rPr>
                <w:rFonts w:ascii="Arial" w:cs="Arial" w:eastAsia="Arial" w:hAnsi="Arial"/>
                <w:sz w:val="18"/>
                <w:szCs w:val="18"/>
                <w:b w:val="1"/>
                <w:bCs w:val="1"/>
                <w:color w:val="auto"/>
                <w:w w:val="94"/>
              </w:rPr>
              <w:t>For the three months ended September 30,</w:t>
            </w:r>
          </w:p>
        </w:tc>
        <w:tc>
          <w:tcPr>
            <w:tcW w:w="140" w:type="dxa"/>
            <w:vAlign w:val="bottom"/>
          </w:tcPr>
          <w:p>
            <w:pPr>
              <w:spacing w:after="0"/>
              <w:rPr>
                <w:sz w:val="23"/>
                <w:szCs w:val="23"/>
                <w:color w:val="auto"/>
              </w:rPr>
            </w:pPr>
          </w:p>
        </w:tc>
        <w:tc>
          <w:tcPr>
            <w:tcW w:w="33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89"/>
              </w:rPr>
              <w:t>For the nine months ended September 30,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12,408</w:t>
            </w:r>
          </w:p>
        </w:tc>
        <w:tc>
          <w:tcPr>
            <w:tcW w:w="8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2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13,240</w:t>
            </w:r>
          </w:p>
        </w:tc>
        <w:tc>
          <w:tcPr>
            <w:tcW w:w="8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731" w:hanging="731"/>
        <w:spacing w:after="0"/>
        <w:tabs>
          <w:tab w:leader="none" w:pos="73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Common Stockholders</w:t>
      </w:r>
    </w:p>
    <w:p>
      <w:pPr>
        <w:spacing w:after="0" w:line="256" w:lineRule="exact"/>
        <w:rPr>
          <w:sz w:val="20"/>
          <w:szCs w:val="20"/>
          <w:color w:val="auto"/>
        </w:rPr>
      </w:pPr>
    </w:p>
    <w:p>
      <w:pPr>
        <w:ind w:left="91" w:right="40" w:firstLine="648"/>
        <w:spacing w:after="0" w:line="257" w:lineRule="auto"/>
        <w:rPr>
          <w:sz w:val="20"/>
          <w:szCs w:val="20"/>
          <w:color w:val="auto"/>
        </w:rPr>
      </w:pPr>
      <w:r>
        <w:rPr>
          <w:rFonts w:ascii="Arial" w:cs="Arial" w:eastAsia="Arial" w:hAnsi="Arial"/>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w:t>
      </w:r>
    </w:p>
    <w:p>
      <w:pPr>
        <w:spacing w:after="0" w:line="215" w:lineRule="exact"/>
        <w:rPr>
          <w:sz w:val="20"/>
          <w:szCs w:val="20"/>
          <w:color w:val="auto"/>
        </w:rPr>
      </w:pPr>
    </w:p>
    <w:p>
      <w:pPr>
        <w:ind w:left="91" w:firstLine="648"/>
        <w:spacing w:after="0" w:line="275" w:lineRule="auto"/>
        <w:rPr>
          <w:sz w:val="20"/>
          <w:szCs w:val="20"/>
          <w:color w:val="auto"/>
        </w:rPr>
      </w:pPr>
      <w:r>
        <w:rPr>
          <w:rFonts w:ascii="Arial" w:cs="Arial" w:eastAsia="Arial" w:hAnsi="Arial"/>
          <w:sz w:val="17"/>
          <w:szCs w:val="17"/>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76" w:lineRule="exact"/>
        <w:rPr>
          <w:sz w:val="20"/>
          <w:szCs w:val="20"/>
          <w:color w:val="auto"/>
        </w:rPr>
      </w:pPr>
    </w:p>
    <w:p>
      <w:pPr>
        <w:ind w:left="751"/>
        <w:spacing w:after="0"/>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w:t>
      </w:r>
    </w:p>
    <w:p>
      <w:pPr>
        <w:spacing w:after="0" w:line="71" w:lineRule="exact"/>
        <w:rPr>
          <w:sz w:val="20"/>
          <w:szCs w:val="20"/>
          <w:color w:val="auto"/>
        </w:rPr>
      </w:pPr>
    </w:p>
    <w:tbl>
      <w:tblPr>
        <w:tblLayout w:type="fixed"/>
        <w:tblInd w:w="111"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160" w:type="dxa"/>
            <w:vAlign w:val="bottom"/>
            <w:gridSpan w:val="6"/>
          </w:tcPr>
          <w:p>
            <w:pPr>
              <w:ind w:left="720"/>
              <w:spacing w:after="0"/>
              <w:rPr>
                <w:sz w:val="20"/>
                <w:szCs w:val="20"/>
                <w:color w:val="auto"/>
              </w:rPr>
            </w:pPr>
            <w:r>
              <w:rPr>
                <w:rFonts w:ascii="Arial" w:cs="Arial" w:eastAsia="Arial" w:hAnsi="Arial"/>
                <w:sz w:val="18"/>
                <w:szCs w:val="18"/>
                <w:b w:val="1"/>
                <w:bCs w:val="1"/>
                <w:color w:val="auto"/>
                <w:w w:val="93"/>
              </w:rPr>
              <w:t>For the three months ended September 30,</w:t>
            </w:r>
          </w:p>
        </w:tc>
        <w:tc>
          <w:tcPr>
            <w:tcW w:w="760" w:type="dxa"/>
            <w:vAlign w:val="bottom"/>
          </w:tcPr>
          <w:p>
            <w:pPr>
              <w:spacing w:after="0"/>
              <w:rPr>
                <w:sz w:val="20"/>
                <w:szCs w:val="20"/>
                <w:color w:val="auto"/>
              </w:rPr>
            </w:pPr>
          </w:p>
        </w:tc>
        <w:tc>
          <w:tcPr>
            <w:tcW w:w="33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For the nine months ended September 30,</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660"/>
              <w:spacing w:after="0"/>
              <w:rPr>
                <w:sz w:val="20"/>
                <w:szCs w:val="20"/>
                <w:color w:val="auto"/>
              </w:rPr>
            </w:pPr>
            <w:r>
              <w:rPr>
                <w:rFonts w:ascii="Arial" w:cs="Arial" w:eastAsia="Arial" w:hAnsi="Arial"/>
                <w:sz w:val="18"/>
                <w:szCs w:val="18"/>
                <w:i w:val="1"/>
                <w:iCs w:val="1"/>
                <w:color w:val="auto"/>
                <w:w w:val="90"/>
              </w:rPr>
              <w:t>(In thousands, except for share</w:t>
            </w: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i w:val="1"/>
                <w:iCs w:val="1"/>
                <w:color w:val="auto"/>
              </w:rPr>
              <w:t>and per share values)</w:t>
            </w:r>
          </w:p>
        </w:tc>
        <w:tc>
          <w:tcPr>
            <w:tcW w:w="9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Numerator:</w:t>
            </w: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6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50"/>
        </w:trPr>
        <w:tc>
          <w:tcPr>
            <w:tcW w:w="2920" w:type="dxa"/>
            <w:vAlign w:val="bottom"/>
          </w:tcPr>
          <w:p>
            <w:pPr>
              <w:ind w:left="760"/>
              <w:spacing w:after="0"/>
              <w:rPr>
                <w:sz w:val="20"/>
                <w:szCs w:val="20"/>
                <w:color w:val="auto"/>
              </w:rPr>
            </w:pPr>
            <w:r>
              <w:rPr>
                <w:rFonts w:ascii="Arial" w:cs="Arial" w:eastAsia="Arial" w:hAnsi="Arial"/>
                <w:sz w:val="18"/>
                <w:szCs w:val="18"/>
                <w:color w:val="auto"/>
              </w:rPr>
              <w:t>Add: gain on conversion of</w:t>
            </w: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920" w:type="dxa"/>
            <w:vAlign w:val="bottom"/>
          </w:tcPr>
          <w:p>
            <w:pPr>
              <w:ind w:left="120"/>
              <w:spacing w:after="0"/>
              <w:rPr>
                <w:sz w:val="20"/>
                <w:szCs w:val="20"/>
                <w:color w:val="auto"/>
              </w:rPr>
            </w:pPr>
            <w:r>
              <w:rPr>
                <w:rFonts w:ascii="Arial" w:cs="Arial" w:eastAsia="Arial" w:hAnsi="Arial"/>
                <w:sz w:val="18"/>
                <w:szCs w:val="18"/>
                <w:color w:val="auto"/>
              </w:rPr>
              <w:t>preferred stock</w:t>
            </w:r>
            <w:r>
              <w:rPr>
                <w:rFonts w:ascii="Arial" w:cs="Arial" w:eastAsia="Arial" w:hAnsi="Arial"/>
                <w:sz w:val="23"/>
                <w:szCs w:val="23"/>
                <w:color w:val="auto"/>
                <w:vertAlign w:val="superscript"/>
              </w:rPr>
              <w:t>(1)</w:t>
            </w:r>
          </w:p>
        </w:tc>
        <w:tc>
          <w:tcPr>
            <w:tcW w:w="92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28,994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920" w:type="dxa"/>
            <w:vAlign w:val="bottom"/>
          </w:tcPr>
          <w:p>
            <w:pPr>
              <w:ind w:left="760"/>
              <w:spacing w:after="0"/>
              <w:rPr>
                <w:sz w:val="20"/>
                <w:szCs w:val="20"/>
                <w:color w:val="auto"/>
              </w:rPr>
            </w:pPr>
            <w:r>
              <w:rPr>
                <w:rFonts w:ascii="Arial" w:cs="Arial" w:eastAsia="Arial" w:hAnsi="Arial"/>
                <w:sz w:val="18"/>
                <w:szCs w:val="18"/>
                <w:color w:val="auto"/>
              </w:rPr>
              <w:t>Less: dividends paid to</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920" w:type="dxa"/>
            <w:vAlign w:val="bottom"/>
          </w:tcPr>
          <w:p>
            <w:pPr>
              <w:ind w:left="120"/>
              <w:spacing w:after="0" w:line="263" w:lineRule="exact"/>
              <w:rPr>
                <w:sz w:val="20"/>
                <w:szCs w:val="20"/>
                <w:color w:val="auto"/>
              </w:rPr>
            </w:pPr>
            <w:r>
              <w:rPr>
                <w:rFonts w:ascii="Arial" w:cs="Arial" w:eastAsia="Arial" w:hAnsi="Arial"/>
                <w:sz w:val="18"/>
                <w:szCs w:val="18"/>
                <w:color w:val="auto"/>
              </w:rPr>
              <w:t>preferred stockholders</w:t>
            </w:r>
            <w:r>
              <w:rPr>
                <w:rFonts w:ascii="Arial" w:cs="Arial" w:eastAsia="Arial" w:hAnsi="Arial"/>
                <w:sz w:val="23"/>
                <w:szCs w:val="23"/>
                <w:color w:val="auto"/>
                <w:vertAlign w:val="superscript"/>
              </w:rPr>
              <w:t>(2)</w:t>
            </w:r>
          </w:p>
        </w:tc>
        <w:tc>
          <w:tcPr>
            <w:tcW w:w="9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(20,637)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920" w:type="dxa"/>
            <w:vAlign w:val="bottom"/>
          </w:tcPr>
          <w:p>
            <w:pPr>
              <w:ind w:left="660"/>
              <w:spacing w:after="0"/>
              <w:rPr>
                <w:sz w:val="20"/>
                <w:szCs w:val="20"/>
                <w:color w:val="auto"/>
              </w:rPr>
            </w:pPr>
            <w:r>
              <w:rPr>
                <w:rFonts w:ascii="Arial" w:cs="Arial" w:eastAsia="Arial" w:hAnsi="Arial"/>
                <w:sz w:val="18"/>
                <w:szCs w:val="18"/>
                <w:color w:val="auto"/>
              </w:rPr>
              <w:t>Net loss attributable to</w:t>
            </w:r>
          </w:p>
        </w:tc>
        <w:tc>
          <w:tcPr>
            <w:tcW w:w="9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common stockholders - basic and</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
        </w:trPr>
        <w:tc>
          <w:tcPr>
            <w:tcW w:w="292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Denominator:</w:t>
            </w: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20" w:type="dxa"/>
            <w:vAlign w:val="bottom"/>
          </w:tcPr>
          <w:p>
            <w:pPr>
              <w:ind w:left="660"/>
              <w:spacing w:after="0"/>
              <w:rPr>
                <w:sz w:val="20"/>
                <w:szCs w:val="20"/>
                <w:color w:val="auto"/>
              </w:rPr>
            </w:pPr>
            <w:r>
              <w:rPr>
                <w:rFonts w:ascii="Arial" w:cs="Arial" w:eastAsia="Arial" w:hAnsi="Arial"/>
                <w:sz w:val="18"/>
                <w:szCs w:val="18"/>
                <w:color w:val="auto"/>
                <w:w w:val="99"/>
              </w:rPr>
              <w:t>Weighted average shares of</w:t>
            </w: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common stock outstanding - basic</w:t>
            </w:r>
          </w:p>
        </w:tc>
        <w:tc>
          <w:tcPr>
            <w:tcW w:w="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90,397,409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34,084,819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64,399,183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34,071,770</w:t>
            </w:r>
          </w:p>
        </w:tc>
        <w:tc>
          <w:tcPr>
            <w:tcW w:w="0" w:type="dxa"/>
            <w:vAlign w:val="bottom"/>
          </w:tcPr>
          <w:p>
            <w:pPr>
              <w:spacing w:after="0"/>
              <w:rPr>
                <w:sz w:val="1"/>
                <w:szCs w:val="1"/>
                <w:color w:val="auto"/>
              </w:rPr>
            </w:pPr>
          </w:p>
        </w:tc>
      </w:tr>
      <w:tr>
        <w:trPr>
          <w:trHeight w:val="256"/>
        </w:trPr>
        <w:tc>
          <w:tcPr>
            <w:tcW w:w="2920" w:type="dxa"/>
            <w:vAlign w:val="bottom"/>
          </w:tcPr>
          <w:p>
            <w:pPr>
              <w:ind w:left="760"/>
              <w:spacing w:after="0"/>
              <w:rPr>
                <w:sz w:val="20"/>
                <w:szCs w:val="20"/>
                <w:color w:val="auto"/>
              </w:rPr>
            </w:pPr>
            <w:r>
              <w:rPr>
                <w:rFonts w:ascii="Arial" w:cs="Arial" w:eastAsia="Arial" w:hAnsi="Arial"/>
                <w:sz w:val="18"/>
                <w:szCs w:val="18"/>
                <w:color w:val="auto"/>
                <w:w w:val="99"/>
              </w:rPr>
              <w:t>Add: effect of dilutive stock</w:t>
            </w: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660"/>
              <w:spacing w:after="0"/>
              <w:rPr>
                <w:sz w:val="20"/>
                <w:szCs w:val="20"/>
                <w:color w:val="auto"/>
              </w:rPr>
            </w:pPr>
            <w:r>
              <w:rPr>
                <w:rFonts w:ascii="Arial" w:cs="Arial" w:eastAsia="Arial" w:hAnsi="Arial"/>
                <w:sz w:val="18"/>
                <w:szCs w:val="18"/>
                <w:color w:val="auto"/>
                <w:w w:val="99"/>
              </w:rPr>
              <w:t>Weighted average shares of</w:t>
            </w: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common stock outstanding - diluted</w:t>
            </w:r>
          </w:p>
        </w:tc>
        <w:tc>
          <w:tcPr>
            <w:tcW w:w="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90,397,409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34,084,819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64,399,183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34,071,770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000" w:type="dxa"/>
            <w:vAlign w:val="bottom"/>
            <w:gridSpan w:val="4"/>
          </w:tcPr>
          <w:p>
            <w:pPr>
              <w:ind w:left="660"/>
              <w:spacing w:after="0"/>
              <w:rPr>
                <w:sz w:val="20"/>
                <w:szCs w:val="20"/>
                <w:color w:val="auto"/>
              </w:rPr>
            </w:pPr>
            <w:r>
              <w:rPr>
                <w:rFonts w:ascii="Arial" w:cs="Arial" w:eastAsia="Arial" w:hAnsi="Arial"/>
                <w:sz w:val="18"/>
                <w:szCs w:val="18"/>
                <w:color w:val="auto"/>
                <w:w w:val="95"/>
              </w:rPr>
              <w:t>Net loss per share, attributable to common shareholders: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20" w:type="dxa"/>
            <w:vAlign w:val="bottom"/>
          </w:tcPr>
          <w:p>
            <w:pPr>
              <w:ind w:left="760"/>
              <w:spacing w:after="0"/>
              <w:rPr>
                <w:sz w:val="20"/>
                <w:szCs w:val="20"/>
                <w:color w:val="auto"/>
              </w:rPr>
            </w:pPr>
            <w:r>
              <w:rPr>
                <w:rFonts w:ascii="Arial" w:cs="Arial" w:eastAsia="Arial" w:hAnsi="Arial"/>
                <w:sz w:val="18"/>
                <w:szCs w:val="18"/>
                <w:color w:val="auto"/>
              </w:rPr>
              <w:t>Basic and diluted</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91" w:firstLine="8"/>
        <w:spacing w:after="0" w:line="191" w:lineRule="auto"/>
        <w:tabs>
          <w:tab w:leader="none" w:pos="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conversion price of the Company’s Series C and Series D redeemable convertible preferred stock was adjusted as the offering price in the initial public offering was below a certain threshold resulting in the preferred stockholders receiving a fixed dollar amount on conversion settled into a variable number of shares, or a stock-settled redemption feature. Upon the settlement of this redemption feature, the Company recorded a gain on extinguishment of the redeemable convertible preferred stock of $29.0 million as an adjustment to net loss to arrive at net loss attributable to common stockholders to calculate earnings per share. The extinguishment gain was measured as the difference between the carrying amount of the redeemable convertible preferred stock and the fair value of common stock upon the IPO date that the preferred stock converted into.</w:t>
      </w:r>
    </w:p>
    <w:p>
      <w:pPr>
        <w:ind w:left="91" w:firstLine="8"/>
        <w:spacing w:after="0" w:line="209" w:lineRule="auto"/>
        <w:tabs>
          <w:tab w:leader="none" w:pos="278"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April 2021, the Company's board of directors declared a cash dividend of $35.0 million to the holders of record of our common stock as of May 3, 2021, that was contingent upon the closing of the Company's IPO. On June 29, 2021, the Company paid the dividend, of which $20.6 million was paid to the holders of the Company's redeemable convertible preferred stock.</w:t>
      </w:r>
    </w:p>
    <w:p>
      <w:pPr>
        <w:sectPr>
          <w:pgSz w:w="11900" w:h="16838" w:orient="portrait"/>
          <w:cols w:equalWidth="0" w:num="1">
            <w:col w:w="11311"/>
          </w:cols>
          <w:pgMar w:left="229" w:top="769" w:right="359" w:bottom="9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163830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1"/>
          </w:cols>
          <w:pgMar w:left="229" w:top="769" w:right="359" w:bottom="982" w:gutter="0" w:footer="0" w:header="0"/>
          <w:type w:val="continuous"/>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color w:val="auto"/>
        </w:rPr>
        <w:t>The following potentially dilutive shares were excluded from the computation of diluted net income (loss) per share because including them would have been antidilutive:</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For the three months ended September 30,</w:t>
            </w:r>
          </w:p>
        </w:tc>
        <w:tc>
          <w:tcPr>
            <w:tcW w:w="36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4"/>
              </w:rPr>
              <w:t>For the nine months ended September 30,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Redeemable convertible preferred stock</w:t>
            </w:r>
            <w:r>
              <w:rPr>
                <w:rFonts w:ascii="Arial" w:cs="Arial" w:eastAsia="Arial" w:hAnsi="Arial"/>
                <w:sz w:val="23"/>
                <w:szCs w:val="23"/>
                <w:color w:val="auto"/>
                <w:vertAlign w:val="superscript"/>
              </w:rPr>
              <w:t>(1)</w:t>
            </w: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20" w:type="dxa"/>
            <w:vAlign w:val="bottom"/>
            <w:vMerge w:val="continue"/>
          </w:tcPr>
          <w:p>
            <w:pPr>
              <w:spacing w:after="0"/>
              <w:rPr>
                <w:sz w:val="24"/>
                <w:szCs w:val="24"/>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49,100,928</w:t>
            </w:r>
          </w:p>
        </w:tc>
        <w:tc>
          <w:tcPr>
            <w:tcW w:w="100" w:type="dxa"/>
            <w:vAlign w:val="bottom"/>
          </w:tcPr>
          <w:p>
            <w:pPr>
              <w:spacing w:after="0"/>
              <w:rPr>
                <w:sz w:val="24"/>
                <w:szCs w:val="24"/>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49,100,928</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17,446,457</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18,146,740</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17,446,457</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18,146,740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740" w:type="dxa"/>
            <w:vAlign w:val="bottom"/>
          </w:tcPr>
          <w:p>
            <w:pPr>
              <w:jc w:val="right"/>
              <w:spacing w:after="0"/>
              <w:rPr>
                <w:sz w:val="20"/>
                <w:szCs w:val="20"/>
                <w:color w:val="auto"/>
              </w:rPr>
            </w:pPr>
            <w:r>
              <w:rPr>
                <w:rFonts w:ascii="Arial" w:cs="Arial" w:eastAsia="Arial" w:hAnsi="Arial"/>
                <w:sz w:val="18"/>
                <w:szCs w:val="18"/>
                <w:color w:val="auto"/>
              </w:rPr>
              <w:t>2,549,347</w:t>
            </w:r>
          </w:p>
        </w:tc>
        <w:tc>
          <w:tcPr>
            <w:tcW w:w="100" w:type="dxa"/>
            <w:vAlign w:val="bottom"/>
          </w:tcPr>
          <w:p>
            <w:pPr>
              <w:spacing w:after="0"/>
              <w:rPr>
                <w:sz w:val="23"/>
                <w:szCs w:val="2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2,549,347</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740" w:type="dxa"/>
            <w:vAlign w:val="bottom"/>
          </w:tcPr>
          <w:p>
            <w:pPr>
              <w:jc w:val="right"/>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3"/>
                <w:szCs w:val="2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20" w:type="dxa"/>
            <w:vAlign w:val="bottom"/>
          </w:tcPr>
          <w:p>
            <w:pPr>
              <w:ind w:left="1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20,026,593</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67,247,668</w:t>
            </w:r>
          </w:p>
        </w:tc>
        <w:tc>
          <w:tcPr>
            <w:tcW w:w="10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20,026,593</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67,247,668</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 Immediately prior to the completion of the IPO, 49,100,928 outstanding shares of redeemable convertible preferred stock with a carrying value of $376.4 million converted into 49,649,023 shares of common stock.</w:t>
      </w:r>
    </w:p>
    <w:p>
      <w:pPr>
        <w:spacing w:after="0" w:line="304"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and other permanent differences.</w:t>
      </w:r>
    </w:p>
    <w:p>
      <w:pPr>
        <w:spacing w:after="0" w:line="14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three and nine months ended September 30, 2021 and 2020, the Company has not recorded any uncertain tax positions and has not recognized interest or penalties in the condensed consolidated statement of comprehensive loss.</w:t>
      </w:r>
    </w:p>
    <w:p>
      <w:pPr>
        <w:spacing w:after="0" w:line="19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In April 2020, the Company engaged Summit House Studios LLC, a third-party consultant, to provide digital ad production services. Summit House Studios LLC is owned by a major shareholder of the Company. Based on services provided, the Company incurred $0.1 million and $0.4 million, respectively, of advertising costs for the three and nine months ended September 30, 2021, and $0.1 million and $0.3 million, respectively, for the three and nine months ended September 30, 2020 which is reported as marketing expense in the Company’s condensed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prospectus, dated May 4, 2021, filed with the Securities and Exchange Commission (“SEC”) in accordance with Rule 424(b) of the Securities Act on May 6, 2021 (the “Prospectus”) in connection with our initial public offering (“IPO”).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Honest Company, Inc. (“Honest” and, together with its consolidated subsidiaries, the “Company,” “we,” “us” and “our”) is a digitally-native, mission-driven brand focused on leading the clean lifestyle movement, creating a community for conscious consumers and seeking to disrupt multiple consumer product categories. Our commitment to our core values, passionate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however our consumers shop. Our differentiated platform positions us for continued growth through our trusted brand, award-winning multi-category product offering, deep digital-first connection with consumers and omnichannel accessibility.</w:t>
      </w:r>
    </w:p>
    <w:p>
      <w:pPr>
        <w:spacing w:after="0" w:line="180"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Our integrated multi-category product architecture is intentionally designed to serve our consumers every day, at every age and through every life stage, no matter where they are on their journey. Our three categories are Diapers and Wipes, Skin and Personal Care, and Household and Wellness, which represented 65%, 31%, and 4%, respectively, of our revenue for the three months ended September 30, 2021, compared to 59%, 25%, and 16%, respectively, of our revenue for the three months ended September 30, 2020, and 63%, 32%, and 5%, respectively, of our revenue for the nine months ended September 30, 2021, compared to 66%, 26%, and 8%, respectively, of our revenue for the nine months ended September 30, 2020.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w:t>
      </w:r>
    </w:p>
    <w:p>
      <w:pPr>
        <w:spacing w:after="0" w:line="19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w:t>
      </w:r>
    </w:p>
    <w:p>
      <w:pPr>
        <w:spacing w:after="0" w:line="180" w:lineRule="exact"/>
        <w:rPr>
          <w:sz w:val="20"/>
          <w:szCs w:val="20"/>
          <w:color w:val="auto"/>
        </w:rPr>
      </w:pPr>
    </w:p>
    <w:p>
      <w:pPr>
        <w:ind w:right="60" w:firstLine="648"/>
        <w:spacing w:after="0" w:line="252" w:lineRule="auto"/>
        <w:rPr>
          <w:sz w:val="20"/>
          <w:szCs w:val="20"/>
          <w:color w:val="auto"/>
        </w:rPr>
      </w:pPr>
      <w:r>
        <w:rPr>
          <w:rFonts w:ascii="Arial" w:cs="Arial" w:eastAsia="Arial" w:hAnsi="Arial"/>
          <w:sz w:val="16"/>
          <w:szCs w:val="16"/>
          <w:color w:val="auto"/>
        </w:rPr>
        <w:t>Our omnichannel approach seeks to meet consumers however they want to shop, balancing deep consumer connection with broad convenience and accessibility. Since our launch, we have built a well-integrated omnichannel presence by expanding our retail accessibility across both Digital and Retail channels, including the launch of strategic partnerships with Costco, Target and Amazon in 2013, 2014 and 2017, respectively. For the three months ended September 30, 2021, we generated 47% and 53% of our revenue from our Digital and Retail channels, respectively, compared to 56% and 44%, respectively, for the three months ended September 30, 2020. For the nine months ended September 30, 2021, we generated 49% and 51% of our revenue from our Digital and Retail channels, respectively, compared to 59% and 41%, respectively, for the nine months ended September 30, 2020.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the rest of our Digital channel, and our Retail channel, which includes leading retailers and their websites. Our products can be found in approximately 40,000 retail locations across the United States, Canada and Europe. This distinctive business model has allowed us to efficiently scale our business while remaining agnostic as to the channel where consumers purchase our products. Our integrated omnichannel presence provides meaningful benefits to our consumers which we believe is not easily replicated by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Innovation Strategy</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Our Innovation Strategy was implemented in 2017, in order to reposition us for long-term success. In the first two years of implementing the</w:t>
      </w:r>
    </w:p>
    <w:p>
      <w:pPr>
        <w:spacing w:after="0" w:line="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Innovation Strategy, we underwent a period of transition during which we executed on portfolio simplification, product innovation and accelerated our shift from digital to omnichannel.</w:t>
      </w:r>
    </w:p>
    <w:p>
      <w:pPr>
        <w:spacing w:after="0" w:line="19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231F20"/>
        </w:rPr>
        <w:t>We remain focused on continuing to innovate in each of our product categories in areas such as breakthrough new product formulations, packaging and/or marketing strategy. We use our connectivity to our community of consumers to provide lifestyle insights that power our innovation across categories. We use innovation to support our growth objectives across our portfolio, as highlighted in the three core pillars of our Innovation Framework; that we bring product innovation that feeds and nurtures our core, stretches and expands within our existing product categories and explores and grows around new potential product adjacencies that fit with our value proposition to the consumer.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May 7, 2021, we completed our IPO of 25,807,000 shares of our common stock at a stock price of $16.00 per share, resulting in aggregate net proceeds to us of approximately $91.0 million, after deducting the underwriting discount and commissions of $6.7 million and offering expenses of $5.5 million.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Grow Our Brand Awareness</w:t>
      </w:r>
    </w:p>
    <w:p>
      <w:pPr>
        <w:spacing w:after="0" w:line="23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Our brand is integral to the growth of our business and is essential to our ability to engage and stay connected with the growing clean lifestyle consumer. Honest is still unknown to many consumers, with unaided brand awareness of 25% among diaper buyers according to our consumer research as of January 2021. In order to increase the wallet share of existing conscious consumers and attract new ones,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Innovation</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lifestyle space. Based in Los Angeles, California, our research and development team, including chemists and an in-house 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do so in the future. We believe our rigorous approach to product innovation has helped redefine and grow the clean and natural segments of the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Continued Product Category Growth</w:t>
      </w:r>
    </w:p>
    <w:p>
      <w:pPr>
        <w:spacing w:after="0" w:line="239"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Our product mix is a driver of our financial performance given our focus on accretive product launches and innovation to increase product margins. Even though our growth strategy aims to boost sales across all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our revenue and margin growth.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Execution of Omnichannel Strategy</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online retailers, big-box retailers, grocery stores, drugstores and specialty retailers. Our ability to execute this strategy will depend on a number of factors, such as retailers’ satisfaction with the sales and profitability of our products, channel shifts of their customers, and their own supply chain, order timing, and inventory needs, which may fluctuate from period to period. In the second quarter of fiscal 2021, we experienced volatility in orders from a key digital partner that reduced its inventory on-hand in consumables to free up space for other products ahead of a major promotional event. In the third quarter of fiscal 2021, orders from this key digital partner have come back in line with end-consumer consumption, although we have not seen inventory levels at this customer return to levels prior to the second quarter of fiscal 2021. We have a new arrangement with this digital partner and in the three months ended September 30, 2021 this partner began to fulfill orders to their customers from a dedicated space within our warehouse, which allows them to free up space in their own warehouse and accelerate shipment time to the end consumer.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Marketing Efficienc</w:t>
      </w:r>
      <w:r>
        <w:rPr>
          <w:rFonts w:ascii="Arial" w:cs="Arial" w:eastAsia="Arial" w:hAnsi="Arial"/>
          <w:sz w:val="18"/>
          <w:szCs w:val="18"/>
          <w:b w:val="1"/>
          <w:bCs w:val="1"/>
          <w:color w:val="auto"/>
        </w:rPr>
        <w:t>y</w:t>
      </w:r>
    </w:p>
    <w:p>
      <w:pPr>
        <w:spacing w:after="0" w:line="24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partners to acquire new consumers. It is important to maintain reasonable costs for these marketing efforts relative to the revenue we expect to derive from our consumers. We leverage our proprietary Honest Omni-Analytics to generate valuable consumer insights that guide our omnichannel strategy and inform our marketing spend optimization. Our future success depends in part on our ability to effectively attract consumers on a cost-efficient basis and achieve efficiencies in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Macro Trends</w:t>
      </w:r>
    </w:p>
    <w:p>
      <w:pPr>
        <w:spacing w:after="0" w:line="23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color w:val="auto"/>
        </w:rPr>
        <w:t>We have strategically positioned ourselves to benefit from several macro trends related to changes in consumer behavior. We believe consumers’ increasing interest in a conscious lifestyle has contributed to significant demand for our products. Further, the rise in digital shopping has complemented our flagship digital platform, Honest.com, our presence with third-party ecommerce players and our Retail partners’ websites. In 2021, we have seen a significant shift from Digital to Retail as more consumers have become vaccinated and have chosen to return to in-store shopping. Changes in macro-level consumer spending trends, including as a result of the COVID-19 pandemic, could result in fluctuations in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3" w:lineRule="exact"/>
        <w:rPr>
          <w:sz w:val="20"/>
          <w:szCs w:val="20"/>
          <w:color w:val="auto"/>
        </w:rPr>
      </w:pPr>
    </w:p>
    <w:p>
      <w:pPr>
        <w:ind w:right="460" w:firstLine="648"/>
        <w:spacing w:after="0" w:line="248" w:lineRule="auto"/>
        <w:rPr>
          <w:sz w:val="20"/>
          <w:szCs w:val="20"/>
          <w:color w:val="auto"/>
        </w:rPr>
      </w:pPr>
      <w:r>
        <w:rPr>
          <w:rFonts w:ascii="Arial" w:cs="Arial" w:eastAsia="Arial" w:hAnsi="Arial"/>
          <w:sz w:val="18"/>
          <w:szCs w:val="18"/>
          <w:color w:val="auto"/>
        </w:rPr>
        <w:t>The COVID-19 pandemic caused general business disruption worldwide beginning in January 2020. The full extent to which the COVID-19 pandemic will directly or indirectly impact our cash flow, business, financial condition, results of operations and prospects will depend on future developments that are uncertain.</w:t>
      </w:r>
    </w:p>
    <w:p>
      <w:pPr>
        <w:spacing w:after="0" w:line="18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a result of the COVID-19 pandemic, our headquarters has been temporarily closed but we are beginning to reopen in a limited capacity. We have also implemented travel restrictions. These actions represent a significant change in how we operate our business, but we believe that we successfully navigated this transition. In an effort to provide a safe work environment for our employees, we have implemented various social distancing measures, including replacing many in-person meetings with virtual interactions. We will continue to take actions as may be required or recommended by government or health authorities or as we determine are in the best interests of our employees and other business partners in light of the pandemic.</w:t>
      </w:r>
    </w:p>
    <w:p>
      <w:pPr>
        <w:spacing w:after="0" w:line="16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experienced some impacts on our inventory availability and delivery capacity since the outbreak, which to date has not materially impacted our ability to service our consumers and retail and third-party ecommerce customers. We have taken measures to bolster key aspects of our supply chain, such as ensuring sufficient inventory to support our continued growth in the</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23" w:name="page24"/>
    <w:bookmarkEnd w:id="23"/>
    <w:p>
      <w:pPr>
        <w:ind w:right="280"/>
        <w:spacing w:after="0" w:line="259" w:lineRule="auto"/>
        <w:rPr>
          <w:sz w:val="20"/>
          <w:szCs w:val="20"/>
          <w:color w:val="auto"/>
        </w:rPr>
      </w:pPr>
      <w:r>
        <w:rPr>
          <w:rFonts w:ascii="Arial" w:cs="Arial" w:eastAsia="Arial" w:hAnsi="Arial"/>
          <w:sz w:val="18"/>
          <w:szCs w:val="18"/>
          <w:color w:val="auto"/>
        </w:rPr>
        <w:t>face of the pandemic. We continue to work with our existing manufacturing, logistics and other supply chain partners to ensure our ability to service our consumers and retail and third-party ecommerce customers. We have experienced an increase in commodity prices, labor costs, input costs and transportation costs that we expect to continue at least through the fourth quarter of 2021. We plan to offset these additional costs with productivity or pricing adjustments that will begin to take effect in the first quarter of 2022.</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believe that during 2020, COVID-19 drove a demand shift towards our Digital channel as consumers shifted to online shopping amid the pandemic. We have seen this trend reverse in 2021 as consumers became vaccinated and returned to in-store shopping. Additionally, in 2020 our Household and Wellness product category benefited from increasing demand for sanitization products. In response, we accelerated our development timeline for certain product launches, launching our disinfecting spray and alcohol wipes in 2020. In 2021, we have seen a decrease in consumer demand as more consumers have become vaccinated and retailers continue to manage heavy inventories of sanitization and disinfecting products in stores. Due to the reduction in consumer demand for sanitizing and disinfecting products, we are currently carrying higher levels of inventory in our Household and Wellness product category. The appropriate level of our inventory reserve is based on current and forecasted demand. Management is implementing strategies to address this reduction in demand and the related impact on gross margin, including higher markdowns and promotions to clear through inventory, liquidation efforts, investing in new product ideas and developing new creative advertising. There is no guarantee that customer demand will increase in our favor or that we will be able to successfully implement these strategies. Depending on future consumer behavior in relation to changes in the COVID-19 pandemic and related aging of inventory, among other factors, we may incur additional inventory reserves and customer returns. As we have seen increased consumer willingness to return to in-store shopping as the economy opens and more of the population is vaccinated, we also have seen demand acceleration driving revenue growth within our Retail channel, specifically within our Diapers and Wipes and Skin and Personal Care product categories in 2021.</w:t>
      </w:r>
    </w:p>
    <w:p>
      <w:pPr>
        <w:spacing w:after="0" w:line="18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operations of our retail partners,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during fiscal 2021 and potentially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consumers.</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2019 we entered into a license agreement with Butterblu, LLC, or Butterblu, pursuant to which we license certain of our trademarks to Butterblu for the manufacture and distribution of certain baby apparel products in exchange for royalties. Butterblu operates and maintains our baby apparel offerings independently through the honestbabyclothing.com website. Our baby apparel offerings and our agreement with Butterblu are not currently material to our business and not expected to be material in the future. For the three and nine months ended September 30, 2021, we collected $0.2 million and $0.7 million, respectively, in royalty revenue. For the three and nine months ended September 30, 2020, we did not collect any royalty revenue under this agreement due in part because we granted Butterblu temporary payment relief.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selling, general and administrative, marketing and 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depreciation and amortization and overhead costs. We expect our general and administrative expenses to increase in absolute dollars as we continue to grow our business and organizational capabilities. We will also incur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We expect marketing expenses to continue to increase in absolute dollars as we continue to expand brand awareness, introduce new product innovation across multiple product categories and implement new marketing strategies.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IPO-Related Expenses</w:t>
      </w:r>
    </w:p>
    <w:p>
      <w:pPr>
        <w:spacing w:after="0" w:line="1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December 2020, we paid bonuses totaling $9.5 million to certain employees, including members of management, relating to preparation of our IPO, and after the closing of the IPO, we paid an additional $9.5 million in bonuses to certain employees, including members of management, which we collectively refer to as the IPO Bonuses, excluding in each case payroll taxes and expenses. The IPO Bonuses were recognized in selling, general and administrative and research and development expense. In addition, upon the effective date of the registration statement for our IPO in May 2021, we recognized stock-based compensation expense in selling, general and administrative and research and development expenses of $3.1 million related to certain performance and market-based stock options that vested upon this liquidity event and $0.2 million related to certain restricted stock units.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Interest income consists primarily of interest income earned on our short-term investments and our cash and cash equivalents balances. Interest expense consists primarily of the portion of rent payments recognized as imputed interest expense under build-to-suit accounting associated with our leasing arrangements.</w:t>
      </w:r>
    </w:p>
    <w:p>
      <w:pPr>
        <w:spacing w:after="0" w:line="184"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Other income (expense), net consists primarily of our foreign currency exchange gains and losses relating to transactions denominated in currencies other than the U.S. dollar. We expect our foreign currency gains and losses to continue to fluctuate in the future due to changes in both the volume of foreign currency transactions and foreign currency exchange rates.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00" w:type="dxa"/>
            <w:vAlign w:val="bottom"/>
            <w:gridSpan w:val="11"/>
          </w:tcPr>
          <w:p>
            <w:pPr>
              <w:ind w:left="660"/>
              <w:spacing w:after="0"/>
              <w:rPr>
                <w:sz w:val="20"/>
                <w:szCs w:val="20"/>
                <w:color w:val="auto"/>
              </w:rPr>
            </w:pPr>
            <w:r>
              <w:rPr>
                <w:rFonts w:ascii="Arial" w:cs="Arial" w:eastAsia="Arial" w:hAnsi="Arial"/>
                <w:sz w:val="18"/>
                <w:szCs w:val="18"/>
                <w:color w:val="auto"/>
                <w:w w:val="93"/>
              </w:rPr>
              <w:t>The following table sets forth our condensed consolidated statements of operations data for each of the periods indicated:</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20" w:type="dxa"/>
            <w:vAlign w:val="bottom"/>
          </w:tcPr>
          <w:p>
            <w:pPr>
              <w:spacing w:after="0"/>
              <w:rPr>
                <w:sz w:val="24"/>
                <w:szCs w:val="24"/>
                <w:color w:val="auto"/>
              </w:rPr>
            </w:pPr>
          </w:p>
        </w:tc>
        <w:tc>
          <w:tcPr>
            <w:tcW w:w="4140" w:type="dxa"/>
            <w:vAlign w:val="bottom"/>
            <w:gridSpan w:val="6"/>
          </w:tcPr>
          <w:p>
            <w:pPr>
              <w:ind w:left="380"/>
              <w:spacing w:after="0"/>
              <w:rPr>
                <w:sz w:val="20"/>
                <w:szCs w:val="20"/>
                <w:color w:val="auto"/>
              </w:rPr>
            </w:pPr>
            <w:r>
              <w:rPr>
                <w:rFonts w:ascii="Arial" w:cs="Arial" w:eastAsia="Arial" w:hAnsi="Arial"/>
                <w:sz w:val="18"/>
                <w:szCs w:val="18"/>
                <w:b w:val="1"/>
                <w:bCs w:val="1"/>
                <w:color w:val="auto"/>
              </w:rPr>
              <w:t>For the three months ended September 30,</w:t>
            </w:r>
          </w:p>
        </w:tc>
        <w:tc>
          <w:tcPr>
            <w:tcW w:w="280" w:type="dxa"/>
            <w:vAlign w:val="bottom"/>
          </w:tcPr>
          <w:p>
            <w:pPr>
              <w:spacing w:after="0"/>
              <w:rPr>
                <w:sz w:val="24"/>
                <w:szCs w:val="24"/>
                <w:color w:val="auto"/>
              </w:rPr>
            </w:pPr>
          </w:p>
        </w:tc>
        <w:tc>
          <w:tcPr>
            <w:tcW w:w="37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3"/>
              </w:rPr>
              <w:t>For the nine months ended September 30,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20" w:type="dxa"/>
            <w:vAlign w:val="bottom"/>
          </w:tcPr>
          <w:p>
            <w:pPr>
              <w:ind w:left="20"/>
              <w:spacing w:after="0"/>
              <w:rPr>
                <w:sz w:val="20"/>
                <w:szCs w:val="20"/>
                <w:color w:val="auto"/>
              </w:rPr>
            </w:pPr>
            <w:r>
              <w:rPr>
                <w:rFonts w:ascii="Arial" w:cs="Arial" w:eastAsia="Arial" w:hAnsi="Arial"/>
                <w:sz w:val="18"/>
                <w:szCs w:val="18"/>
                <w:color w:val="auto"/>
              </w:rPr>
              <w:t>Revenue</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82,651</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77,928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238,258</w:t>
            </w:r>
          </w:p>
        </w:tc>
        <w:tc>
          <w:tcPr>
            <w:tcW w:w="10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222,654</w:t>
            </w:r>
          </w:p>
        </w:tc>
        <w:tc>
          <w:tcPr>
            <w:tcW w:w="0" w:type="dxa"/>
            <w:vAlign w:val="bottom"/>
          </w:tcPr>
          <w:p>
            <w:pPr>
              <w:spacing w:after="0"/>
              <w:rPr>
                <w:sz w:val="1"/>
                <w:szCs w:val="1"/>
                <w:color w:val="auto"/>
              </w:rPr>
            </w:pPr>
          </w:p>
        </w:tc>
      </w:tr>
      <w:tr>
        <w:trPr>
          <w:trHeight w:val="270"/>
        </w:trPr>
        <w:tc>
          <w:tcPr>
            <w:tcW w:w="3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48,519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153,177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140,953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85,081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81,701</w:t>
            </w:r>
          </w:p>
        </w:tc>
        <w:tc>
          <w:tcPr>
            <w:tcW w:w="0" w:type="dxa"/>
            <w:vAlign w:val="bottom"/>
          </w:tcPr>
          <w:p>
            <w:pPr>
              <w:spacing w:after="0"/>
              <w:rPr>
                <w:sz w:val="1"/>
                <w:szCs w:val="1"/>
                <w:color w:val="auto"/>
              </w:rPr>
            </w:pPr>
          </w:p>
        </w:tc>
      </w:tr>
      <w:tr>
        <w:trPr>
          <w:trHeight w:val="270"/>
        </w:trPr>
        <w:tc>
          <w:tcPr>
            <w:tcW w:w="3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30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1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18,568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65,356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45,848</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41,868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297"/>
        </w:trPr>
        <w:tc>
          <w:tcPr>
            <w:tcW w:w="3020" w:type="dxa"/>
            <w:vAlign w:val="bottom"/>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113,306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82,873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(28,225)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0"/>
        </w:trPr>
        <w:tc>
          <w:tcPr>
            <w:tcW w:w="3020" w:type="dxa"/>
            <w:vAlign w:val="bottom"/>
          </w:tcPr>
          <w:p>
            <w:pPr>
              <w:ind w:left="20"/>
              <w:spacing w:after="0"/>
              <w:rPr>
                <w:sz w:val="20"/>
                <w:szCs w:val="20"/>
                <w:color w:val="auto"/>
              </w:rPr>
            </w:pPr>
            <w:r>
              <w:rPr>
                <w:rFonts w:ascii="Arial" w:cs="Arial" w:eastAsia="Arial" w:hAnsi="Arial"/>
                <w:sz w:val="18"/>
                <w:szCs w:val="18"/>
                <w:color w:val="auto"/>
                <w:w w:val="91"/>
              </w:rPr>
              <w:t>Interest and other income (expense), net</w:t>
            </w:r>
          </w:p>
        </w:tc>
        <w:tc>
          <w:tcPr>
            <w:tcW w:w="1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w w:val="96"/>
              </w:rPr>
              <w:t>Loss before provision for income taxes</w:t>
            </w: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(29,587)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0"/>
        </w:trPr>
        <w:tc>
          <w:tcPr>
            <w:tcW w:w="30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41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three months ended September 30,</w:t>
            </w:r>
          </w:p>
        </w:tc>
        <w:tc>
          <w:tcPr>
            <w:tcW w:w="280" w:type="dxa"/>
            <w:vAlign w:val="bottom"/>
          </w:tcPr>
          <w:p>
            <w:pPr>
              <w:spacing w:after="0"/>
              <w:rPr>
                <w:sz w:val="20"/>
                <w:szCs w:val="20"/>
                <w:color w:val="auto"/>
              </w:rPr>
            </w:pPr>
          </w:p>
        </w:tc>
        <w:tc>
          <w:tcPr>
            <w:tcW w:w="38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For the nine months ended September 30,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0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12,408</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13,240</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The following table sets forth our condensed consolidated statements of operations data expressed as a percentage of revenue*:</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0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4"/>
              </w:rPr>
              <w:t>For the three months ended September 30,</w:t>
            </w:r>
          </w:p>
        </w:tc>
        <w:tc>
          <w:tcPr>
            <w:tcW w:w="37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3"/>
              </w:rPr>
              <w:t>For the nine months ended September 30,</w:t>
            </w:r>
          </w:p>
        </w:tc>
      </w:tr>
      <w:tr>
        <w:trPr>
          <w:trHeight w:val="27"/>
        </w:trPr>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ind w:left="380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(as a percentage of revenue)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100.0 %</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100.0 %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64.3</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23"/>
                <w:szCs w:val="23"/>
                <w:color w:val="auto"/>
              </w:rPr>
            </w:pPr>
          </w:p>
        </w:tc>
      </w:tr>
      <w:tr>
        <w:trPr>
          <w:trHeight w:val="27"/>
        </w:trPr>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20"/>
                <w:szCs w:val="20"/>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3"/>
                <w:szCs w:val="23"/>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3"/>
                <w:szCs w:val="23"/>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3"/>
                <w:szCs w:val="23"/>
                <w:color w:val="auto"/>
              </w:rPr>
            </w:pPr>
          </w:p>
        </w:tc>
      </w:tr>
      <w:tr>
        <w:trPr>
          <w:trHeight w:val="27"/>
        </w:trPr>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47.6</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Interest and other income (expense), net</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3"/>
                <w:szCs w:val="23"/>
                <w:color w:val="auto"/>
              </w:rPr>
            </w:pPr>
          </w:p>
        </w:tc>
      </w:tr>
      <w:tr>
        <w:trPr>
          <w:trHeight w:val="27"/>
        </w:trPr>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Income tax provision</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63"/>
        </w:trPr>
        <w:tc>
          <w:tcPr>
            <w:tcW w:w="4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 %</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(2.4) %</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(12.4)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3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231F20"/>
        </w:rPr>
        <w:t>* Amounts may not sum due to rounding.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19"/>
          </w:tcPr>
          <w:p>
            <w:pPr>
              <w:spacing w:after="0"/>
              <w:rPr>
                <w:sz w:val="20"/>
                <w:szCs w:val="20"/>
                <w:color w:val="auto"/>
              </w:rPr>
            </w:pPr>
            <w:r>
              <w:rPr>
                <w:rFonts w:ascii="Arial" w:cs="Arial" w:eastAsia="Arial" w:hAnsi="Arial"/>
                <w:sz w:val="18"/>
                <w:szCs w:val="18"/>
                <w:b w:val="1"/>
                <w:bCs w:val="1"/>
                <w:color w:val="auto"/>
                <w:w w:val="99"/>
              </w:rPr>
              <w:t>Comparison of the Three and Nine Months Ended September 30, 2021 and 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24"/>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0" w:type="dxa"/>
            <w:vAlign w:val="bottom"/>
            <w:gridSpan w:val="16"/>
          </w:tcPr>
          <w:p>
            <w:pPr>
              <w:jc w:val="right"/>
              <w:ind w:right="660"/>
              <w:spacing w:after="0"/>
              <w:rPr>
                <w:sz w:val="20"/>
                <w:szCs w:val="20"/>
                <w:color w:val="auto"/>
              </w:rPr>
            </w:pPr>
            <w:r>
              <w:rPr>
                <w:rFonts w:ascii="Arial" w:cs="Arial" w:eastAsia="Arial" w:hAnsi="Arial"/>
                <w:sz w:val="18"/>
                <w:szCs w:val="18"/>
                <w:b w:val="1"/>
                <w:bCs w:val="1"/>
                <w:color w:val="auto"/>
                <w:w w:val="96"/>
              </w:rPr>
              <w:t>For the three months ended September 30,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100" w:type="dxa"/>
            <w:vAlign w:val="bottom"/>
            <w:gridSpan w:val="17"/>
          </w:tcPr>
          <w:p>
            <w:pPr>
              <w:jc w:val="right"/>
              <w:ind w:right="660"/>
              <w:spacing w:after="0"/>
              <w:rPr>
                <w:sz w:val="20"/>
                <w:szCs w:val="20"/>
                <w:color w:val="auto"/>
              </w:rPr>
            </w:pPr>
            <w:r>
              <w:rPr>
                <w:rFonts w:ascii="Arial" w:cs="Arial" w:eastAsia="Arial" w:hAnsi="Arial"/>
                <w:sz w:val="18"/>
                <w:szCs w:val="18"/>
                <w:b w:val="1"/>
                <w:bCs w:val="1"/>
                <w:color w:val="auto"/>
                <w:w w:val="95"/>
              </w:rPr>
              <w:t>For the nine months ended September 30,</w:t>
            </w:r>
          </w:p>
        </w:tc>
      </w:tr>
      <w:tr>
        <w:trPr>
          <w:trHeight w:val="27"/>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 change</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change</w:t>
            </w:r>
          </w:p>
        </w:tc>
        <w:tc>
          <w:tcPr>
            <w:tcW w:w="40" w:type="dxa"/>
            <w:vAlign w:val="bottom"/>
          </w:tcPr>
          <w:p>
            <w:pPr>
              <w:spacing w:after="0"/>
              <w:rPr>
                <w:sz w:val="20"/>
                <w:szCs w:val="20"/>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 change</w:t>
            </w:r>
          </w:p>
        </w:tc>
      </w:tr>
      <w:tr>
        <w:trPr>
          <w:trHeight w:val="27"/>
        </w:trPr>
        <w:tc>
          <w:tcPr>
            <w:tcW w:w="254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3"/>
        </w:trPr>
        <w:tc>
          <w:tcPr>
            <w:tcW w:w="2420" w:type="dxa"/>
            <w:vAlign w:val="bottom"/>
            <w:gridSpan w:val="2"/>
          </w:tcPr>
          <w:p>
            <w:pPr>
              <w:ind w:left="20"/>
              <w:spacing w:after="0"/>
              <w:rPr>
                <w:sz w:val="20"/>
                <w:szCs w:val="20"/>
                <w:color w:val="auto"/>
              </w:rPr>
            </w:pPr>
            <w:r>
              <w:rPr>
                <w:rFonts w:ascii="Arial" w:cs="Arial" w:eastAsia="Arial" w:hAnsi="Arial"/>
                <w:sz w:val="18"/>
                <w:szCs w:val="18"/>
                <w:i w:val="1"/>
                <w:iCs w:val="1"/>
                <w:color w:val="auto"/>
                <w:w w:val="84"/>
              </w:rPr>
              <w:t>(In thousands, except percentages)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0"/>
        </w:trPr>
        <w:tc>
          <w:tcPr>
            <w:tcW w:w="2240" w:type="dxa"/>
            <w:vAlign w:val="bottom"/>
          </w:tcPr>
          <w:p>
            <w:pPr>
              <w:ind w:left="20"/>
              <w:spacing w:after="0"/>
              <w:rPr>
                <w:sz w:val="20"/>
                <w:szCs w:val="20"/>
                <w:color w:val="auto"/>
              </w:rPr>
            </w:pPr>
            <w:r>
              <w:rPr>
                <w:rFonts w:ascii="Arial" w:cs="Arial" w:eastAsia="Arial" w:hAnsi="Arial"/>
                <w:sz w:val="18"/>
                <w:szCs w:val="18"/>
                <w:color w:val="auto"/>
              </w:rPr>
              <w:t>By Product Category</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2240" w:type="dxa"/>
            <w:vAlign w:val="bottom"/>
          </w:tcPr>
          <w:p>
            <w:pPr>
              <w:ind w:left="140"/>
              <w:spacing w:after="0"/>
              <w:rPr>
                <w:sz w:val="20"/>
                <w:szCs w:val="20"/>
                <w:color w:val="auto"/>
              </w:rPr>
            </w:pPr>
            <w:r>
              <w:rPr>
                <w:rFonts w:ascii="Arial" w:cs="Arial" w:eastAsia="Arial" w:hAnsi="Arial"/>
                <w:sz w:val="18"/>
                <w:szCs w:val="18"/>
                <w:color w:val="auto"/>
              </w:rPr>
              <w:t>Diapers and Wipes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53,847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8"/>
              </w:rPr>
              <w:t>46,283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7,564</w:t>
            </w:r>
          </w:p>
        </w:tc>
        <w:tc>
          <w:tcPr>
            <w:tcW w:w="100" w:type="dxa"/>
            <w:vAlign w:val="bottom"/>
          </w:tcPr>
          <w:p>
            <w:pPr>
              <w:spacing w:after="0"/>
              <w:rPr>
                <w:sz w:val="23"/>
                <w:szCs w:val="23"/>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16.3 %</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151,251</w:t>
            </w:r>
          </w:p>
        </w:tc>
        <w:tc>
          <w:tcPr>
            <w:tcW w:w="40" w:type="dxa"/>
            <w:vAlign w:val="bottom"/>
          </w:tcPr>
          <w:p>
            <w:pPr>
              <w:spacing w:after="0"/>
              <w:rPr>
                <w:sz w:val="23"/>
                <w:szCs w:val="23"/>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145,510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5,741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3.9 %</w:t>
            </w:r>
          </w:p>
        </w:tc>
      </w:tr>
      <w:tr>
        <w:trPr>
          <w:trHeight w:val="270"/>
        </w:trPr>
        <w:tc>
          <w:tcPr>
            <w:tcW w:w="2240" w:type="dxa"/>
            <w:vAlign w:val="bottom"/>
          </w:tcPr>
          <w:p>
            <w:pPr>
              <w:ind w:left="140"/>
              <w:spacing w:after="0"/>
              <w:rPr>
                <w:sz w:val="20"/>
                <w:szCs w:val="20"/>
                <w:color w:val="auto"/>
              </w:rPr>
            </w:pPr>
            <w:r>
              <w:rPr>
                <w:rFonts w:ascii="Arial" w:cs="Arial" w:eastAsia="Arial" w:hAnsi="Arial"/>
                <w:sz w:val="18"/>
                <w:szCs w:val="18"/>
                <w:color w:val="auto"/>
              </w:rPr>
              <w:t>Skin and Personal Care</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25,375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8"/>
              </w:rPr>
              <w:t>19,779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5,596</w:t>
            </w: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75,486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16,667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2240" w:type="dxa"/>
            <w:vAlign w:val="bottom"/>
          </w:tcPr>
          <w:p>
            <w:pPr>
              <w:ind w:left="140"/>
              <w:spacing w:after="0"/>
              <w:rPr>
                <w:sz w:val="20"/>
                <w:szCs w:val="20"/>
                <w:color w:val="auto"/>
              </w:rPr>
            </w:pPr>
            <w:r>
              <w:rPr>
                <w:rFonts w:ascii="Arial" w:cs="Arial" w:eastAsia="Arial" w:hAnsi="Arial"/>
                <w:sz w:val="18"/>
                <w:szCs w:val="18"/>
                <w:color w:val="auto"/>
              </w:rPr>
              <w:t>Household and Wellness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3,429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8"/>
              </w:rPr>
              <w:t>11,866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(8,437)</w:t>
            </w: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11,521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(6,804)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22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82,651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8"/>
              </w:rPr>
              <w:t>77,928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4,723</w:t>
            </w:r>
          </w:p>
        </w:tc>
        <w:tc>
          <w:tcPr>
            <w:tcW w:w="10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6.1 %</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238,258</w:t>
            </w:r>
          </w:p>
        </w:tc>
        <w:tc>
          <w:tcPr>
            <w:tcW w:w="40" w:type="dxa"/>
            <w:vAlign w:val="bottom"/>
          </w:tcPr>
          <w:p>
            <w:pPr>
              <w:spacing w:after="0"/>
              <w:rPr>
                <w:sz w:val="22"/>
                <w:szCs w:val="2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222,654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7.0 %</w:t>
            </w: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88"/>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16"/>
          </w:tcPr>
          <w:p>
            <w:pPr>
              <w:jc w:val="right"/>
              <w:ind w:right="780"/>
              <w:spacing w:after="0"/>
              <w:rPr>
                <w:sz w:val="20"/>
                <w:szCs w:val="20"/>
                <w:color w:val="auto"/>
              </w:rPr>
            </w:pPr>
            <w:r>
              <w:rPr>
                <w:rFonts w:ascii="Arial" w:cs="Arial" w:eastAsia="Arial" w:hAnsi="Arial"/>
                <w:sz w:val="18"/>
                <w:szCs w:val="18"/>
                <w:b w:val="1"/>
                <w:bCs w:val="1"/>
                <w:color w:val="auto"/>
                <w:w w:val="92"/>
              </w:rPr>
              <w:t>For the three months ended September 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gridSpan w:val="17"/>
          </w:tcPr>
          <w:p>
            <w:pPr>
              <w:jc w:val="right"/>
              <w:ind w:right="660"/>
              <w:spacing w:after="0"/>
              <w:rPr>
                <w:sz w:val="20"/>
                <w:szCs w:val="20"/>
                <w:color w:val="auto"/>
              </w:rPr>
            </w:pPr>
            <w:r>
              <w:rPr>
                <w:rFonts w:ascii="Arial" w:cs="Arial" w:eastAsia="Arial" w:hAnsi="Arial"/>
                <w:sz w:val="18"/>
                <w:szCs w:val="18"/>
                <w:b w:val="1"/>
                <w:bCs w:val="1"/>
                <w:color w:val="auto"/>
                <w:w w:val="95"/>
              </w:rPr>
              <w:t>For the nine months ended September 30,</w:t>
            </w:r>
          </w:p>
        </w:tc>
      </w:tr>
      <w:tr>
        <w:trPr>
          <w:trHeight w:val="27"/>
        </w:trPr>
        <w:tc>
          <w:tcPr>
            <w:tcW w:w="2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 change</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0"/>
              </w:rPr>
              <w:t>% change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4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24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2540" w:type="dxa"/>
            <w:vAlign w:val="bottom"/>
            <w:gridSpan w:val="3"/>
          </w:tcPr>
          <w:p>
            <w:pPr>
              <w:ind w:left="20"/>
              <w:spacing w:after="0"/>
              <w:rPr>
                <w:sz w:val="20"/>
                <w:szCs w:val="20"/>
                <w:color w:val="auto"/>
              </w:rPr>
            </w:pPr>
            <w:r>
              <w:rPr>
                <w:rFonts w:ascii="Arial" w:cs="Arial" w:eastAsia="Arial" w:hAnsi="Arial"/>
                <w:sz w:val="18"/>
                <w:szCs w:val="18"/>
                <w:i w:val="1"/>
                <w:iCs w:val="1"/>
                <w:color w:val="auto"/>
                <w:w w:val="88"/>
              </w:rPr>
              <w:t>(In thousands, except percentages)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9"/>
        </w:trPr>
        <w:tc>
          <w:tcPr>
            <w:tcW w:w="2240" w:type="dxa"/>
            <w:vAlign w:val="bottom"/>
          </w:tcPr>
          <w:p>
            <w:pPr>
              <w:ind w:left="20"/>
              <w:spacing w:after="0"/>
              <w:rPr>
                <w:sz w:val="20"/>
                <w:szCs w:val="20"/>
                <w:color w:val="auto"/>
              </w:rPr>
            </w:pPr>
            <w:r>
              <w:rPr>
                <w:rFonts w:ascii="Arial" w:cs="Arial" w:eastAsia="Arial" w:hAnsi="Arial"/>
                <w:sz w:val="18"/>
                <w:szCs w:val="18"/>
                <w:color w:val="auto"/>
              </w:rPr>
              <w:t>By Channel</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2240" w:type="dxa"/>
            <w:vAlign w:val="bottom"/>
          </w:tcPr>
          <w:p>
            <w:pPr>
              <w:ind w:left="140"/>
              <w:spacing w:after="0"/>
              <w:rPr>
                <w:sz w:val="20"/>
                <w:szCs w:val="20"/>
                <w:color w:val="auto"/>
              </w:rPr>
            </w:pPr>
            <w:r>
              <w:rPr>
                <w:rFonts w:ascii="Arial" w:cs="Arial" w:eastAsia="Arial" w:hAnsi="Arial"/>
                <w:sz w:val="18"/>
                <w:szCs w:val="18"/>
                <w:color w:val="auto"/>
              </w:rPr>
              <w:t>Digital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39,114</w:t>
            </w:r>
          </w:p>
        </w:tc>
        <w:tc>
          <w:tcPr>
            <w:tcW w:w="80" w:type="dxa"/>
            <w:vAlign w:val="bottom"/>
          </w:tcPr>
          <w:p>
            <w:pPr>
              <w:spacing w:after="0"/>
              <w:rPr>
                <w:sz w:val="23"/>
                <w:szCs w:val="2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w w:val="98"/>
              </w:rPr>
              <w:t>43,952</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(4,838)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(11.0) %</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116,395</w:t>
            </w:r>
          </w:p>
        </w:tc>
        <w:tc>
          <w:tcPr>
            <w:tcW w:w="40" w:type="dxa"/>
            <w:vAlign w:val="bottom"/>
          </w:tcPr>
          <w:p>
            <w:pPr>
              <w:spacing w:after="0"/>
              <w:rPr>
                <w:sz w:val="23"/>
                <w:szCs w:val="23"/>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131,513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(15,118)</w:t>
            </w:r>
          </w:p>
        </w:tc>
        <w:tc>
          <w:tcPr>
            <w:tcW w:w="6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(11.5) %</w:t>
            </w:r>
          </w:p>
        </w:tc>
      </w:tr>
      <w:tr>
        <w:trPr>
          <w:trHeight w:val="270"/>
        </w:trPr>
        <w:tc>
          <w:tcPr>
            <w:tcW w:w="2240" w:type="dxa"/>
            <w:vAlign w:val="bottom"/>
          </w:tcPr>
          <w:p>
            <w:pPr>
              <w:ind w:left="14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43,537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w w:val="98"/>
              </w:rPr>
              <w:t>33,976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88"/>
              </w:rPr>
              <w:t>9,561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121,863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91,141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30,722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3"/>
                <w:szCs w:val="23"/>
                <w:color w:val="auto"/>
              </w:rPr>
            </w:pPr>
          </w:p>
        </w:tc>
      </w:tr>
      <w:tr>
        <w:trPr>
          <w:trHeight w:val="27"/>
        </w:trPr>
        <w:tc>
          <w:tcPr>
            <w:tcW w:w="2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gridSpan w:val="2"/>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64"/>
        </w:trPr>
        <w:tc>
          <w:tcPr>
            <w:tcW w:w="22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82,651</w:t>
            </w:r>
          </w:p>
        </w:tc>
        <w:tc>
          <w:tcPr>
            <w:tcW w:w="8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w w:val="98"/>
              </w:rPr>
              <w:t>77,928</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88"/>
              </w:rPr>
              <w:t>4,723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6.1 %</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238,258</w:t>
            </w:r>
          </w:p>
        </w:tc>
        <w:tc>
          <w:tcPr>
            <w:tcW w:w="40" w:type="dxa"/>
            <w:vAlign w:val="bottom"/>
          </w:tcPr>
          <w:p>
            <w:pPr>
              <w:spacing w:after="0"/>
              <w:rPr>
                <w:sz w:val="22"/>
                <w:szCs w:val="22"/>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222,654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15,604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7.0 %</w:t>
            </w:r>
          </w:p>
        </w:tc>
      </w:tr>
      <w:tr>
        <w:trPr>
          <w:trHeight w:val="20"/>
        </w:trPr>
        <w:tc>
          <w:tcPr>
            <w:tcW w:w="2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Revenue was $82.7 million for the three months ended September 30, 2021, as compared to $77.9 million for the three months ended September 30, 2020. The increase of $4.7 million, or 6.1%, was primarily due to a $7.6 million increase in revenue from Diapers and Wipes and a $5.6 million increase in revenue from Skin and Personal Care products, offset by a $8.4 million decrease in revenue from Household and Wellness products. The revenue increase in Diapers and Wipes was primarily driven by the increase in sales volume of our diaper business with our new Clean Conscious Diaper product offering, as well as the sale of wipes, especially in the Retail channel. The revenue increase in Skin and Personal Care was primarily driven by increased sales volume in our products across the Retail channel as a result of continued investment in marketing innovation, our Content, Community, Commerce marketing strategy and incremental distribution with our retail partners. The Household and Wellness revenue decrease was primarily driven by a decrease in overall consumer demand for sanitization and disinfecting products during</w:t>
      </w:r>
    </w:p>
    <w:p>
      <w:pPr>
        <w:sectPr>
          <w:pgSz w:w="11900" w:h="16838" w:orient="portrait"/>
          <w:cols w:equalWidth="0" w:num="1">
            <w:col w:w="11180"/>
          </w:cols>
          <w:pgMar w:left="320" w:top="98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type w:val="continuous"/>
        </w:sectPr>
      </w:pPr>
    </w:p>
    <w:bookmarkStart w:id="27" w:name="page28"/>
    <w:bookmarkEnd w:id="27"/>
    <w:p>
      <w:pPr>
        <w:ind w:right="140"/>
        <w:spacing w:after="0" w:line="235" w:lineRule="auto"/>
        <w:rPr>
          <w:sz w:val="20"/>
          <w:szCs w:val="20"/>
          <w:color w:val="auto"/>
        </w:rPr>
      </w:pPr>
      <w:r>
        <w:rPr>
          <w:rFonts w:ascii="Arial" w:cs="Arial" w:eastAsia="Arial" w:hAnsi="Arial"/>
          <w:sz w:val="18"/>
          <w:szCs w:val="18"/>
          <w:color w:val="auto"/>
        </w:rPr>
        <w:t>the three months ended September 30, 2021, as compared to increased consumption levels during the three months ended September 30, 2020. The high level of demand in the three months ended September 30, 2020 was driven by the introduction of new disinfecting and sanitizing products in August 2020 during peak COVID demand.</w:t>
      </w:r>
    </w:p>
    <w:p>
      <w:pPr>
        <w:spacing w:after="0" w:line="202"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Revenue was $238.3 million for the nine months ended September 30, 2021, as compared to $222.7 million for the nine months ended September 30, 2020. The increase of $15.6 million, or 7.0%, was primarily due to a $16.7 million increase in revenue from Skin and Personal Care products and a $5.7 million increase in revenue from Diapers and Wipes, offset by a $6.8 million decrease in revenue from Household and Wellness products. The revenue increase from Skin and Personal Care was primarily driven by increased sales volume on our products across the Retail channel as a result of continued investment in marketing innovation, our Content, Community, Commerce marketing strategy, expanded distribution and merchandising programs with our retail partners and improved retail unit volume, including $4.5 million through the non-monetary sale of our legacy beauty inventory in exchange for future marketing and transportation credits. The revenue increase in Diapers and Wipes was primarily driven by the increase in sales volume of our diaper business with our new Clean Conscious Diaper product offering, especially in the Retail channel. The revenue decrease in Household and Wellness was primarily due to a decrease in overall consumer demand for sanitization and disinfecting products as more consumers became vaccinated against COVID-19 during the nine months ended September 30, 2021.</w:t>
      </w:r>
    </w:p>
    <w:p>
      <w:pPr>
        <w:spacing w:after="0" w:line="203"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Revenue growth increased in our Retail channel for the three and nine months ended September 30, 2021, compared to the three and nine months ended September 30, 2020, primarily due to the continued channel shift to Retail as sales across products saw higher volumes with our retail partners as more consumers became vaccinated against COVID-19 and returned to in-store shopping. In addition to this shift, we also saw continued retail distribution expansion, additional merchandising programs and overall increases in retail unit volume with our retail partners. The reduction in revenue in our Digital channel was primarily due to the Retail channel shift, lower traffic to our Digital platforms including Honest.com, in the nine months ended September 30, 2021, and a reduction in inventory on-hand by a key digital partner who reduced inventory in consumables in the second quarter of 2021 to free up space for other products ahead of a major promotional event.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gridSpan w:val="9"/>
          </w:tcPr>
          <w:p>
            <w:pPr>
              <w:ind w:left="340"/>
              <w:spacing w:after="0"/>
              <w:rPr>
                <w:sz w:val="20"/>
                <w:szCs w:val="20"/>
                <w:color w:val="auto"/>
              </w:rPr>
            </w:pPr>
            <w:r>
              <w:rPr>
                <w:rFonts w:ascii="Arial" w:cs="Arial" w:eastAsia="Arial" w:hAnsi="Arial"/>
                <w:sz w:val="18"/>
                <w:szCs w:val="18"/>
                <w:b w:val="1"/>
                <w:bCs w:val="1"/>
                <w:color w:val="auto"/>
                <w:w w:val="89"/>
              </w:rPr>
              <w:t>For the three months ended September 30,</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0" w:type="dxa"/>
            <w:vAlign w:val="bottom"/>
            <w:gridSpan w:val="10"/>
          </w:tcPr>
          <w:p>
            <w:pPr>
              <w:jc w:val="right"/>
              <w:ind w:right="700"/>
              <w:spacing w:after="0"/>
              <w:rPr>
                <w:sz w:val="20"/>
                <w:szCs w:val="20"/>
                <w:color w:val="auto"/>
              </w:rPr>
            </w:pPr>
            <w:r>
              <w:rPr>
                <w:rFonts w:ascii="Arial" w:cs="Arial" w:eastAsia="Arial" w:hAnsi="Arial"/>
                <w:sz w:val="18"/>
                <w:szCs w:val="18"/>
                <w:b w:val="1"/>
                <w:bCs w:val="1"/>
                <w:color w:val="auto"/>
                <w:w w:val="96"/>
              </w:rPr>
              <w:t>For the nine months ended September 30,</w:t>
            </w:r>
          </w:p>
        </w:tc>
      </w:tr>
      <w:tr>
        <w:trPr>
          <w:trHeight w:val="27"/>
        </w:trPr>
        <w:tc>
          <w:tcPr>
            <w:tcW w:w="1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8"/>
        </w:trPr>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 change</w:t>
            </w:r>
          </w:p>
        </w:tc>
        <w:tc>
          <w:tcPr>
            <w:tcW w:w="9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change</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change</w:t>
            </w:r>
          </w:p>
        </w:tc>
      </w:tr>
      <w:tr>
        <w:trPr>
          <w:trHeight w:val="27"/>
        </w:trPr>
        <w:tc>
          <w:tcPr>
            <w:tcW w:w="30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1700" w:type="dxa"/>
            <w:vAlign w:val="bottom"/>
          </w:tcPr>
          <w:p>
            <w:pPr>
              <w:spacing w:after="0"/>
              <w:rPr>
                <w:sz w:val="20"/>
                <w:szCs w:val="20"/>
                <w:color w:val="auto"/>
              </w:rPr>
            </w:pPr>
            <w:r>
              <w:rPr>
                <w:rFonts w:ascii="Arial" w:cs="Arial" w:eastAsia="Arial" w:hAnsi="Arial"/>
                <w:sz w:val="18"/>
                <w:szCs w:val="18"/>
                <w:i w:val="1"/>
                <w:iCs w:val="1"/>
                <w:color w:val="auto"/>
                <w:w w:val="97"/>
              </w:rPr>
              <w:t>(In thousands, except</w:t>
            </w: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percentages)</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69"/>
        </w:trPr>
        <w:tc>
          <w:tcPr>
            <w:tcW w:w="170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52,892</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48,519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153,177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140,953</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12,224</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8.7 %</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29,759</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85,081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81,701</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4.1 %</w:t>
            </w:r>
          </w:p>
        </w:tc>
      </w:tr>
    </w:tbl>
    <w:p>
      <w:pPr>
        <w:spacing w:after="0" w:line="35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Cost of revenue was $52.9 million for the three months ended September 30, 2021, as compared to $48.5 million for the three months ended September 30, 2020. The increase of $4.4 million, or 9.0%, was primarily due to increased product and fulfillment costs associated with increased sales volume, offset by a decrease in shipping expenses associated with the shift in revenue from our Digital channel to our Retail channel. Cost of revenue as a percentage of revenue increased by 173 basis points primarily due to higher input costs, especially in transportation, freight and warehouse labor costs, along with a more normalized level of trade spend as compared to the three months ended September 30, 2020.</w:t>
      </w:r>
    </w:p>
    <w:p>
      <w:pPr>
        <w:spacing w:after="0" w:line="20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Gross profit was $29.8 million for the three months ended September 30, 2021, as compared to $29.4 million for the three months ended September 30, 2020. The increase of $0.4 million, or 1.2%, was primarily due to the increased sales of our Diapers and Wipes and Skin and Personal Care products.</w:t>
      </w:r>
    </w:p>
    <w:p>
      <w:pPr>
        <w:spacing w:after="0" w:line="197" w:lineRule="exact"/>
        <w:rPr>
          <w:sz w:val="20"/>
          <w:szCs w:val="20"/>
          <w:color w:val="auto"/>
        </w:rPr>
      </w:pPr>
    </w:p>
    <w:p>
      <w:pPr>
        <w:ind w:right="200" w:firstLine="648"/>
        <w:spacing w:after="0" w:line="227" w:lineRule="auto"/>
        <w:rPr>
          <w:sz w:val="20"/>
          <w:szCs w:val="20"/>
          <w:color w:val="auto"/>
        </w:rPr>
      </w:pPr>
      <w:r>
        <w:rPr>
          <w:rFonts w:ascii="Arial" w:cs="Arial" w:eastAsia="Arial" w:hAnsi="Arial"/>
          <w:sz w:val="18"/>
          <w:szCs w:val="18"/>
          <w:color w:val="auto"/>
        </w:rPr>
        <w:t>Cost of revenue was $153.2 million for the nine months ended September 30, 2021, as compared to $141.0 million for the nine months ended September 30, 2020. The increase of $12.2 million, or 8.7%, was primarily due to increased product costs and fulfillment expenses associated with the increased sales of our products, as well as $3.8 million cost of revenue from the non-monetary sale of our legacy beauty inventory in exchange for future marketing and transportation credits. Cost of revenue as a percentage of revenue increased by 98 basis points primarily due to a more normalized level of trade spend and higher input costs, especially in transportation, freight and warehouse labor costs as compared to the nine months ended September 30, 2020.</w:t>
      </w:r>
    </w:p>
    <w:p>
      <w:pPr>
        <w:spacing w:after="0" w:line="21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Gross profit was $85.1 million for the nine months ended September 30, 2021, as compared to $81.7 million for the nine months ended September 30, 2020. The increase of $3.4 million, or 4.1%, was primarily due to the increased sales of our Skin and Personal Care and Diapers and Wipes products.</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80" w:type="dxa"/>
            <w:vAlign w:val="bottom"/>
            <w:gridSpan w:val="7"/>
          </w:tcPr>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86"/>
        </w:trPr>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gridSpan w:val="11"/>
          </w:tcPr>
          <w:p>
            <w:pPr>
              <w:ind w:left="140"/>
              <w:spacing w:after="0"/>
              <w:rPr>
                <w:sz w:val="20"/>
                <w:szCs w:val="20"/>
                <w:color w:val="auto"/>
              </w:rPr>
            </w:pPr>
            <w:r>
              <w:rPr>
                <w:rFonts w:ascii="Arial" w:cs="Arial" w:eastAsia="Arial" w:hAnsi="Arial"/>
                <w:sz w:val="18"/>
                <w:szCs w:val="18"/>
                <w:b w:val="1"/>
                <w:bCs w:val="1"/>
                <w:color w:val="auto"/>
              </w:rPr>
              <w:t>For the three months ended September 30,</w:t>
            </w:r>
          </w:p>
        </w:tc>
        <w:tc>
          <w:tcPr>
            <w:tcW w:w="4140" w:type="dxa"/>
            <w:vAlign w:val="bottom"/>
            <w:gridSpan w:val="10"/>
          </w:tcPr>
          <w:p>
            <w:pPr>
              <w:jc w:val="right"/>
              <w:ind w:right="660"/>
              <w:spacing w:after="0"/>
              <w:rPr>
                <w:sz w:val="20"/>
                <w:szCs w:val="20"/>
                <w:color w:val="auto"/>
              </w:rPr>
            </w:pPr>
            <w:r>
              <w:rPr>
                <w:rFonts w:ascii="Arial" w:cs="Arial" w:eastAsia="Arial" w:hAnsi="Arial"/>
                <w:sz w:val="18"/>
                <w:szCs w:val="18"/>
                <w:b w:val="1"/>
                <w:bCs w:val="1"/>
                <w:color w:val="auto"/>
                <w:w w:val="96"/>
              </w:rPr>
              <w:t>For the nine months ended September 30,</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 change</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w w:val="88"/>
              </w:rPr>
              <w:t>(In thousands, except percentages)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5"/>
        </w:trPr>
        <w:tc>
          <w:tcPr>
            <w:tcW w:w="2220" w:type="dxa"/>
            <w:vAlign w:val="bottom"/>
          </w:tcPr>
          <w:p>
            <w:pPr>
              <w:spacing w:after="0"/>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administrative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98"/>
              </w:rPr>
              <w:t>18,568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14.6 %  $</w:t>
            </w:r>
          </w:p>
        </w:tc>
        <w:tc>
          <w:tcPr>
            <w:tcW w:w="780" w:type="dxa"/>
            <w:vAlign w:val="bottom"/>
          </w:tcPr>
          <w:p>
            <w:pPr>
              <w:jc w:val="right"/>
              <w:spacing w:after="0"/>
              <w:rPr>
                <w:sz w:val="20"/>
                <w:szCs w:val="20"/>
                <w:color w:val="auto"/>
              </w:rPr>
            </w:pPr>
            <w:r>
              <w:rPr>
                <w:rFonts w:ascii="Arial" w:cs="Arial" w:eastAsia="Arial" w:hAnsi="Arial"/>
                <w:sz w:val="18"/>
                <w:szCs w:val="18"/>
                <w:color w:val="auto"/>
              </w:rPr>
              <w:t>65,356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45,848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19,508</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42.5 %</w:t>
            </w:r>
          </w:p>
        </w:tc>
      </w:tr>
    </w:tbl>
    <w:p>
      <w:pPr>
        <w:spacing w:after="0" w:line="35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Selling, general and administrative expenses were $18.6 million for the three months ended September 30, 2021 as compared to $16.2 million for the three months ended September 30, 2020. The increase of $2.4 million, or 14.6%, was primarily due to an increase of $2.8 million in stock-based compensation expense.</w:t>
      </w:r>
    </w:p>
    <w:p>
      <w:pPr>
        <w:spacing w:after="0" w:line="197"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Selling, general and administrative expenses were $65.4 million for the nine months ended September 30, 2021 as compared to $45.8 million for the nine months ended September 30, 2020. The increase of $19.5 million, or 42.5%, was primarily due to increased costs associated with both preparing to be and operating as a public company. These incremental expenses included a $9.1 million bonus payment to certain employees, including members of management, excluding in each case payroll taxes and expenses, as well as an increase of $6.6 million in stock-based compensation expense, $1.8 million in audit fees and $1.2 million in legal expenses compared to the nine months ended September 30, 2020.</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60" w:type="dxa"/>
            <w:vAlign w:val="bottom"/>
            <w:gridSpan w:val="2"/>
          </w:tcPr>
          <w:p>
            <w:pPr>
              <w:ind w:left="640"/>
              <w:spacing w:after="0"/>
              <w:rPr>
                <w:sz w:val="20"/>
                <w:szCs w:val="20"/>
                <w:color w:val="auto"/>
              </w:rPr>
            </w:pPr>
            <w:r>
              <w:rPr>
                <w:rFonts w:ascii="Arial" w:cs="Arial" w:eastAsia="Arial" w:hAnsi="Arial"/>
                <w:sz w:val="18"/>
                <w:szCs w:val="18"/>
                <w:b w:val="1"/>
                <w:bCs w:val="1"/>
                <w:i w:val="1"/>
                <w:iCs w:val="1"/>
                <w:color w:val="auto"/>
                <w:w w:val="91"/>
              </w:rPr>
              <w:t>Marketing Expenses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gridSpan w:val="11"/>
          </w:tcPr>
          <w:p>
            <w:pPr>
              <w:ind w:left="240"/>
              <w:spacing w:after="0"/>
              <w:rPr>
                <w:sz w:val="20"/>
                <w:szCs w:val="20"/>
                <w:color w:val="auto"/>
              </w:rPr>
            </w:pPr>
            <w:r>
              <w:rPr>
                <w:rFonts w:ascii="Arial" w:cs="Arial" w:eastAsia="Arial" w:hAnsi="Arial"/>
                <w:sz w:val="18"/>
                <w:szCs w:val="18"/>
                <w:b w:val="1"/>
                <w:bCs w:val="1"/>
                <w:color w:val="auto"/>
              </w:rPr>
              <w:t>For the three months ended September 30,</w:t>
            </w:r>
          </w:p>
        </w:tc>
        <w:tc>
          <w:tcPr>
            <w:tcW w:w="4120" w:type="dxa"/>
            <w:vAlign w:val="bottom"/>
            <w:gridSpan w:val="10"/>
          </w:tcPr>
          <w:p>
            <w:pPr>
              <w:jc w:val="right"/>
              <w:ind w:right="640"/>
              <w:spacing w:after="0"/>
              <w:rPr>
                <w:sz w:val="20"/>
                <w:szCs w:val="20"/>
                <w:color w:val="auto"/>
              </w:rPr>
            </w:pPr>
            <w:r>
              <w:rPr>
                <w:rFonts w:ascii="Arial" w:cs="Arial" w:eastAsia="Arial" w:hAnsi="Arial"/>
                <w:sz w:val="18"/>
                <w:szCs w:val="18"/>
                <w:b w:val="1"/>
                <w:bCs w:val="1"/>
                <w:color w:val="auto"/>
                <w:w w:val="96"/>
              </w:rPr>
              <w:t>For the nine months ended September 30,</w:t>
            </w:r>
          </w:p>
        </w:tc>
      </w:tr>
      <w:tr>
        <w:trPr>
          <w:trHeight w:val="27"/>
        </w:trPr>
        <w:tc>
          <w:tcPr>
            <w:tcW w:w="2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6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 change</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0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percentages)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9"/>
        </w:trPr>
        <w:tc>
          <w:tcPr>
            <w:tcW w:w="2040" w:type="dxa"/>
            <w:vAlign w:val="bottom"/>
          </w:tcPr>
          <w:p>
            <w:pPr>
              <w:spacing w:after="0"/>
              <w:rPr>
                <w:sz w:val="20"/>
                <w:szCs w:val="20"/>
                <w:color w:val="auto"/>
              </w:rPr>
            </w:pPr>
            <w:r>
              <w:rPr>
                <w:rFonts w:ascii="Arial" w:cs="Arial" w:eastAsia="Arial" w:hAnsi="Arial"/>
                <w:sz w:val="18"/>
                <w:szCs w:val="18"/>
                <w:color w:val="auto"/>
              </w:rPr>
              <w:t>Marketing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220"/>
              <w:spacing w:after="0"/>
              <w:rPr>
                <w:sz w:val="20"/>
                <w:szCs w:val="20"/>
                <w:color w:val="auto"/>
              </w:rPr>
            </w:pPr>
            <w:r>
              <w:rPr>
                <w:rFonts w:ascii="Arial" w:cs="Arial" w:eastAsia="Arial" w:hAnsi="Arial"/>
                <w:sz w:val="18"/>
                <w:szCs w:val="18"/>
                <w:color w:val="auto"/>
                <w:w w:val="98"/>
              </w:rPr>
              <w:t>13,687</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13,516</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1.3 %   $</w:t>
            </w:r>
          </w:p>
        </w:tc>
        <w:tc>
          <w:tcPr>
            <w:tcW w:w="780" w:type="dxa"/>
            <w:vAlign w:val="bottom"/>
          </w:tcPr>
          <w:p>
            <w:pPr>
              <w:jc w:val="right"/>
              <w:spacing w:after="0"/>
              <w:rPr>
                <w:sz w:val="20"/>
                <w:szCs w:val="20"/>
                <w:color w:val="auto"/>
              </w:rPr>
            </w:pPr>
            <w:r>
              <w:rPr>
                <w:rFonts w:ascii="Arial" w:cs="Arial" w:eastAsia="Arial" w:hAnsi="Arial"/>
                <w:sz w:val="18"/>
                <w:szCs w:val="18"/>
                <w:color w:val="auto"/>
              </w:rPr>
              <w:t>41,868</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33,334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25.6 %</w:t>
            </w:r>
          </w:p>
        </w:tc>
      </w:tr>
    </w:tbl>
    <w:p>
      <w:pPr>
        <w:spacing w:after="0" w:line="35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Marketing expenses were $13.7 million for the three months ended September 30, 2021, as compared to $13.5 million for the three months ended September 30, 2020.</w:t>
      </w:r>
    </w:p>
    <w:p>
      <w:pPr>
        <w:spacing w:after="0" w:line="184"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Marketing expenses were $41.9 million for the nine months ended September 30, 2021, as compared to $33.3 million for the nine months ended September 30, 2020. The increase of $8.5 million, or 25.6%, was primarily due to an increase of $3.7 million in retail marketing expenses, $2.7 million in digital advertising expenses and $0.8 million in video and photo production costs. The increase in retail marketing expense was driven in part by the launch of our Clean Conscious Diaper in January 2021, as well as by marketing for a key digital partner’s promotional event. The increase in digital advertising expenses drove our Content, Community, Commerce marketing strategy within Skin and Personal Care and Diapers and Wipes. The increase in video and production costs were primarily related to our new innovations and other promotional events launched in the first nine months of 2021, including our new Clean Conscious Diaper product offering and our new sustainable package initiative and new line of skin care products, which we refer to as our "Beauty Restage".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11"/>
          </w:tcPr>
          <w:p>
            <w:pPr>
              <w:jc w:val="right"/>
              <w:ind w:right="980"/>
              <w:spacing w:after="0"/>
              <w:rPr>
                <w:sz w:val="20"/>
                <w:szCs w:val="20"/>
                <w:color w:val="auto"/>
              </w:rPr>
            </w:pPr>
            <w:r>
              <w:rPr>
                <w:rFonts w:ascii="Arial" w:cs="Arial" w:eastAsia="Arial" w:hAnsi="Arial"/>
                <w:sz w:val="18"/>
                <w:szCs w:val="18"/>
                <w:b w:val="1"/>
                <w:bCs w:val="1"/>
                <w:color w:val="auto"/>
                <w:w w:val="92"/>
              </w:rPr>
              <w:t>For the three months ended September 30,</w:t>
            </w:r>
          </w:p>
        </w:tc>
        <w:tc>
          <w:tcPr>
            <w:tcW w:w="4080" w:type="dxa"/>
            <w:vAlign w:val="bottom"/>
            <w:gridSpan w:val="10"/>
          </w:tcPr>
          <w:p>
            <w:pPr>
              <w:jc w:val="right"/>
              <w:ind w:right="620"/>
              <w:spacing w:after="0"/>
              <w:rPr>
                <w:sz w:val="20"/>
                <w:szCs w:val="20"/>
                <w:color w:val="auto"/>
              </w:rPr>
            </w:pPr>
            <w:r>
              <w:rPr>
                <w:rFonts w:ascii="Arial" w:cs="Arial" w:eastAsia="Arial" w:hAnsi="Arial"/>
                <w:sz w:val="18"/>
                <w:szCs w:val="18"/>
                <w:b w:val="1"/>
                <w:bCs w:val="1"/>
                <w:color w:val="auto"/>
                <w:w w:val="95"/>
              </w:rPr>
              <w:t>For the nine months ended September 30,</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w w:val="89"/>
              </w:rPr>
              <w:t>(In thousands, except percentages)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9"/>
        </w:trPr>
        <w:tc>
          <w:tcPr>
            <w:tcW w:w="2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3"/>
                <w:szCs w:val="23"/>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46.8 %  $</w:t>
            </w:r>
          </w:p>
        </w:tc>
        <w:tc>
          <w:tcPr>
            <w:tcW w:w="760" w:type="dxa"/>
            <w:vAlign w:val="bottom"/>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64.8 %</w:t>
            </w:r>
          </w:p>
        </w:tc>
      </w:tr>
    </w:tbl>
    <w:p>
      <w:pPr>
        <w:spacing w:after="0" w:line="323"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6"/>
          <w:szCs w:val="16"/>
          <w:color w:val="auto"/>
        </w:rPr>
        <w:t>Research and development expenses were $2.1 million for the three months ended September 30, 2021, as compared to $1.4 million for the three months ended September 30, 2020. The increase of $0.7 million, or 46.8%, was primarily due to an increase in employee expenses including stock-based compensation of $0.2 million, clinical and claims testing expenses of $0.2 million and research and innovation expenses of $0.1 million.</w:t>
      </w:r>
    </w:p>
    <w:p>
      <w:pPr>
        <w:sectPr>
          <w:pgSz w:w="11900" w:h="16838" w:orient="portrait"/>
          <w:cols w:equalWidth="0" w:num="1">
            <w:col w:w="11220"/>
          </w:cols>
          <w:pgMar w:left="320" w:top="12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type w:val="continuous"/>
        </w:sectPr>
      </w:pPr>
    </w:p>
    <w:bookmarkStart w:id="29" w:name="page30"/>
    <w:bookmarkEnd w:id="29"/>
    <w:p>
      <w:pPr>
        <w:ind w:right="220" w:firstLine="648"/>
        <w:spacing w:after="0" w:line="261" w:lineRule="auto"/>
        <w:rPr>
          <w:sz w:val="20"/>
          <w:szCs w:val="20"/>
          <w:color w:val="auto"/>
        </w:rPr>
      </w:pPr>
      <w:r>
        <w:rPr>
          <w:rFonts w:ascii="Arial" w:cs="Arial" w:eastAsia="Arial" w:hAnsi="Arial"/>
          <w:sz w:val="16"/>
          <w:szCs w:val="16"/>
          <w:color w:val="auto"/>
        </w:rPr>
        <w:t>Research and development expenses were $6.1 million for the nine months ended September 30, 2021, as compared to $3.7 million for the nine months ended September 30, 2020. The increase of $2.4 million, or 64.8%, was primarily due to an increase in product development expenses and employee expenses. The increase in product development expenses of $1.1 million included an increase of $0.6 million in clinical and claims testing expenses. The increase in employee expenses was driven by an increase of $0.6 million in stock-based compensation and $0.4 million bonus payment to certain employees, including management, excluding in each case payroll taxes and expenses, in connection with the IPO.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11"/>
          </w:tcPr>
          <w:p>
            <w:pPr>
              <w:jc w:val="right"/>
              <w:ind w:right="980"/>
              <w:spacing w:after="0"/>
              <w:rPr>
                <w:sz w:val="20"/>
                <w:szCs w:val="20"/>
                <w:color w:val="auto"/>
              </w:rPr>
            </w:pPr>
            <w:r>
              <w:rPr>
                <w:rFonts w:ascii="Arial" w:cs="Arial" w:eastAsia="Arial" w:hAnsi="Arial"/>
                <w:sz w:val="18"/>
                <w:szCs w:val="18"/>
                <w:b w:val="1"/>
                <w:bCs w:val="1"/>
                <w:color w:val="auto"/>
                <w:w w:val="91"/>
              </w:rPr>
              <w:t>For the three months ended September 30,</w:t>
            </w:r>
          </w:p>
        </w:tc>
        <w:tc>
          <w:tcPr>
            <w:tcW w:w="4180" w:type="dxa"/>
            <w:vAlign w:val="bottom"/>
            <w:gridSpan w:val="10"/>
          </w:tcPr>
          <w:p>
            <w:pPr>
              <w:jc w:val="right"/>
              <w:ind w:right="680"/>
              <w:spacing w:after="0"/>
              <w:rPr>
                <w:sz w:val="20"/>
                <w:szCs w:val="20"/>
                <w:color w:val="auto"/>
              </w:rPr>
            </w:pPr>
            <w:r>
              <w:rPr>
                <w:rFonts w:ascii="Arial" w:cs="Arial" w:eastAsia="Arial" w:hAnsi="Arial"/>
                <w:sz w:val="18"/>
                <w:szCs w:val="18"/>
                <w:b w:val="1"/>
                <w:bCs w:val="1"/>
                <w:color w:val="auto"/>
                <w:w w:val="96"/>
              </w:rPr>
              <w:t>For the nine months ended September 30,</w:t>
            </w:r>
          </w:p>
        </w:tc>
      </w:tr>
      <w:tr>
        <w:trPr>
          <w:trHeight w:val="27"/>
        </w:trPr>
        <w:tc>
          <w:tcPr>
            <w:tcW w:w="2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8"/>
        </w:trPr>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 change</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change</w:t>
            </w:r>
          </w:p>
        </w:tc>
      </w:tr>
      <w:tr>
        <w:trPr>
          <w:trHeight w:val="27"/>
        </w:trPr>
        <w:tc>
          <w:tcPr>
            <w:tcW w:w="2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w w:val="88"/>
              </w:rPr>
              <w:t>(In thousands, except percentages)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5"/>
        </w:trPr>
        <w:tc>
          <w:tcPr>
            <w:tcW w:w="22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128.7 %  $</w:t>
            </w:r>
          </w:p>
        </w:tc>
        <w:tc>
          <w:tcPr>
            <w:tcW w:w="80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141.5 %</w:t>
            </w:r>
          </w:p>
        </w:tc>
      </w:tr>
    </w:tbl>
    <w:p>
      <w:pPr>
        <w:spacing w:after="0" w:line="32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Interest and other income (expense), net was net expense of $0.5 million for the three months ended September 30, 2021, as compared to net expense of $0.2 million for the three months ended September 30, 2020.</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Interest and other income (expense), net was net expense of $1.4 million for the nine months ended September 30, 2021, as compared to net expense of $0.6 million for the nine months ended September 30, 2020. The increase of $0.8 million, or 141.5%, was primarily due to a decrease in interest income on our short-term investments due to a lower average investment balance and lower average interest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incurred net losses and net cash outflows from operating activities since our inception. To date, our available liquidity and operations have been financed primarily through the sale of redeemable convertible preferred stock, equity securities and to a lesser extent, debt financing. As of September 30, 2021, we had $27.7 million of cash and cash equivalents and $62.7 million of short-term investments. Although we are dependent on our ability to raise capital or generate sufficient cash flow from operations to achieve our business objectives, we believe our existing cash, cash equivalents, and short-term investments will be sufficient to meet our working capital and capital expenditure needs for at least the next twelve months.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Credit Facility</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2021, we entered into a first lien credit agreement (the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2021 Credit Facility is subject to customary fees for loan facilities of this type, including a commitment fee based on the average daily undrawn potion of the revolving credit facility. The interest rate applicable to the 2021 Credit Facility is, at our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w:t>
      </w:r>
    </w:p>
    <w:p>
      <w:pPr>
        <w:spacing w:after="0" w:line="21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2021 Credit Facility terminates and borrowings thereunder, if any, will be due on April 30, 2026. As of September 30, 2021, there was no outstanding balance under the 2021 Credit Facility. We are required to follow certain covenants. As of November 8, 2021, we were in compliance with all covenants under the 2021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Refer to Note 6 included in these condensed consolidated financial statements for more information on the 2021 Credit Facility.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86"/>
        </w:trPr>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1"/>
              </w:rPr>
              <w:t>For the nine months ended September 30,</w:t>
            </w:r>
          </w:p>
        </w:tc>
      </w:tr>
      <w:tr>
        <w:trPr>
          <w:trHeight w:val="27"/>
        </w:trPr>
        <w:tc>
          <w:tcPr>
            <w:tcW w:w="7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7"/>
        </w:trPr>
        <w:tc>
          <w:tcPr>
            <w:tcW w:w="7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830"/>
              <w:spacing w:after="0"/>
              <w:rPr>
                <w:sz w:val="20"/>
                <w:szCs w:val="20"/>
                <w:color w:val="auto"/>
              </w:rPr>
            </w:pPr>
            <w:r>
              <w:rPr>
                <w:rFonts w:ascii="Arial" w:cs="Arial" w:eastAsia="Arial" w:hAnsi="Arial"/>
                <w:sz w:val="18"/>
                <w:szCs w:val="18"/>
                <w:color w:val="auto"/>
                <w:w w:val="92"/>
              </w:rPr>
              <w:t>(36,359)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5,133</w:t>
            </w: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830"/>
              <w:spacing w:after="0"/>
              <w:rPr>
                <w:sz w:val="20"/>
                <w:szCs w:val="20"/>
                <w:color w:val="auto"/>
              </w:rPr>
            </w:pPr>
            <w:r>
              <w:rPr>
                <w:rFonts w:ascii="Arial" w:cs="Arial" w:eastAsia="Arial" w:hAnsi="Arial"/>
                <w:sz w:val="18"/>
                <w:szCs w:val="18"/>
                <w:color w:val="auto"/>
                <w:w w:val="92"/>
              </w:rPr>
              <w:t>(28,734)</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43,654</w:t>
            </w: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870"/>
              <w:spacing w:after="0"/>
              <w:rPr>
                <w:sz w:val="20"/>
                <w:szCs w:val="20"/>
                <w:color w:val="auto"/>
              </w:rPr>
            </w:pPr>
            <w:r>
              <w:rPr>
                <w:rFonts w:ascii="Arial" w:cs="Arial" w:eastAsia="Arial" w:hAnsi="Arial"/>
                <w:sz w:val="18"/>
                <w:szCs w:val="18"/>
                <w:color w:val="auto"/>
                <w:w w:val="90"/>
              </w:rPr>
              <w:t>55,559</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(720)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largest source of operating cash is from the sales of our products through Digital and Retail channels to our consumers.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Net cash used in operating activities of $36.4 million for the nine months ended September 30, 2021 was primarily due to net loss of $29.7 million, non-cash adjustments of $16.6 million and a net decrease in cash related to changes in operating assets and liabilities of $23.3 million. Non-cash adjustments primarily consisted of stock-based compensation of $13.2 million and depreciation and amortization of $3.1 million. Changes in cash flows related to operating assets and liabilities primarily consisted of a $8.9 million increase in accounts receivable due to higher revenue from retail customers, a $7.6 million increase in prepaid expenses and other assets due to timing of payments, as well as the non-monetary sale of our legacy beauty inventory for future marketing and transportation credits, a $1.2 million increase in inventory due to timing of inventory purchases and a $5.8 million use of cash due to the timing of payments associated with our accounts payable and operating leasing obligations.</w:t>
      </w:r>
    </w:p>
    <w:p>
      <w:pPr>
        <w:spacing w:after="0" w:line="20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Net cash provided by operating activities of $5.1 million for the nine months ended September 30, 2020 was primarily due to net loss of $1.8 million, non-cash adjustments of $9.8 million and a net decrease in cash related to changes in operating assets and liabilities of $2.9 million. Non-cash adjustments primarily consisted of stock-based compensation of $6.1 million and depreciation and amortization of $3.7 million. Changes in cash flows related to operating assets and liabilities primarily consisted of a $21.7 million increase in inventory due to the timing of inventory purchases. This use of cash was partially offset by a $17.7 million decrease in accounts payable and operating leasing obligations due to the timing of associated payments, $0.6 million decrease in prepaid expenses and other assets and a $0.6 million decrease in accounts receivable due to timing of cash collection from retail customers.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primary source of investing cash is the sale and maturity of short-term investments and our primary use of investing cash is the purchase of short-term investments and property and equipment.</w:t>
      </w:r>
    </w:p>
    <w:p>
      <w:pPr>
        <w:spacing w:after="0" w:line="19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Net cash used in investing activities of $28.7 million for the nine months ended September 30, 2021 was due to purchases of short-term investments of $65.3 million, offset by proceeds from the sales and maturities of short-term investments of $26.9 million and $9.9 million, respectively.</w:t>
      </w:r>
    </w:p>
    <w:p>
      <w:pPr>
        <w:spacing w:after="0" w:line="15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Net cash provided by investing activities of $43.7 million for the nine months ended September 30, 2020 was due to maturities and sales of short-term investments of $44.0 million and $5.8 million, respectively, net of purchases of short-term investments of $6.0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financing activities primarily consisted of payments of sales of securities, deferred offering cost, stock option award exercises and principal payments of financing lease obligations.</w:t>
      </w:r>
    </w:p>
    <w:p>
      <w:pPr>
        <w:sectPr>
          <w:pgSz w:w="11900" w:h="16838" w:orient="portrait"/>
          <w:cols w:equalWidth="0" w:num="1">
            <w:col w:w="11220"/>
          </w:cols>
          <w:pgMar w:left="320" w:top="10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31" w:name="page32"/>
    <w:bookmarkEnd w:id="31"/>
    <w:p>
      <w:pPr>
        <w:ind w:firstLine="648"/>
        <w:spacing w:after="0" w:line="263" w:lineRule="auto"/>
        <w:rPr>
          <w:sz w:val="20"/>
          <w:szCs w:val="20"/>
          <w:color w:val="auto"/>
        </w:rPr>
      </w:pPr>
      <w:r>
        <w:rPr>
          <w:rFonts w:ascii="Arial" w:cs="Arial" w:eastAsia="Arial" w:hAnsi="Arial"/>
          <w:sz w:val="18"/>
          <w:szCs w:val="18"/>
          <w:color w:val="auto"/>
        </w:rPr>
        <w:t>Net cash provided by financing activities of $55.6 million for the nine months ended September 30, 2021 primarily consisted of proceeds from our IPO of $96.5 million, net of underwriting discounts and commissions, offset by dividend payments of $35.0 million and payments of offering costs in connection with our IPO of $5.5 million.</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Net cash used in financing activities of $0.7 million for the nine months ended September 30, 2020 primarily consisted of principal payments of financing lease obligations of $0.7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prepare and present our condensed consolidated financial statements in accordance with GAAP. However, management believes that adjusted EBITDA, a non-GAAP financial measure, provides investors with additional useful information in evaluating our performance.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calculate adjusted EBITDA as net income (loss), adjusted to exclude: (1) interest and other (income) expense, net; (2) income tax provision;</w:t>
      </w:r>
    </w:p>
    <w:p>
      <w:pPr>
        <w:spacing w:after="0" w:line="46" w:lineRule="exact"/>
        <w:rPr>
          <w:sz w:val="20"/>
          <w:szCs w:val="20"/>
          <w:color w:val="auto"/>
        </w:rPr>
      </w:pPr>
    </w:p>
    <w:p>
      <w:pPr>
        <w:ind w:right="60"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(4) stock-based compensation expense; (5) professional fees and expenses and executive termination expenses related to our Innovation Strategy; (6) litigation and settlement fees associated with certain non-ordinary course litigation; and (7) the IPO Bonuses, including associated payroll taxes and expenses, and third-party costs associated with our IPO.</w:t>
      </w:r>
    </w:p>
    <w:p>
      <w:pPr>
        <w:spacing w:after="0" w:line="2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21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Bonuses,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and other results stated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2" w:name="page33"/>
    <w:bookmarkEnd w:id="32"/>
    <w:p>
      <w:pPr>
        <w:ind w:left="660"/>
        <w:spacing w:after="0"/>
        <w:rPr>
          <w:sz w:val="20"/>
          <w:szCs w:val="20"/>
          <w:color w:val="auto"/>
        </w:rPr>
      </w:pPr>
      <w:r>
        <w:rPr>
          <w:rFonts w:ascii="Arial" w:cs="Arial" w:eastAsia="Arial" w:hAnsi="Arial"/>
          <w:sz w:val="17"/>
          <w:szCs w:val="17"/>
          <w:color w:val="auto"/>
        </w:rPr>
        <w:t>The following table presents a reconciliation of net income (loss), the most directly comparable financial measure stated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to adjusted EBITDA, for each of the periods presented: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 September 30,</w:t>
            </w:r>
          </w:p>
        </w:tc>
        <w:tc>
          <w:tcPr>
            <w:tcW w:w="260" w:type="dxa"/>
            <w:vAlign w:val="bottom"/>
          </w:tcPr>
          <w:p>
            <w:pPr>
              <w:spacing w:after="0"/>
              <w:rPr>
                <w:sz w:val="20"/>
                <w:szCs w:val="20"/>
                <w:color w:val="auto"/>
              </w:rPr>
            </w:pPr>
          </w:p>
        </w:tc>
        <w:tc>
          <w:tcPr>
            <w:tcW w:w="37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760" w:type="dxa"/>
            <w:vAlign w:val="bottom"/>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w w:val="91"/>
              </w:rPr>
              <w:t>Reconciliation of Net Loss to Adjusted</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w w:val="89"/>
              </w:rPr>
              <w:t>Interest and other (income) expense, net</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310"/>
        </w:trPr>
        <w:tc>
          <w:tcPr>
            <w:tcW w:w="3040" w:type="dxa"/>
            <w:vAlign w:val="bottom"/>
          </w:tcPr>
          <w:p>
            <w:pPr>
              <w:ind w:left="120"/>
              <w:spacing w:after="0"/>
              <w:rPr>
                <w:sz w:val="20"/>
                <w:szCs w:val="20"/>
                <w:color w:val="auto"/>
              </w:rPr>
            </w:pPr>
            <w:r>
              <w:rPr>
                <w:rFonts w:ascii="Arial" w:cs="Arial" w:eastAsia="Arial" w:hAnsi="Arial"/>
                <w:sz w:val="18"/>
                <w:szCs w:val="18"/>
                <w:color w:val="auto"/>
              </w:rPr>
              <w:t>Innovation Strategy expenses</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1"/>
        </w:trPr>
        <w:tc>
          <w:tcPr>
            <w:tcW w:w="3040" w:type="dxa"/>
            <w:vAlign w:val="bottom"/>
          </w:tcPr>
          <w:p>
            <w:pPr>
              <w:ind w:left="120"/>
              <w:spacing w:after="0"/>
              <w:rPr>
                <w:sz w:val="20"/>
                <w:szCs w:val="20"/>
                <w:color w:val="auto"/>
              </w:rPr>
            </w:pPr>
            <w:r>
              <w:rPr>
                <w:rFonts w:ascii="Arial" w:cs="Arial" w:eastAsia="Arial" w:hAnsi="Arial"/>
                <w:sz w:val="18"/>
                <w:szCs w:val="18"/>
                <w:color w:val="auto"/>
                <w:w w:val="89"/>
              </w:rPr>
              <w:t>Related IPO costs and other transaction-</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040" w:type="dxa"/>
            <w:vAlign w:val="bottom"/>
          </w:tcPr>
          <w:p>
            <w:pPr>
              <w:ind w:left="120"/>
              <w:spacing w:after="0" w:line="263" w:lineRule="exact"/>
              <w:rPr>
                <w:sz w:val="20"/>
                <w:szCs w:val="20"/>
                <w:color w:val="auto"/>
              </w:rPr>
            </w:pPr>
            <w:r>
              <w:rPr>
                <w:rFonts w:ascii="Arial" w:cs="Arial" w:eastAsia="Arial" w:hAnsi="Arial"/>
                <w:sz w:val="18"/>
                <w:szCs w:val="18"/>
                <w:color w:val="auto"/>
              </w:rPr>
              <w:t>related expenses</w:t>
            </w:r>
            <w:r>
              <w:rPr>
                <w:rFonts w:ascii="Arial" w:cs="Arial" w:eastAsia="Arial" w:hAnsi="Arial"/>
                <w:sz w:val="23"/>
                <w:szCs w:val="23"/>
                <w:color w:val="auto"/>
                <w:vertAlign w:val="superscript"/>
              </w:rPr>
              <w:t>(2)</w:t>
            </w:r>
          </w:p>
        </w:tc>
        <w:tc>
          <w:tcPr>
            <w:tcW w:w="260" w:type="dxa"/>
            <w:vAlign w:val="bottom"/>
          </w:tcPr>
          <w:p>
            <w:pPr>
              <w:spacing w:after="0"/>
              <w:rPr>
                <w:sz w:val="22"/>
                <w:szCs w:val="22"/>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hanging="333"/>
        <w:spacing w:after="0"/>
        <w:tabs>
          <w:tab w:leader="none" w:pos="340" w:val="left"/>
        </w:tabs>
        <w:numPr>
          <w:ilvl w:val="0"/>
          <w:numId w:val="18"/>
        </w:numPr>
        <w:rPr>
          <w:rFonts w:ascii="Arial" w:cs="Arial" w:eastAsia="Arial" w:hAnsi="Arial"/>
          <w:sz w:val="9"/>
          <w:szCs w:val="9"/>
          <w:color w:val="auto"/>
        </w:rPr>
      </w:pPr>
      <w:r>
        <w:rPr>
          <w:rFonts w:ascii="Arial" w:cs="Arial" w:eastAsia="Arial" w:hAnsi="Arial"/>
          <w:sz w:val="12"/>
          <w:szCs w:val="12"/>
          <w:color w:val="auto"/>
        </w:rPr>
        <w:t>Includes professional fees and expenses and executive severance and termination expenses related to our Innovation Strategy.</w:t>
      </w:r>
    </w:p>
    <w:p>
      <w:pPr>
        <w:spacing w:after="0" w:line="24" w:lineRule="exact"/>
        <w:rPr>
          <w:rFonts w:ascii="Arial" w:cs="Arial" w:eastAsia="Arial" w:hAnsi="Arial"/>
          <w:sz w:val="9"/>
          <w:szCs w:val="9"/>
          <w:color w:val="auto"/>
        </w:rPr>
      </w:pPr>
    </w:p>
    <w:p>
      <w:pPr>
        <w:ind w:left="240" w:hanging="233"/>
        <w:spacing w:after="0"/>
        <w:tabs>
          <w:tab w:leader="none" w:pos="240" w:val="left"/>
        </w:tabs>
        <w:numPr>
          <w:ilvl w:val="0"/>
          <w:numId w:val="18"/>
        </w:numPr>
        <w:rPr>
          <w:rFonts w:ascii="Arial" w:cs="Arial" w:eastAsia="Arial" w:hAnsi="Arial"/>
          <w:sz w:val="9"/>
          <w:szCs w:val="9"/>
          <w:color w:val="auto"/>
        </w:rPr>
      </w:pPr>
      <w:r>
        <w:rPr>
          <w:rFonts w:ascii="Arial" w:cs="Arial" w:eastAsia="Arial" w:hAnsi="Arial"/>
          <w:sz w:val="12"/>
          <w:szCs w:val="12"/>
          <w:color w:val="auto"/>
        </w:rPr>
        <w:t>Includes IPO-related costs, including IPO Bonuses, and other transaction-related third-party expenses, which are generally incremental costs incurred associated with the preparation of the IPO.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from those described in the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6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6"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the Prospectus and the notes to the audited consolidated financial statements appearing in the Prospectus. During the three and nine months ended September 30, 2021, there were no material changes to our critical accounting policies from those discussed in our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6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Refer to Note 2 to our condensed consolidated financial statements included in this Quarterly Report on Form 10-Q for a discussion of recently issued accounting pronouncements not yet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6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had cash and cash equivalents of $27.7 million as of September 30, 2021, which consisted of bank accounts, money market funds, certificates of deposit and corporate bonds. We had short-term investments of $62.7 million as of September 30, 2021, which consisted of commercial paper, certificates of deposit, corporate bonds and U.S. government and agency securities.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condensed consolidated financial statements.</w:t>
      </w:r>
    </w:p>
    <w:p>
      <w:pPr>
        <w:spacing w:after="0" w:line="22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also subject to interest rate risk in connection with our 2021 Credit Facility. See the section titled “—Liquidity and Capital Resources— 2021 Credit Facility” above. Based on the average interest rate on the instruments under the 2021 Credit Facility during the three and nine months ended September 30, 2021, and to the extent that borrowings were outstanding, we do not believe that a hypothetical 10% change in the interest rate would have a material effect on our results of operations or financial condition for the three and nine months ended September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Our reporting currency is the U.S. dollar. Gains or losses due to transactions in foreign currencies are reflected in the condensed consolidated statements of comprehensive loss under the line item interest and other income (expense), net. We have not engaged in the hedging of foreign currency transactions to date, although we may choose to do so in the future. We do not believe that an immediate 10% increase or decrease in the relative value of the U.S. dollar to other currencies would have a material effect on our condensed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right="80" w:firstLine="648"/>
        <w:spacing w:after="0" w:line="235" w:lineRule="auto"/>
        <w:rPr>
          <w:sz w:val="20"/>
          <w:szCs w:val="20"/>
          <w:color w:val="auto"/>
        </w:rPr>
      </w:pPr>
      <w:r>
        <w:rPr>
          <w:rFonts w:ascii="Arial" w:cs="Arial" w:eastAsia="Arial" w:hAnsi="Arial"/>
          <w:sz w:val="18"/>
          <w:szCs w:val="18"/>
          <w:color w:val="auto"/>
        </w:rPr>
        <w:t>We have experienced an increase in commodity prices, labor costs, input costs and transportation costs that we expect to continue at least through the fourth quarter of 2021. If we are unable to offset these changing costs through price increases or cost reductions, our inability or failure to do so could harm our business, results of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Chief Executive Officer and Chief Financial Officer, evaluated, as of the period ended September 30, 2021,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Company's third quarter of 2021 that has materially affected, or is reasonably likely to materially affect the Company's internal control over financial reporting.</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information contained under the heading “Litigation” in Note 8 to our condensed consolidated financial statements included in this Quarterly Report on Form 10-Q is incorporated by reference into this Item.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RISK FACTOR SUMMARY</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Our business is subject to numerous risks. The following summary highlights some of the risks you should consider with respect to our business and prospects. Our business involves significant risks. You should carefully consider the risks and uncertainties described in our Prospectus, together with all of the other information in this Quarterly Report on Form 10-Q, as well as our audited consolidated financial statements and related notes as disclosed in our Prospectus. The risks and uncertainties described in our Prospectus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9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incurred net losses each year since our inception and we may not be able to achieve or maintain profitability in the future.</w:t>
      </w:r>
    </w:p>
    <w:p>
      <w:pPr>
        <w:ind w:left="66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significant growth may not be indicative of our future growth and, if we continue to grow rapidly, we may not be able to effectively manage our growth or evaluate our future prospects. If we fail to effectively manage our future growth or evaluate our future prospects, our business could be adversely affected.</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operating results may fluctuate, which could cause our stock price to decline.</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compete successfully in our highly competitive market.</w:t>
      </w:r>
    </w:p>
    <w:p>
      <w:pPr>
        <w:ind w:left="660" w:right="38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ind w:left="660" w:right="10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of retail partners or the loss of a significant retail or third-party ecommerce partner could negatively impact our sales and ability to achieve or maintain profitability.</w:t>
      </w:r>
    </w:p>
    <w:p>
      <w:pPr>
        <w:ind w:left="660" w:right="4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expend resources to maintain consumer awareness of our brand, build brand loyalty and generate interest in our products. Our marketing strategies and channels will evolve and our efforts may or may not be successful.</w:t>
      </w:r>
    </w:p>
    <w:p>
      <w:pPr>
        <w:ind w:left="660" w:right="22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ind w:left="660" w:right="20" w:hanging="328"/>
        <w:spacing w:after="0" w:line="24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maintain our competitive position is largely dependent on the services of our senior management and other key personnel, including our founder, Chief Creative Officer and former Chair of our board of directors, Jessica Alba and our Chief Executive Officer, Nick Vlahos.</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disruption in our operations could have an adverse effect on our business.</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COVID-19 pandemic could have an adverse effect on our business, financial condition, results of operations and prospects.</w:t>
      </w:r>
    </w:p>
    <w:p>
      <w:pPr>
        <w:ind w:left="660" w:right="2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including our costs and supply chain, is subject to risks associated with sourcing, manufacturing, warehousing and logistics, and the loss of any of our key suppliers or logistical service providers could negatively impact our business.</w:t>
      </w:r>
    </w:p>
    <w:p>
      <w:pPr>
        <w:ind w:left="660" w:right="6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ind w:left="660" w:right="480" w:hanging="328"/>
        <w:spacing w:after="0" w:line="24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trade disputes and the U.S. government’s trade policy could adversely affect our business.</w:t>
      </w:r>
    </w:p>
    <w:p>
      <w:pPr>
        <w:ind w:left="660" w:right="60" w:hanging="328"/>
        <w:spacing w:after="0" w:line="23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may be adversely affected if we are unable to provide our consumers with a technology platform that is able to respond and adapt to rapid changes in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20"/>
          <w:szCs w:val="20"/>
          <w:b w:val="1"/>
          <w:bCs w:val="1"/>
          <w:color w:val="auto"/>
        </w:rPr>
        <w:t>RISK FACTORS</w:t>
      </w:r>
    </w:p>
    <w:p>
      <w:pPr>
        <w:spacing w:after="0" w:line="25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i w:val="1"/>
          <w:iCs w:val="1"/>
          <w:color w:val="auto"/>
        </w:rPr>
        <w:t xml:space="preserve">Other than the risk factors set forth below, there have been no material changes to the risk factors set forth in the section titled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included in our prospectus, dated May 4, 2021, filed with the Securities and Exchange Commission (“SEC”) in accordance with Rule 424(b) of the Securities Act on May 6, 2021 (the “Prospectus”) in connection with our initial public offering (“IPO”).</w:t>
      </w:r>
    </w:p>
    <w:p>
      <w:pPr>
        <w:spacing w:after="0" w:line="197" w:lineRule="exact"/>
        <w:rPr>
          <w:sz w:val="20"/>
          <w:szCs w:val="20"/>
          <w:color w:val="auto"/>
        </w:rPr>
      </w:pPr>
    </w:p>
    <w:p>
      <w:pPr>
        <w:ind w:right="640"/>
        <w:spacing w:after="0" w:line="307" w:lineRule="auto"/>
        <w:rPr>
          <w:sz w:val="20"/>
          <w:szCs w:val="20"/>
          <w:color w:val="auto"/>
        </w:rPr>
      </w:pPr>
      <w:r>
        <w:rPr>
          <w:rFonts w:ascii="Arial" w:cs="Arial" w:eastAsia="Arial" w:hAnsi="Arial"/>
          <w:sz w:val="16"/>
          <w:szCs w:val="16"/>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50" w:lineRule="exact"/>
        <w:rPr>
          <w:sz w:val="20"/>
          <w:szCs w:val="20"/>
          <w:color w:val="auto"/>
        </w:rPr>
      </w:pPr>
    </w:p>
    <w:p>
      <w:pPr>
        <w:ind w:right="160" w:firstLine="648"/>
        <w:spacing w:after="0" w:line="225" w:lineRule="auto"/>
        <w:rPr>
          <w:sz w:val="20"/>
          <w:szCs w:val="20"/>
          <w:color w:val="auto"/>
        </w:rPr>
      </w:pPr>
      <w:r>
        <w:rPr>
          <w:rFonts w:ascii="Arial" w:cs="Arial" w:eastAsia="Arial" w:hAnsi="Arial"/>
          <w:sz w:val="18"/>
          <w:szCs w:val="18"/>
          <w:color w:val="auto"/>
        </w:rPr>
        <w:t>All of the products we offer are manufactured by a limited number of third-party manufacturers, and as a result we may be subject to price fluctuations or demand disruptions. Our operating results would be negatively impacted by increases in the costs of our products, and we have no guarantees that costs will not rise. In addition, as we expand into new categories and product types, we expect that we may not have strong purchasing power in these new areas, which could lead to higher costs than we have historically seen in our current categories. We may not be able to pass increased costs on to consumers,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208"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In addition, 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reputation could be harmed if customers or consumers and potential consumers believe that our products do not meet their expectations, are not properly labeled or are damaged.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w:t>
      </w:r>
    </w:p>
    <w:p>
      <w:pPr>
        <w:spacing w:after="0" w:line="19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We generally do not maintain long-term supply contracts with any of our suppliers and any of our suppliers could discontinue selling to us at any time. However, we have a long-term supply agreement with Valor Brands LLC (dba Ontex North America), or Ontex, for the manufacture and supply of certain diaper products. The current term of the supply agreement with Ontex ends on December 31, 2023. In addition, our agreement with Ontex provides that Ontex will be our exclusive supplier of diaper and training pant products so long as Ontex is able to provide us such products. Either party may terminate the agreement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as a result of the COVID-19 pandemic or otherwise,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w:t>
      </w:r>
    </w:p>
    <w:p>
      <w:pPr>
        <w:spacing w:after="0" w:line="209"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as a result of the COVID-19 pandemic or otherwise, or if any environmental, economic or other outside factors impact their operations.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19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color w:val="auto"/>
        </w:rPr>
        <w:t>Our principal suppliers currently provide us with certain incentives such as volume purchasing, trade discounts, cooperative advertising and market development funds. A reduction or discontinuance of these incentives would increase our costs and could reduce our ability to achieve or maintain profitability. Similarly, if one or more of our suppliers were to offer these incentives, including preferential pricing, to our competitors, our competitive advantage would be reduced, which could have an adverse effect on our business, financial condition, results of operations and prospects.</w:t>
      </w:r>
    </w:p>
    <w:p>
      <w:pPr>
        <w:spacing w:after="0" w:line="183" w:lineRule="exact"/>
        <w:rPr>
          <w:sz w:val="20"/>
          <w:szCs w:val="20"/>
          <w:color w:val="auto"/>
        </w:rPr>
      </w:pPr>
    </w:p>
    <w:p>
      <w:pPr>
        <w:jc w:val="both"/>
        <w:ind w:right="600" w:firstLine="648"/>
        <w:spacing w:after="0" w:line="235" w:lineRule="auto"/>
        <w:rPr>
          <w:sz w:val="20"/>
          <w:szCs w:val="20"/>
          <w:color w:val="auto"/>
        </w:rPr>
      </w:pPr>
      <w:r>
        <w:rPr>
          <w:rFonts w:ascii="Arial" w:cs="Arial" w:eastAsia="Arial" w:hAnsi="Arial"/>
          <w:sz w:val="18"/>
          <w:szCs w:val="18"/>
          <w:color w:val="auto"/>
        </w:rPr>
        <w:t>In addition, we have warehouse fulfillment centers located in Las Vegas, Nevada, Fontana, California, Breinigsville, Pennsylvania and the Netherlands, all of which are managed by a single distribution partner, GEODIS Logistics LLC, or GEODIS. We have an agreement with GEODIS pursuant to which GEODIS provides warehousing, distribution and fulfillment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7" w:name="page38"/>
    <w:bookmarkEnd w:id="37"/>
    <w:p>
      <w:pPr>
        <w:spacing w:after="0" w:line="261" w:lineRule="auto"/>
        <w:rPr>
          <w:sz w:val="20"/>
          <w:szCs w:val="20"/>
          <w:color w:val="auto"/>
        </w:rPr>
      </w:pPr>
      <w:r>
        <w:rPr>
          <w:rFonts w:ascii="Arial" w:cs="Arial" w:eastAsia="Arial" w:hAnsi="Arial"/>
          <w:sz w:val="16"/>
          <w:szCs w:val="16"/>
          <w:color w:val="auto"/>
        </w:rPr>
        <w:t>services to us. Our agreement with GEODIS may be terminated for any reason by us or by GEODIS on delivery of prior written notice, and is renewable on an annual basis. If the agreement with GEODIS is terminated, is not renewed, or if GEODIS becomes insolvent, ceases or significantly reduces its operations or experiences financial distress, as a result of the COVID-19 pandemic or otherwise,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w:t>
      </w:r>
    </w:p>
    <w:p>
      <w:pPr>
        <w:spacing w:after="0" w:line="18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We do not own or operate any manufacturing facilities. We use multiple third-party suppliers and manufacturers based primarily in the United States, China and Mexico and other countries to a lesser extent, to source and manufacture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and manufacture our products may be affected by competing orders placed by other companies and the demands of those companies.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192" w:lineRule="exact"/>
        <w:rPr>
          <w:sz w:val="20"/>
          <w:szCs w:val="20"/>
          <w:color w:val="auto"/>
        </w:rPr>
      </w:pPr>
    </w:p>
    <w:p>
      <w:pPr>
        <w:ind w:right="120" w:firstLine="648"/>
        <w:spacing w:after="0"/>
        <w:rPr>
          <w:sz w:val="20"/>
          <w:szCs w:val="20"/>
          <w:color w:val="auto"/>
        </w:rPr>
      </w:pPr>
      <w:r>
        <w:rPr>
          <w:rFonts w:ascii="Arial" w:cs="Arial" w:eastAsia="Arial" w:hAnsi="Arial"/>
          <w:sz w:val="17"/>
          <w:szCs w:val="17"/>
          <w:color w:val="auto"/>
        </w:rPr>
        <w:t>In addition, quality control problems, such as the use of materials and delivery of products that do not meet our quality control standards and specifications or comply with applicable laws or regulations, could harm our business.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 Quality control problems could result in regulatory action, such as restrictions on importation, products of inferior quality or product stock outages or shortages, harming our sales and creating inventory write-downs for unusable products.</w:t>
      </w:r>
    </w:p>
    <w:p>
      <w:pPr>
        <w:spacing w:after="0" w:line="204" w:lineRule="exact"/>
        <w:rPr>
          <w:sz w:val="20"/>
          <w:szCs w:val="20"/>
          <w:color w:val="auto"/>
        </w:rPr>
      </w:pPr>
    </w:p>
    <w:p>
      <w:pPr>
        <w:ind w:right="20" w:firstLine="648"/>
        <w:spacing w:after="0" w:line="239" w:lineRule="auto"/>
        <w:rPr>
          <w:sz w:val="20"/>
          <w:szCs w:val="20"/>
          <w:color w:val="auto"/>
        </w:rPr>
      </w:pPr>
      <w:r>
        <w:rPr>
          <w:rFonts w:ascii="Arial" w:cs="Arial" w:eastAsia="Arial" w:hAnsi="Arial"/>
          <w:sz w:val="17"/>
          <w:szCs w:val="17"/>
          <w:color w:val="auto"/>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partners, and upon expiration of these existing agreements, we may not be able to renegotiate the terms on a commercially reasonable basis, or at all.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our third-party manufacturers, suppliers and retail and ecommerce partners may:</w:t>
      </w:r>
    </w:p>
    <w:p>
      <w:pPr>
        <w:spacing w:after="0" w:line="2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inconsistent with ours;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actions contrary to our instructions, requests, policies or objectives;</w:t>
      </w:r>
    </w:p>
    <w:p>
      <w:pPr>
        <w:ind w:left="660" w:right="180" w:hanging="328"/>
        <w:spacing w:after="0" w:line="21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financial difficulties;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encounter raw material or labor shortages;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encounter increases in raw material or labor costs which may affect our procurement costs;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encounter difficulties with proper payment of custom duties or excise taxes;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 our confidential information or intellectual property to competitors or third parties;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activities or employ practices that may harm our reputation;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with, be acquired by, or come under control of, our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39" w:name="page40"/>
    <w:bookmarkEnd w:id="39"/>
    <w:p>
      <w:pPr>
        <w:ind w:left="73"/>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34290</wp:posOffset>
            </wp:positionV>
            <wp:extent cx="11315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61" w:lineRule="exact"/>
        <w:rPr>
          <w:sz w:val="20"/>
          <w:szCs w:val="20"/>
          <w:color w:val="auto"/>
        </w:rPr>
      </w:pPr>
    </w:p>
    <w:p>
      <w:pPr>
        <w:ind w:left="93"/>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3.1</w:t>
        </w:r>
      </w:hyperlink>
    </w:p>
    <w:p>
      <w:pPr>
        <w:spacing w:after="0" w:line="225" w:lineRule="exact"/>
        <w:rPr>
          <w:sz w:val="20"/>
          <w:szCs w:val="20"/>
          <w:color w:val="auto"/>
        </w:rPr>
      </w:pPr>
    </w:p>
    <w:p>
      <w:pPr>
        <w:ind w:left="93"/>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3.2</w:t>
        </w:r>
      </w:hyperlink>
    </w:p>
    <w:p>
      <w:pPr>
        <w:spacing w:after="0" w:line="225" w:lineRule="exact"/>
        <w:rPr>
          <w:sz w:val="20"/>
          <w:szCs w:val="20"/>
          <w:color w:val="auto"/>
        </w:rPr>
      </w:pPr>
    </w:p>
    <w:p>
      <w:pPr>
        <w:ind w:left="93"/>
        <w:spacing w:after="0"/>
        <w:rPr>
          <w:rFonts w:ascii="Arial" w:cs="Arial" w:eastAsia="Arial" w:hAnsi="Arial"/>
          <w:sz w:val="18"/>
          <w:szCs w:val="18"/>
          <w:color w:val="0000FF"/>
        </w:rPr>
      </w:pPr>
      <w:hyperlink r:id="rId53">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93"/>
        <w:spacing w:after="0"/>
        <w:rPr>
          <w:rFonts w:ascii="Arial" w:cs="Arial" w:eastAsia="Arial" w:hAnsi="Arial"/>
          <w:sz w:val="18"/>
          <w:szCs w:val="18"/>
          <w:color w:val="0000FF"/>
        </w:rPr>
      </w:pPr>
      <w:hyperlink w:anchor="page42">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EXHIBIT INDEX</w:t>
      </w:r>
    </w:p>
    <w:p>
      <w:pPr>
        <w:spacing w:after="0" w:line="306"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5597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47"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Amended and Restated Articles of Incorporation, as currently in effect (incorporated herein by reference to Exhibit 3.1 to the Company’s Current Report on Form 8-K (File No. 001-40378), filed with the SEC on May 11, 2021).</w:t>
      </w:r>
    </w:p>
    <w:p>
      <w:pPr>
        <w:ind w:right="380"/>
        <w:spacing w:after="0" w:line="246" w:lineRule="auto"/>
        <w:rPr>
          <w:sz w:val="20"/>
          <w:szCs w:val="20"/>
          <w:color w:val="auto"/>
        </w:rPr>
      </w:pPr>
      <w:r>
        <w:rPr>
          <w:rFonts w:ascii="Arial" w:cs="Arial" w:eastAsia="Arial" w:hAnsi="Arial"/>
          <w:sz w:val="18"/>
          <w:szCs w:val="18"/>
          <w:color w:val="auto"/>
        </w:rPr>
        <w:t>Amended and Restated Bylaws, as currently in effect (incorporated herein by reference to Exhibit 3.2 to the Company’s Current Report on Form 8-K (File No. 001-40378), filed with the SEC on May 11, 2021).</w:t>
      </w:r>
    </w:p>
    <w:p>
      <w:pPr>
        <w:spacing w:after="0" w:line="8" w:lineRule="exact"/>
        <w:rPr>
          <w:sz w:val="20"/>
          <w:szCs w:val="20"/>
          <w:color w:val="auto"/>
        </w:rPr>
      </w:pPr>
    </w:p>
    <w:p>
      <w:pPr>
        <w:jc w:val="both"/>
        <w:ind w:right="400"/>
        <w:spacing w:after="0" w:line="235" w:lineRule="auto"/>
        <w:rPr>
          <w:sz w:val="20"/>
          <w:szCs w:val="20"/>
          <w:color w:val="auto"/>
        </w:rPr>
      </w:pPr>
      <w:r>
        <w:rPr>
          <w:rFonts w:ascii="Arial" w:cs="Arial" w:eastAsia="Arial" w:hAnsi="Arial"/>
          <w:sz w:val="18"/>
          <w:szCs w:val="18"/>
          <w:color w:val="auto"/>
        </w:rPr>
        <w:t>Amendment Sixteen to the Logistics Services Agreement, dated as of July 12, 2021, by and between the Registrant and Geodis Logistics, LLC (incorporated herein by reference to Exhibit 10.16 to the Company’s Quarterly Report on Form 10-Q (File No. 001-40378), filed with the SEC on August 13, 2021.</w:t>
      </w:r>
    </w:p>
    <w:p>
      <w:pPr>
        <w:spacing w:after="0" w:line="2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Nominee and Indemnity Agreement, dated September 8, 2021, by and between the Company, Catterton Management Company, L.L.C. and Scott Dahnke</w:t>
      </w:r>
    </w:p>
    <w:p>
      <w:pPr>
        <w:spacing w:after="0" w:line="1" w:lineRule="exact"/>
        <w:rPr>
          <w:sz w:val="20"/>
          <w:szCs w:val="20"/>
          <w:color w:val="auto"/>
        </w:rPr>
      </w:pPr>
    </w:p>
    <w:p>
      <w:pPr>
        <w:sectPr>
          <w:pgSz w:w="11900" w:h="16838" w:orient="portrait"/>
          <w:cols w:equalWidth="0" w:num="2">
            <w:col w:w="1593" w:space="660"/>
            <w:col w:w="9000"/>
          </w:cols>
          <w:pgMar w:left="247" w:top="688" w:right="399" w:bottom="1440" w:gutter="0" w:footer="0" w:header="0"/>
        </w:sectPr>
      </w:pPr>
    </w:p>
    <w:tbl>
      <w:tblPr>
        <w:tblLayout w:type="fixed"/>
        <w:tblInd w:w="93" w:type="dxa"/>
        <w:tblCellMar>
          <w:top w:w="0" w:type="dxa"/>
          <w:left w:w="0" w:type="dxa"/>
          <w:bottom w:w="0" w:type="dxa"/>
          <w:right w:w="0" w:type="dxa"/>
        </w:tblCellMar>
      </w:tblPr>
      <w:tr>
        <w:trPr>
          <w:trHeight w:val="198"/>
        </w:trPr>
        <w:tc>
          <w:tcPr>
            <w:tcW w:w="1420" w:type="dxa"/>
            <w:vAlign w:val="bottom"/>
            <w:gridSpan w:val="2"/>
          </w:tcPr>
          <w:p>
            <w:pPr>
              <w:spacing w:after="0" w:line="198" w:lineRule="exact"/>
              <w:rPr>
                <w:rFonts w:ascii="Arial" w:cs="Arial" w:eastAsia="Arial" w:hAnsi="Arial"/>
                <w:sz w:val="18"/>
                <w:szCs w:val="18"/>
                <w:color w:val="0000FF"/>
              </w:rPr>
            </w:pPr>
            <w:hyperlink w:anchor="page4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r>
              <w:rPr>
                <w:rFonts w:ascii="Arial" w:cs="Arial" w:eastAsia="Arial" w:hAnsi="Arial"/>
                <w:sz w:val="18"/>
                <w:szCs w:val="18"/>
                <w:color w:val="000000"/>
              </w:rPr>
              <w:t>+</w:t>
            </w:r>
          </w:p>
        </w:tc>
        <w:tc>
          <w:tcPr>
            <w:tcW w:w="9480" w:type="dxa"/>
            <w:vAlign w:val="bottom"/>
          </w:tcPr>
          <w:p>
            <w:pPr>
              <w:ind w:left="740"/>
              <w:spacing w:after="0" w:line="198" w:lineRule="exact"/>
              <w:rPr>
                <w:sz w:val="20"/>
                <w:szCs w:val="20"/>
                <w:color w:val="auto"/>
              </w:rPr>
            </w:pPr>
            <w:r>
              <w:rPr>
                <w:rFonts w:ascii="Arial" w:cs="Arial" w:eastAsia="Arial" w:hAnsi="Arial"/>
                <w:sz w:val="18"/>
                <w:szCs w:val="18"/>
                <w:color w:val="auto"/>
                <w:w w:val="92"/>
              </w:rPr>
              <w:t>Nominee and Indemnity Agreement, dated September 8, 2021, by and between the Company, Catterton Management</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Company, L.L.C. and Avik Pramanik</w:t>
            </w:r>
          </w:p>
        </w:tc>
      </w:tr>
      <w:tr>
        <w:trPr>
          <w:trHeight w:val="229"/>
        </w:trPr>
        <w:tc>
          <w:tcPr>
            <w:tcW w:w="1420" w:type="dxa"/>
            <w:vAlign w:val="bottom"/>
            <w:gridSpan w:val="2"/>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10.</w:t>
              </w:r>
              <w:r>
                <w:rPr>
                  <w:rFonts w:ascii="Arial" w:cs="Arial" w:eastAsia="Arial" w:hAnsi="Arial"/>
                  <w:sz w:val="18"/>
                  <w:szCs w:val="18"/>
                  <w:u w:val="single" w:color="auto"/>
                  <w:color w:val="0000FF"/>
                </w:rPr>
                <w:t>4</w:t>
              </w:r>
            </w:hyperlink>
            <w:r>
              <w:rPr>
                <w:rFonts w:ascii="Arial" w:cs="Arial" w:eastAsia="Arial" w:hAnsi="Arial"/>
                <w:sz w:val="18"/>
                <w:szCs w:val="18"/>
                <w:color w:val="000000"/>
              </w:rPr>
              <w:t>+</w:t>
            </w:r>
          </w:p>
        </w:tc>
        <w:tc>
          <w:tcPr>
            <w:tcW w:w="9480" w:type="dxa"/>
            <w:vAlign w:val="bottom"/>
          </w:tcPr>
          <w:p>
            <w:pPr>
              <w:ind w:left="740"/>
              <w:spacing w:after="0"/>
              <w:rPr>
                <w:sz w:val="20"/>
                <w:szCs w:val="20"/>
                <w:color w:val="auto"/>
              </w:rPr>
            </w:pPr>
            <w:r>
              <w:rPr>
                <w:rFonts w:ascii="Arial" w:cs="Arial" w:eastAsia="Arial" w:hAnsi="Arial"/>
                <w:sz w:val="18"/>
                <w:szCs w:val="18"/>
                <w:color w:val="auto"/>
              </w:rPr>
              <w:t>Employment Agreement, dated August 30, 2021, by and between the Company and Peter Gerstberger.</w:t>
            </w:r>
          </w:p>
        </w:tc>
      </w:tr>
      <w:tr>
        <w:trPr>
          <w:trHeight w:val="250"/>
        </w:trPr>
        <w:tc>
          <w:tcPr>
            <w:tcW w:w="320" w:type="dxa"/>
            <w:vAlign w:val="bottom"/>
            <w:tcBorders>
              <w:top w:val="single" w:sz="8" w:color="0000FF"/>
              <w:bottom w:val="single" w:sz="8" w:color="0000FF"/>
            </w:tcBorders>
          </w:tcPr>
          <w:p>
            <w:pPr>
              <w:spacing w:after="0"/>
              <w:rPr>
                <w:rFonts w:ascii="Arial" w:cs="Arial" w:eastAsia="Arial" w:hAnsi="Arial"/>
                <w:sz w:val="18"/>
                <w:szCs w:val="18"/>
                <w:color w:val="0000FF"/>
                <w:w w:val="85"/>
              </w:rPr>
            </w:pPr>
            <w:hyperlink w:anchor="page6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100" w:type="dxa"/>
            <w:vAlign w:val="bottom"/>
          </w:tcPr>
          <w:p>
            <w:pPr>
              <w:spacing w:after="0"/>
              <w:rPr>
                <w:sz w:val="21"/>
                <w:szCs w:val="21"/>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6"/>
              </w:rPr>
              <w:t>Certification of Principal Executive Officer pursuant to Rule 13a-14(a) and Rule 15d-14(a), as adopted pursuant to</w:t>
            </w: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Section 302 of the Sarbanes-Oxley Act of 2002</w:t>
            </w:r>
          </w:p>
        </w:tc>
      </w:tr>
      <w:tr>
        <w:trPr>
          <w:trHeight w:val="229"/>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6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1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7"/>
              </w:rPr>
              <w:t>Certification of Principal Financial Officer pursuant to Rule 13a-14(a) and Rule 15d-14(a), as adopted pursuant to</w:t>
            </w: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Section 302 of the Sarbanes-Oxley Act of 2002</w:t>
            </w:r>
          </w:p>
        </w:tc>
      </w:tr>
      <w:tr>
        <w:trPr>
          <w:trHeight w:val="230"/>
        </w:trPr>
        <w:tc>
          <w:tcPr>
            <w:tcW w:w="1420" w:type="dxa"/>
            <w:vAlign w:val="bottom"/>
            <w:gridSpan w:val="2"/>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32.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9480" w:type="dxa"/>
            <w:vAlign w:val="bottom"/>
          </w:tcPr>
          <w:p>
            <w:pPr>
              <w:ind w:left="740"/>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the Sarbanes-Oxley Act of 2002</w:t>
            </w:r>
          </w:p>
        </w:tc>
      </w:tr>
      <w:tr>
        <w:trPr>
          <w:trHeight w:val="499"/>
        </w:trPr>
        <w:tc>
          <w:tcPr>
            <w:tcW w:w="1420" w:type="dxa"/>
            <w:vAlign w:val="bottom"/>
            <w:gridSpan w:val="2"/>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32.</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9480" w:type="dxa"/>
            <w:vAlign w:val="bottom"/>
          </w:tcPr>
          <w:p>
            <w:pPr>
              <w:ind w:left="740"/>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Sarbanes-Oxley Act of 2002</w:t>
            </w:r>
          </w:p>
        </w:tc>
      </w:tr>
      <w:tr>
        <w:trPr>
          <w:trHeight w:val="256"/>
        </w:trPr>
        <w:tc>
          <w:tcPr>
            <w:tcW w:w="14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80" w:type="dxa"/>
            <w:vAlign w:val="bottom"/>
          </w:tcPr>
          <w:p>
            <w:pPr>
              <w:ind w:left="740"/>
              <w:spacing w:after="0"/>
              <w:rPr>
                <w:sz w:val="20"/>
                <w:szCs w:val="20"/>
                <w:color w:val="auto"/>
              </w:rPr>
            </w:pPr>
            <w:r>
              <w:rPr>
                <w:rFonts w:ascii="Arial" w:cs="Arial" w:eastAsia="Arial" w:hAnsi="Arial"/>
                <w:sz w:val="18"/>
                <w:szCs w:val="18"/>
                <w:color w:val="auto"/>
              </w:rPr>
              <w:t>XBRL Instance Document</w:t>
            </w: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6"/>
        </w:trPr>
        <w:tc>
          <w:tcPr>
            <w:tcW w:w="14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100" w:type="dxa"/>
            <w:vAlign w:val="bottom"/>
          </w:tcPr>
          <w:p>
            <w:pPr>
              <w:spacing w:after="0"/>
              <w:rPr>
                <w:sz w:val="23"/>
                <w:szCs w:val="23"/>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316865</wp:posOffset>
            </wp:positionV>
            <wp:extent cx="1748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3"/>
        <w:spacing w:after="0"/>
        <w:rPr>
          <w:sz w:val="20"/>
          <w:szCs w:val="20"/>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jc w:val="both"/>
        <w:ind w:left="153" w:right="20" w:hanging="161"/>
        <w:spacing w:after="0" w:line="250" w:lineRule="auto"/>
        <w:rPr>
          <w:sz w:val="20"/>
          <w:szCs w:val="20"/>
          <w:color w:val="auto"/>
        </w:rPr>
      </w:pPr>
      <w:r>
        <w:rPr>
          <w:rFonts w:ascii="Arial" w:cs="Arial" w:eastAsia="Arial" w:hAnsi="Arial"/>
          <w:sz w:val="18"/>
          <w:szCs w:val="18"/>
          <w:color w:val="auto"/>
        </w:rPr>
        <w:t>* 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 w:lineRule="exact"/>
        <w:rPr>
          <w:sz w:val="20"/>
          <w:szCs w:val="20"/>
          <w:color w:val="auto"/>
        </w:rPr>
      </w:pPr>
    </w:p>
    <w:p>
      <w:pPr>
        <w:ind w:left="153" w:hanging="153"/>
        <w:spacing w:after="0" w:line="260" w:lineRule="auto"/>
        <w:tabs>
          <w:tab w:leader="none" w:pos="1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because the registrant has determined that the information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2"/>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66040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47" w:top="688" w:right="399" w:bottom="1440" w:gutter="0" w:footer="0" w:header="0"/>
          <w:type w:val="continuous"/>
        </w:sectPr>
      </w:pPr>
    </w:p>
    <w:bookmarkStart w:id="40" w:name="page41"/>
    <w:bookmarkEnd w:id="40"/>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Honest Company, Inc.</w:t>
      </w:r>
    </w:p>
    <w:p>
      <w:pPr>
        <w:spacing w:after="0" w:line="6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6"/>
          <w:szCs w:val="16"/>
          <w:color w:val="auto"/>
        </w:rPr>
        <w:t>By: /s/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8"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Nikolaos Vlahos</w:t>
      </w:r>
    </w:p>
    <w:p>
      <w:pPr>
        <w:jc w:val="center"/>
        <w:ind w:left="6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6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6"/>
          <w:szCs w:val="16"/>
          <w:color w:val="auto"/>
        </w:rPr>
        <w:t>By: /s/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Kelly J. Kennedy</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Executive Vice President, Chief Financial Officer</w:t>
      </w:r>
    </w:p>
    <w:p>
      <w:pPr>
        <w:spacing w:after="0" w:line="72"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520"/>
          </w:cols>
          <w:pgMar w:left="320" w:top="769" w:right="1059" w:bottom="1440" w:gutter="0" w:footer="0" w:header="0"/>
        </w:sectPr>
      </w:pPr>
    </w:p>
    <w:bookmarkStart w:id="41" w:name="page42"/>
    <w:bookmarkEnd w:id="41"/>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NOMINEE AND INDEMNITY AGREEMENT</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This Nominee and Indemnity Agreement </w:t>
      </w:r>
      <w:r>
        <w:rPr>
          <w:rFonts w:ascii="Arial" w:cs="Arial" w:eastAsia="Arial" w:hAnsi="Arial"/>
          <w:sz w:val="19"/>
          <w:szCs w:val="19"/>
          <w:color w:val="auto"/>
        </w:rPr>
        <w:t>(“Agreement”) is entered into as of September 8, 2021, among The Honest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Inc. (“Company”), Catterton Management Company, L.L.C. (“Manager”) as investment manager of (i) </w:t>
      </w:r>
      <w:r>
        <w:rPr>
          <w:rFonts w:ascii="Arial" w:cs="Arial" w:eastAsia="Arial" w:hAnsi="Arial"/>
          <w:sz w:val="19"/>
          <w:szCs w:val="19"/>
          <w:i w:val="1"/>
          <w:iCs w:val="1"/>
          <w:color w:val="auto"/>
        </w:rPr>
        <w:t>L</w:t>
      </w:r>
      <w:r>
        <w:rPr>
          <w:rFonts w:ascii="Arial" w:cs="Arial" w:eastAsia="Arial" w:hAnsi="Arial"/>
          <w:sz w:val="19"/>
          <w:szCs w:val="19"/>
          <w:color w:val="auto"/>
        </w:rPr>
        <w:t xml:space="preserve"> Catterton VIII, L.P. (“LC8”) and (ii) </w:t>
      </w:r>
      <w:r>
        <w:rPr>
          <w:rFonts w:ascii="Arial" w:cs="Arial" w:eastAsia="Arial" w:hAnsi="Arial"/>
          <w:sz w:val="19"/>
          <w:szCs w:val="19"/>
          <w:i w:val="1"/>
          <w:iCs w:val="1"/>
          <w:color w:val="auto"/>
        </w:rPr>
        <w:t>L</w:t>
      </w:r>
      <w:r>
        <w:rPr>
          <w:rFonts w:ascii="Arial" w:cs="Arial" w:eastAsia="Arial" w:hAnsi="Arial"/>
          <w:sz w:val="19"/>
          <w:szCs w:val="19"/>
          <w:color w:val="auto"/>
        </w:rPr>
        <w:t xml:space="preserve"> Catterton VIII Offshore, L.P. (together with LC8, the “Investors”), and Scott Dahnke (“Director”).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Director has been appointed to serve as a member of the board of directors (the “Board”) of the Company;</w:t>
      </w:r>
    </w:p>
    <w:p>
      <w:pPr>
        <w:spacing w:after="0" w:line="231" w:lineRule="exact"/>
        <w:rPr>
          <w:rFonts w:ascii="Arial" w:cs="Arial" w:eastAsia="Arial" w:hAnsi="Arial"/>
          <w:sz w:val="21"/>
          <w:szCs w:val="21"/>
          <w:color w:val="auto"/>
        </w:rPr>
      </w:pPr>
    </w:p>
    <w:p>
      <w:pPr>
        <w:ind w:right="20" w:firstLine="656"/>
        <w:spacing w:after="0" w:line="287" w:lineRule="auto"/>
        <w:tabs>
          <w:tab w:leader="none" w:pos="1178"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Company shall compensate Director for his service on the Board in part with periodic grants of awards to acquire shares of the Company’s Common Stock, currently in the form of restricted stock units (the “Stock Awards”);</w:t>
      </w:r>
    </w:p>
    <w:p>
      <w:pPr>
        <w:spacing w:after="0" w:line="151" w:lineRule="exact"/>
        <w:rPr>
          <w:rFonts w:ascii="Arial" w:cs="Arial" w:eastAsia="Arial" w:hAnsi="Arial"/>
          <w:sz w:val="21"/>
          <w:szCs w:val="21"/>
          <w:color w:val="auto"/>
        </w:rPr>
      </w:pPr>
    </w:p>
    <w:p>
      <w:pPr>
        <w:jc w:val="both"/>
        <w:ind w:firstLine="656"/>
        <w:spacing w:after="0" w:line="250" w:lineRule="auto"/>
        <w:tabs>
          <w:tab w:leader="none" w:pos="1216" w:val="left"/>
        </w:tabs>
        <w:numPr>
          <w:ilvl w:val="0"/>
          <w:numId w:val="22"/>
        </w:numPr>
        <w:rPr>
          <w:rFonts w:ascii="Arial" w:cs="Arial" w:eastAsia="Arial" w:hAnsi="Arial"/>
          <w:sz w:val="22"/>
          <w:szCs w:val="22"/>
          <w:color w:val="auto"/>
        </w:rPr>
      </w:pPr>
      <w:r>
        <w:rPr>
          <w:rFonts w:ascii="Arial" w:cs="Arial" w:eastAsia="Arial" w:hAnsi="Arial"/>
          <w:sz w:val="22"/>
          <w:szCs w:val="22"/>
          <w:color w:val="auto"/>
        </w:rPr>
        <w:t>Director is providing and will provide such services to Company solely in his capacity as a representative of Investors, and is subject to a pre-existing, legally binding agreement that requires that any rights, payments, benefits and/or securities delivered to Director by Company relating to Director’s services to Company shall be received by Manager on behalf of Director solely for the benefit of Investors;</w:t>
      </w:r>
    </w:p>
    <w:p>
      <w:pPr>
        <w:spacing w:after="0" w:line="187" w:lineRule="exact"/>
        <w:rPr>
          <w:rFonts w:ascii="Arial" w:cs="Arial" w:eastAsia="Arial" w:hAnsi="Arial"/>
          <w:sz w:val="22"/>
          <w:szCs w:val="22"/>
          <w:color w:val="auto"/>
        </w:rPr>
      </w:pPr>
    </w:p>
    <w:p>
      <w:pPr>
        <w:ind w:left="1080" w:hanging="424"/>
        <w:spacing w:after="0"/>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Merely for convenience, Director shall acquire legal title to the Stock Awards;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27" w:val="left"/>
        </w:tabs>
        <w:numPr>
          <w:ilvl w:val="0"/>
          <w:numId w:val="22"/>
        </w:numPr>
        <w:rPr>
          <w:rFonts w:ascii="Arial" w:cs="Arial" w:eastAsia="Arial" w:hAnsi="Arial"/>
          <w:sz w:val="22"/>
          <w:szCs w:val="22"/>
          <w:color w:val="auto"/>
        </w:rPr>
      </w:pPr>
      <w:r>
        <w:rPr>
          <w:rFonts w:ascii="Arial" w:cs="Arial" w:eastAsia="Arial" w:hAnsi="Arial"/>
          <w:sz w:val="22"/>
          <w:szCs w:val="22"/>
          <w:color w:val="auto"/>
        </w:rPr>
        <w:t>Director will also be paid cash compensation by the Company from time to time in the future in consideration of Director’s service on the Board, excluding any amounts paid to Director in reimbursement for expenses incurred to participate in meetings of the Board (“Cash Fees”);</w:t>
      </w:r>
    </w:p>
    <w:p>
      <w:pPr>
        <w:spacing w:after="0" w:line="185" w:lineRule="exact"/>
        <w:rPr>
          <w:rFonts w:ascii="Arial" w:cs="Arial" w:eastAsia="Arial" w:hAnsi="Arial"/>
          <w:sz w:val="22"/>
          <w:szCs w:val="22"/>
          <w:color w:val="auto"/>
        </w:rPr>
      </w:pPr>
    </w:p>
    <w:p>
      <w:pPr>
        <w:ind w:firstLine="656"/>
        <w:spacing w:after="0" w:line="263" w:lineRule="auto"/>
        <w:tabs>
          <w:tab w:leader="none" w:pos="1023"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Investors wish that Director hold the Stock Awards merely as nominee for Investors and that any and all Cash Fees be paid directly to Manager solely for the benefit of Investors;</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Director agrees to hold the Stock Awards merely as nominee for Investors; and</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Director agrees that all Cash Fees shall be paid directly to Manager by the Company.</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adequacy of which is acknowledged hereby,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Director agrees that Company shall pay the Cash Fees directly to Manager and not to Director.</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083"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Director agrees that he will hold the Stock Awards merely as nominee for Investors. Director agrees that he has no discretionary duties with respect to any of the Stock Awards, but must act only on explicit instructions of Manager acting on behalf of Investors. Director agrees to act upon such instructions and to take no action with respect to any Stock Award in the absence of such instructions.</w:t>
      </w:r>
    </w:p>
    <w:p>
      <w:pPr>
        <w:spacing w:after="0" w:line="187" w:lineRule="exact"/>
        <w:rPr>
          <w:rFonts w:ascii="Arial" w:cs="Arial" w:eastAsia="Arial" w:hAnsi="Arial"/>
          <w:sz w:val="22"/>
          <w:szCs w:val="22"/>
          <w:color w:val="auto"/>
        </w:rPr>
      </w:pPr>
    </w:p>
    <w:p>
      <w:pPr>
        <w:ind w:firstLine="656"/>
        <w:spacing w:after="0" w:line="343" w:lineRule="auto"/>
        <w:tabs>
          <w:tab w:leader="none" w:pos="1073" w:val="left"/>
        </w:tabs>
        <w:numPr>
          <w:ilvl w:val="0"/>
          <w:numId w:val="23"/>
        </w:numPr>
        <w:rPr>
          <w:rFonts w:ascii="Arial" w:cs="Arial" w:eastAsia="Arial" w:hAnsi="Arial"/>
          <w:sz w:val="19"/>
          <w:szCs w:val="19"/>
          <w:color w:val="auto"/>
        </w:rPr>
      </w:pPr>
      <w:r>
        <w:rPr>
          <w:rFonts w:ascii="Arial" w:cs="Arial" w:eastAsia="Arial" w:hAnsi="Arial"/>
          <w:sz w:val="19"/>
          <w:szCs w:val="19"/>
          <w:color w:val="auto"/>
        </w:rPr>
        <w:t>Director agrees to hold the Stock Awards for convenience only and acknowledges and agrees that he will not assert any rights of ownership of any Stock Award (except in his capacity as a representative of Investors and their affiliates).</w:t>
      </w:r>
    </w:p>
    <w:p>
      <w:pPr>
        <w:spacing w:after="0" w:line="104" w:lineRule="exact"/>
        <w:rPr>
          <w:rFonts w:ascii="Arial" w:cs="Arial" w:eastAsia="Arial" w:hAnsi="Arial"/>
          <w:sz w:val="19"/>
          <w:szCs w:val="19"/>
          <w:color w:val="auto"/>
        </w:rPr>
      </w:pPr>
    </w:p>
    <w:p>
      <w:pPr>
        <w:ind w:left="1040" w:hanging="384"/>
        <w:spacing w:after="0"/>
        <w:tabs>
          <w:tab w:leader="none" w:pos="10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Director agrees to account fully to Investors as to the Stock Awards.</w:t>
      </w:r>
    </w:p>
    <w:p>
      <w:pPr>
        <w:spacing w:after="0" w:line="219" w:lineRule="exact"/>
        <w:rPr>
          <w:rFonts w:ascii="Arial" w:cs="Arial" w:eastAsia="Arial" w:hAnsi="Arial"/>
          <w:sz w:val="22"/>
          <w:szCs w:val="22"/>
          <w:color w:val="auto"/>
        </w:rPr>
      </w:pPr>
    </w:p>
    <w:p>
      <w:pPr>
        <w:jc w:val="both"/>
        <w:ind w:firstLine="656"/>
        <w:spacing w:after="0" w:line="285" w:lineRule="auto"/>
        <w:tabs>
          <w:tab w:leader="none" w:pos="1075" w:val="left"/>
        </w:tabs>
        <w:numPr>
          <w:ilvl w:val="0"/>
          <w:numId w:val="23"/>
        </w:numPr>
        <w:rPr>
          <w:rFonts w:ascii="Arial" w:cs="Arial" w:eastAsia="Arial" w:hAnsi="Arial"/>
          <w:sz w:val="19"/>
          <w:szCs w:val="19"/>
          <w:color w:val="auto"/>
        </w:rPr>
      </w:pPr>
      <w:r>
        <w:rPr>
          <w:rFonts w:ascii="Arial" w:cs="Arial" w:eastAsia="Arial" w:hAnsi="Arial"/>
          <w:sz w:val="19"/>
          <w:szCs w:val="19"/>
          <w:color w:val="auto"/>
        </w:rPr>
        <w:t>From time to time, Manager, acting on behalf of Investors, may request that Director sell shares acquired under the terms of a Stock Award. After all contractual vesting requirements based on service as a member of the Board have been satisfied by Director, Manager may request that Director transfer legal title to the shares of the Company’s Common Stock (“Common Stock”) subject to the Stock Award to Investors or an affiliate of either Investor, including Manager. Unless either Investor issues different instructions, such transfer of legal title of Common Stock shall be made to Manager. Each Investor hereby agrees to assume its Pro Rata Portion of all obligations of Director under any agreement or other process for implementing the sale or transfer of some or all of the shares of Common Stock covered by a Stock Award and to indemnify and hold harmless Director and Company against any and all expenses, claims, obligations, actions, damages, amounts paid or payable in settlement and all other liabilities (including without limitation reasonable attorney’s fees and costs) (collectively, “Liabilities” and individually, a “Liability”) resulting from or incurred by Director or Company in connection with the issuance, holding, sale, exchange or other transfer of the Stock Award or any shares of Common Stock subject to the Stock Award; provided, that Investors shall have no obligation under this Section 5 with respect to any particular Liability to the extent caused by the gross negligence or willful misconduct of Director or Company, including but not limited to a grossly negligent or willful breach by Director of Director’s obligations under this Agreement. For purposes of this Agreement, “Pro Rata Portion” shall mean, with respect to any Investor, a fraction, (i) the numerator of which is the aggregate indirect equity interest held by such Investor in the Company and (ii) the denominator of which is the sum of all aggregate indirect equity interests held by all Investors in the Company.</w:t>
      </w:r>
    </w:p>
    <w:p>
      <w:pPr>
        <w:spacing w:after="0" w:line="168" w:lineRule="exact"/>
        <w:rPr>
          <w:rFonts w:ascii="Arial" w:cs="Arial" w:eastAsia="Arial" w:hAnsi="Arial"/>
          <w:sz w:val="19"/>
          <w:szCs w:val="19"/>
          <w:color w:val="auto"/>
        </w:rPr>
      </w:pPr>
    </w:p>
    <w:p>
      <w:pPr>
        <w:jc w:val="both"/>
        <w:ind w:firstLine="656"/>
        <w:spacing w:after="0" w:line="248" w:lineRule="auto"/>
        <w:tabs>
          <w:tab w:leader="none" w:pos="1053" w:val="left"/>
        </w:tabs>
        <w:numPr>
          <w:ilvl w:val="0"/>
          <w:numId w:val="23"/>
        </w:numPr>
        <w:rPr>
          <w:rFonts w:ascii="Arial" w:cs="Arial" w:eastAsia="Arial" w:hAnsi="Arial"/>
          <w:sz w:val="22"/>
          <w:szCs w:val="22"/>
          <w:color w:val="auto"/>
        </w:rPr>
      </w:pPr>
      <w:r>
        <w:rPr>
          <w:rFonts w:ascii="Arial" w:cs="Arial" w:eastAsia="Arial" w:hAnsi="Arial"/>
          <w:sz w:val="22"/>
          <w:szCs w:val="22"/>
          <w:color w:val="auto"/>
        </w:rPr>
        <w:t>Manager agrees to take responsibility for all tax consequences arising from the Cash Fees or under any Stock Award and to indemnify each of Director and Company with respect to any tax liabilities that may be incurred by Director or Company with respect to the Cash Fees or any Stock Award. Company agrees to treat Manager as the holder of the Stock Award solely with respect to any tax reporting obligations of Company and to treat Manager as the payee of the Cash Fees with respect to any tax reporting obligations of Company.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43" w:name="page44"/>
    <w:bookmarkEnd w:id="43"/>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agrees to pay the Cash Fees directly to Manager and to implement any transfer of Common Stock requested by Manager pursuant to Section 5 above that is in compliance with applicable law. Company is a party to this Agreement solely for the purpose of indicating its acknowledgement of and agreement to the manner in which it shall discharge its obligations regarding the treatment of the Cash Fees and the Stock Awards set forth in this Section 6 and to receive the benefits of Investors’ and Manager’s indemnification of Company as set forth herein.</w:t>
      </w:r>
    </w:p>
    <w:p>
      <w:pPr>
        <w:spacing w:after="0" w:line="192" w:lineRule="exact"/>
        <w:rPr>
          <w:sz w:val="20"/>
          <w:szCs w:val="20"/>
          <w:color w:val="auto"/>
        </w:rPr>
      </w:pPr>
    </w:p>
    <w:p>
      <w:pPr>
        <w:jc w:val="both"/>
        <w:ind w:firstLine="656"/>
        <w:spacing w:after="0" w:line="302" w:lineRule="auto"/>
        <w:tabs>
          <w:tab w:leader="none" w:pos="1051"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This Agreement may be executed in one or more counterparts, each of which shall be deemed an original, that all of which together shall constitute one and the same instrument. This Agreement may only be modified in a writing signed by both parties. No modification of this Agreement which attempts either to reduce Company’s rights or to alter Company’s responsibilities under this Agreement shall be effective without Company’s express written consent to such modification.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on the date first above written.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Manager</w:t>
      </w:r>
      <w:r>
        <w:rPr>
          <w:rFonts w:ascii="Arial" w:cs="Arial" w:eastAsia="Arial" w:hAnsi="Arial"/>
          <w:sz w:val="22"/>
          <w:szCs w:val="22"/>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CATTERTON MANAGEMENT COMPANY, L.L.C.</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 Reid</w:t>
            </w:r>
          </w:p>
        </w:tc>
      </w:tr>
      <w:tr>
        <w:trPr>
          <w:trHeight w:val="29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Dan Reid</w:t>
            </w:r>
          </w:p>
        </w:tc>
      </w:tr>
      <w:tr>
        <w:trPr>
          <w:trHeight w:val="311"/>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r>
        <w:rPr>
          <w:rFonts w:ascii="Arial" w:cs="Arial" w:eastAsia="Arial" w:hAnsi="Arial"/>
          <w:sz w:val="22"/>
          <w:szCs w:val="22"/>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 </w:t>
      </w:r>
      <w:r>
        <w:rPr>
          <w:rFonts w:ascii="Arial" w:cs="Arial" w:eastAsia="Arial" w:hAnsi="Arial"/>
          <w:sz w:val="22"/>
          <w:szCs w:val="22"/>
          <w:color w:val="auto"/>
        </w:rPr>
        <w:t>CATTERTON VIII, 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Catterton Managing Partner VIII,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By: C8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McPherson</w:t>
            </w:r>
          </w:p>
        </w:tc>
      </w:tr>
      <w:tr>
        <w:trPr>
          <w:trHeight w:val="29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David McPherson</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 </w:t>
      </w:r>
      <w:r>
        <w:rPr>
          <w:rFonts w:ascii="Arial" w:cs="Arial" w:eastAsia="Arial" w:hAnsi="Arial"/>
          <w:sz w:val="22"/>
          <w:szCs w:val="22"/>
          <w:color w:val="auto"/>
        </w:rPr>
        <w:t>CATTERTON VIII OFFSHORE, 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Catterton Managing Partner VIII,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C8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McPherson</w:t>
            </w:r>
          </w:p>
        </w:tc>
      </w:tr>
      <w:tr>
        <w:trPr>
          <w:trHeight w:val="29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David McPherson</w:t>
            </w:r>
          </w:p>
        </w:tc>
      </w:tr>
      <w:tr>
        <w:trPr>
          <w:trHeight w:val="311"/>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w:t>
      </w:r>
      <w:r>
        <w:rPr>
          <w:rFonts w:ascii="Arial" w:cs="Arial" w:eastAsia="Arial" w:hAnsi="Arial"/>
          <w:sz w:val="22"/>
          <w:szCs w:val="22"/>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SCOTT DAHNKE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 Scott Dahnke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HONEST COMPANY, INC.</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Brendan Sheehey</w:t>
            </w:r>
          </w:p>
        </w:tc>
      </w:tr>
      <w:tr>
        <w:trPr>
          <w:trHeight w:val="29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Brendan Sheehey</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40" w:right="1440" w:bottom="1440" w:gutter="0" w:footer="0" w:header="0"/>
        </w:sectPr>
      </w:pPr>
    </w:p>
    <w:bookmarkStart w:id="45" w:name="page46"/>
    <w:bookmarkEnd w:id="45"/>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NOMINEE AND INDEMNITY AGREEMENT</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This Nominee and Indemnity Agreement </w:t>
      </w:r>
      <w:r>
        <w:rPr>
          <w:rFonts w:ascii="Arial" w:cs="Arial" w:eastAsia="Arial" w:hAnsi="Arial"/>
          <w:sz w:val="19"/>
          <w:szCs w:val="19"/>
          <w:color w:val="auto"/>
        </w:rPr>
        <w:t>(“Agreement”) is entered into as of September 8, 2021, among The Honest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Inc. (“Company”), Catterton Management Company, L.L.C. (“Manager”) as investment manager of (i) </w:t>
      </w:r>
      <w:r>
        <w:rPr>
          <w:rFonts w:ascii="Arial" w:cs="Arial" w:eastAsia="Arial" w:hAnsi="Arial"/>
          <w:sz w:val="19"/>
          <w:szCs w:val="19"/>
          <w:i w:val="1"/>
          <w:iCs w:val="1"/>
          <w:color w:val="auto"/>
        </w:rPr>
        <w:t>L</w:t>
      </w:r>
      <w:r>
        <w:rPr>
          <w:rFonts w:ascii="Arial" w:cs="Arial" w:eastAsia="Arial" w:hAnsi="Arial"/>
          <w:sz w:val="19"/>
          <w:szCs w:val="19"/>
          <w:color w:val="auto"/>
        </w:rPr>
        <w:t xml:space="preserve"> Catterton VIII, L.P. (“LC8”) and (ii) </w:t>
      </w:r>
      <w:r>
        <w:rPr>
          <w:rFonts w:ascii="Arial" w:cs="Arial" w:eastAsia="Arial" w:hAnsi="Arial"/>
          <w:sz w:val="19"/>
          <w:szCs w:val="19"/>
          <w:i w:val="1"/>
          <w:iCs w:val="1"/>
          <w:color w:val="auto"/>
        </w:rPr>
        <w:t>L</w:t>
      </w:r>
      <w:r>
        <w:rPr>
          <w:rFonts w:ascii="Arial" w:cs="Arial" w:eastAsia="Arial" w:hAnsi="Arial"/>
          <w:sz w:val="19"/>
          <w:szCs w:val="19"/>
          <w:color w:val="auto"/>
        </w:rPr>
        <w:t xml:space="preserve"> Catterton VIII Offshore, L.P. (together with LC8, the “Investors”), and Avik Pramanik (“Director”).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Director has been appointed to serve as a member of the board of directors (the “Board”) of the Company;</w:t>
      </w:r>
    </w:p>
    <w:p>
      <w:pPr>
        <w:spacing w:after="0" w:line="231" w:lineRule="exact"/>
        <w:rPr>
          <w:rFonts w:ascii="Arial" w:cs="Arial" w:eastAsia="Arial" w:hAnsi="Arial"/>
          <w:sz w:val="21"/>
          <w:szCs w:val="21"/>
          <w:color w:val="auto"/>
        </w:rPr>
      </w:pPr>
    </w:p>
    <w:p>
      <w:pPr>
        <w:ind w:right="20" w:firstLine="656"/>
        <w:spacing w:after="0" w:line="287" w:lineRule="auto"/>
        <w:tabs>
          <w:tab w:leader="none" w:pos="1178"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Company shall compensate Director for his service on the Board in part with periodic grants of awards to acquire shares of the Company’s Common Stock, currently in the form of restricted stock units (the “Stock Awards”);</w:t>
      </w:r>
    </w:p>
    <w:p>
      <w:pPr>
        <w:spacing w:after="0" w:line="151" w:lineRule="exact"/>
        <w:rPr>
          <w:rFonts w:ascii="Arial" w:cs="Arial" w:eastAsia="Arial" w:hAnsi="Arial"/>
          <w:sz w:val="21"/>
          <w:szCs w:val="21"/>
          <w:color w:val="auto"/>
        </w:rPr>
      </w:pPr>
    </w:p>
    <w:p>
      <w:pPr>
        <w:jc w:val="both"/>
        <w:ind w:firstLine="656"/>
        <w:spacing w:after="0" w:line="250" w:lineRule="auto"/>
        <w:tabs>
          <w:tab w:leader="none" w:pos="1216" w:val="left"/>
        </w:tabs>
        <w:numPr>
          <w:ilvl w:val="0"/>
          <w:numId w:val="25"/>
        </w:numPr>
        <w:rPr>
          <w:rFonts w:ascii="Arial" w:cs="Arial" w:eastAsia="Arial" w:hAnsi="Arial"/>
          <w:sz w:val="22"/>
          <w:szCs w:val="22"/>
          <w:color w:val="auto"/>
        </w:rPr>
      </w:pPr>
      <w:r>
        <w:rPr>
          <w:rFonts w:ascii="Arial" w:cs="Arial" w:eastAsia="Arial" w:hAnsi="Arial"/>
          <w:sz w:val="22"/>
          <w:szCs w:val="22"/>
          <w:color w:val="auto"/>
        </w:rPr>
        <w:t>Director is providing and will provide such services to Company solely in his capacity as a representative of Investors, and is subject to a pre-existing, legally binding agreement that requires that any rights, payments, benefits and/or securities delivered to Director by Company relating to Director’s services to Company shall be received by Manager on behalf of Director solely for the benefit of Investors;</w:t>
      </w:r>
    </w:p>
    <w:p>
      <w:pPr>
        <w:spacing w:after="0" w:line="187" w:lineRule="exact"/>
        <w:rPr>
          <w:rFonts w:ascii="Arial" w:cs="Arial" w:eastAsia="Arial" w:hAnsi="Arial"/>
          <w:sz w:val="22"/>
          <w:szCs w:val="22"/>
          <w:color w:val="auto"/>
        </w:rPr>
      </w:pPr>
    </w:p>
    <w:p>
      <w:pPr>
        <w:ind w:left="1080" w:hanging="424"/>
        <w:spacing w:after="0"/>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Merely for convenience, Director shall acquire legal title to the Stock Awards;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27" w:val="left"/>
        </w:tabs>
        <w:numPr>
          <w:ilvl w:val="0"/>
          <w:numId w:val="25"/>
        </w:numPr>
        <w:rPr>
          <w:rFonts w:ascii="Arial" w:cs="Arial" w:eastAsia="Arial" w:hAnsi="Arial"/>
          <w:sz w:val="22"/>
          <w:szCs w:val="22"/>
          <w:color w:val="auto"/>
        </w:rPr>
      </w:pPr>
      <w:r>
        <w:rPr>
          <w:rFonts w:ascii="Arial" w:cs="Arial" w:eastAsia="Arial" w:hAnsi="Arial"/>
          <w:sz w:val="22"/>
          <w:szCs w:val="22"/>
          <w:color w:val="auto"/>
        </w:rPr>
        <w:t>Director will also be paid cash compensation by the Company from time to time in the future in consideration of Director’s service on the Board, excluding any amounts paid to Director in reimbursement for expenses incurred to participate in meetings of the Board (“Cash Fees”);</w:t>
      </w:r>
    </w:p>
    <w:p>
      <w:pPr>
        <w:spacing w:after="0" w:line="185" w:lineRule="exact"/>
        <w:rPr>
          <w:rFonts w:ascii="Arial" w:cs="Arial" w:eastAsia="Arial" w:hAnsi="Arial"/>
          <w:sz w:val="22"/>
          <w:szCs w:val="22"/>
          <w:color w:val="auto"/>
        </w:rPr>
      </w:pPr>
    </w:p>
    <w:p>
      <w:pPr>
        <w:ind w:firstLine="656"/>
        <w:spacing w:after="0" w:line="263" w:lineRule="auto"/>
        <w:tabs>
          <w:tab w:leader="none" w:pos="1023"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Investors wish that Director hold the Stock Awards merely as nominee for Investors and that any and all Cash Fees be paid directly to Manager solely for the benefit of Investors;</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Director agrees to hold the Stock Awards merely as nominee for Investors; and</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Director agrees that all Cash Fees shall be paid directly to Manager by the Company.</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adequacy of which is acknowledged hereby,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Director agrees that Company shall pay the Cash Fees directly to Manager and not to Director.</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083" w:val="left"/>
        </w:tabs>
        <w:numPr>
          <w:ilvl w:val="0"/>
          <w:numId w:val="26"/>
        </w:numPr>
        <w:rPr>
          <w:rFonts w:ascii="Arial" w:cs="Arial" w:eastAsia="Arial" w:hAnsi="Arial"/>
          <w:sz w:val="22"/>
          <w:szCs w:val="22"/>
          <w:color w:val="auto"/>
        </w:rPr>
      </w:pPr>
      <w:r>
        <w:rPr>
          <w:rFonts w:ascii="Arial" w:cs="Arial" w:eastAsia="Arial" w:hAnsi="Arial"/>
          <w:sz w:val="22"/>
          <w:szCs w:val="22"/>
          <w:color w:val="auto"/>
        </w:rPr>
        <w:t>Director agrees that he will hold the Stock Awards merely as nominee for Investors. Director agrees that he has no discretionary duties with respect to any of the Stock Awards, but must act only on explicit instructions of Manager acting on behalf of Investors. Director agrees to act upon such instructions and to take no action with respect to any Stock Award in the absence of such instructions.</w:t>
      </w:r>
    </w:p>
    <w:p>
      <w:pPr>
        <w:spacing w:after="0" w:line="187" w:lineRule="exact"/>
        <w:rPr>
          <w:rFonts w:ascii="Arial" w:cs="Arial" w:eastAsia="Arial" w:hAnsi="Arial"/>
          <w:sz w:val="22"/>
          <w:szCs w:val="22"/>
          <w:color w:val="auto"/>
        </w:rPr>
      </w:pPr>
    </w:p>
    <w:p>
      <w:pPr>
        <w:ind w:firstLine="656"/>
        <w:spacing w:after="0" w:line="343" w:lineRule="auto"/>
        <w:tabs>
          <w:tab w:leader="none" w:pos="1073" w:val="left"/>
        </w:tabs>
        <w:numPr>
          <w:ilvl w:val="0"/>
          <w:numId w:val="26"/>
        </w:numPr>
        <w:rPr>
          <w:rFonts w:ascii="Arial" w:cs="Arial" w:eastAsia="Arial" w:hAnsi="Arial"/>
          <w:sz w:val="19"/>
          <w:szCs w:val="19"/>
          <w:color w:val="auto"/>
        </w:rPr>
      </w:pPr>
      <w:r>
        <w:rPr>
          <w:rFonts w:ascii="Arial" w:cs="Arial" w:eastAsia="Arial" w:hAnsi="Arial"/>
          <w:sz w:val="19"/>
          <w:szCs w:val="19"/>
          <w:color w:val="auto"/>
        </w:rPr>
        <w:t>Director agrees to hold the Stock Awards for convenience only and acknowledges and agrees that he will not assert any rights of ownership of any Stock Award (except in his capacity as a representative of Investors and their affiliates).</w:t>
      </w:r>
    </w:p>
    <w:p>
      <w:pPr>
        <w:spacing w:after="0" w:line="104" w:lineRule="exact"/>
        <w:rPr>
          <w:rFonts w:ascii="Arial" w:cs="Arial" w:eastAsia="Arial" w:hAnsi="Arial"/>
          <w:sz w:val="19"/>
          <w:szCs w:val="19"/>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Director agrees to account fully to Investors as to the Stock Awards.</w:t>
      </w:r>
    </w:p>
    <w:p>
      <w:pPr>
        <w:spacing w:after="0" w:line="219" w:lineRule="exact"/>
        <w:rPr>
          <w:rFonts w:ascii="Arial" w:cs="Arial" w:eastAsia="Arial" w:hAnsi="Arial"/>
          <w:sz w:val="22"/>
          <w:szCs w:val="22"/>
          <w:color w:val="auto"/>
        </w:rPr>
      </w:pPr>
    </w:p>
    <w:p>
      <w:pPr>
        <w:jc w:val="both"/>
        <w:ind w:firstLine="656"/>
        <w:spacing w:after="0" w:line="285" w:lineRule="auto"/>
        <w:tabs>
          <w:tab w:leader="none" w:pos="1075" w:val="left"/>
        </w:tabs>
        <w:numPr>
          <w:ilvl w:val="0"/>
          <w:numId w:val="26"/>
        </w:numPr>
        <w:rPr>
          <w:rFonts w:ascii="Arial" w:cs="Arial" w:eastAsia="Arial" w:hAnsi="Arial"/>
          <w:sz w:val="19"/>
          <w:szCs w:val="19"/>
          <w:color w:val="auto"/>
        </w:rPr>
      </w:pPr>
      <w:r>
        <w:rPr>
          <w:rFonts w:ascii="Arial" w:cs="Arial" w:eastAsia="Arial" w:hAnsi="Arial"/>
          <w:sz w:val="19"/>
          <w:szCs w:val="19"/>
          <w:color w:val="auto"/>
        </w:rPr>
        <w:t>From time to time, Manager, acting on behalf of Investors, may request that Director sell shares acquired under the terms of a Stock Award. After all contractual vesting requirements based on service as a member of the Board have been satisfied by Director, Manager may request that Director transfer legal title to the shares of the Company’s Common Stock (“Common Stock”) subject to the Stock Award to Investors or an affiliate of either Investor, including Manager. Unless either Investor issues different instructions, such transfer of legal title of Common Stock shall be made to Manager. Each Investor hereby agrees to assume its Pro Rata Portion of all obligations of Director under any agreement or other process for implementing the sale or transfer of some or all of the shares of Common Stock covered by a Stock Award and to indemnify and hold harmless Director and Company against any and all expenses, claims, obligations, actions, damages, amounts paid or payable in settlement and all other liabilities (including without limitation reasonable attorney’s fees and costs) (collectively, “Liabilities” and individually, a “Liability”) resulting from or incurred by Director or Company in connection with the issuance, holding, sale, exchange or other transfer of the Stock Award or any shares of Common Stock subject to the Stock Award; provided, that Investors shall have no obligation under this Section 5 with respect to any particular Liability to the extent caused by the gross negligence or willful misconduct of Director or Company, including but not limited to a grossly negligent or willful breach by Director of Director’s obligations under this Agreement. For purposes of this Agreement, “Pro Rata Portion” shall mean, with respect to any Investor, a fraction, (i) the numerator of which is the aggregate indirect equity interest held by such Investor in the Company and (ii) the denominator of which is the sum of all aggregate indirect equity interests held by all Investors in the Company.</w:t>
      </w:r>
    </w:p>
    <w:p>
      <w:pPr>
        <w:spacing w:after="0" w:line="168" w:lineRule="exact"/>
        <w:rPr>
          <w:rFonts w:ascii="Arial" w:cs="Arial" w:eastAsia="Arial" w:hAnsi="Arial"/>
          <w:sz w:val="19"/>
          <w:szCs w:val="19"/>
          <w:color w:val="auto"/>
        </w:rPr>
      </w:pPr>
    </w:p>
    <w:p>
      <w:pPr>
        <w:jc w:val="both"/>
        <w:ind w:firstLine="656"/>
        <w:spacing w:after="0" w:line="248" w:lineRule="auto"/>
        <w:tabs>
          <w:tab w:leader="none" w:pos="1053" w:val="left"/>
        </w:tabs>
        <w:numPr>
          <w:ilvl w:val="0"/>
          <w:numId w:val="26"/>
        </w:numPr>
        <w:rPr>
          <w:rFonts w:ascii="Arial" w:cs="Arial" w:eastAsia="Arial" w:hAnsi="Arial"/>
          <w:sz w:val="22"/>
          <w:szCs w:val="22"/>
          <w:color w:val="auto"/>
        </w:rPr>
      </w:pPr>
      <w:r>
        <w:rPr>
          <w:rFonts w:ascii="Arial" w:cs="Arial" w:eastAsia="Arial" w:hAnsi="Arial"/>
          <w:sz w:val="22"/>
          <w:szCs w:val="22"/>
          <w:color w:val="auto"/>
        </w:rPr>
        <w:t>Manager agrees to take responsibility for all tax consequences arising from the Cash Fees or under any Stock Award and to indemnify each of Director and Company with respect to any tax liabilities that may be incurred by Director or Company with respect to the Cash Fees or any Stock Award. Company agrees to treat Manager as the holder of the Stock Award solely with respect to any tax reporting obligations of Company and to treat Manager as the payee of the Cash Fees with respect to any tax reporting obligations of Company.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47" w:name="page48"/>
    <w:bookmarkEnd w:id="47"/>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agrees to pay the Cash Fees directly to Manager and to implement any transfer of Common Stock requested by Manager pursuant to Section 5 above that is in compliance with applicable law. Company is a party to this Agreement solely for the purpose of indicating its acknowledgement of and agreement to the manner in which it shall discharge its obligations regarding the treatment of the Cash Fees and the Stock Awards set forth in this Section 6 and to receive the benefits of Investors’ and Manager’s indemnification of Company as set forth herein.</w:t>
      </w:r>
    </w:p>
    <w:p>
      <w:pPr>
        <w:spacing w:after="0" w:line="192" w:lineRule="exact"/>
        <w:rPr>
          <w:sz w:val="20"/>
          <w:szCs w:val="20"/>
          <w:color w:val="auto"/>
        </w:rPr>
      </w:pPr>
    </w:p>
    <w:p>
      <w:pPr>
        <w:jc w:val="both"/>
        <w:ind w:firstLine="656"/>
        <w:spacing w:after="0" w:line="302" w:lineRule="auto"/>
        <w:tabs>
          <w:tab w:leader="none" w:pos="1051"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This Agreement may be executed in one or more counterparts, each of which shall be deemed an original, that all of which together shall constitute one and the same instrument. This Agreement may only be modified in a writing signed by both parties. No modification of this Agreement which attempts either to reduce Company’s rights or to alter Company’s responsibilities under this Agreement shall be effective without Company’s express written consent to such modification.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on the date first above written.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Manager</w:t>
      </w:r>
      <w:r>
        <w:rPr>
          <w:rFonts w:ascii="Arial" w:cs="Arial" w:eastAsia="Arial" w:hAnsi="Arial"/>
          <w:sz w:val="22"/>
          <w:szCs w:val="22"/>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CATTERTON MANAGEMENT COMPANY, L.L.C.</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 Reid</w:t>
            </w:r>
          </w:p>
        </w:tc>
      </w:tr>
      <w:tr>
        <w:trPr>
          <w:trHeight w:val="29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Dan Reid</w:t>
            </w:r>
          </w:p>
        </w:tc>
      </w:tr>
      <w:tr>
        <w:trPr>
          <w:trHeight w:val="311"/>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r>
        <w:rPr>
          <w:rFonts w:ascii="Arial" w:cs="Arial" w:eastAsia="Arial" w:hAnsi="Arial"/>
          <w:sz w:val="22"/>
          <w:szCs w:val="22"/>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 </w:t>
      </w:r>
      <w:r>
        <w:rPr>
          <w:rFonts w:ascii="Arial" w:cs="Arial" w:eastAsia="Arial" w:hAnsi="Arial"/>
          <w:sz w:val="22"/>
          <w:szCs w:val="22"/>
          <w:color w:val="auto"/>
        </w:rPr>
        <w:t>CATTERTON VIII, 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Catterton Managing Partner VIII,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By: C8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McPherson</w:t>
            </w:r>
          </w:p>
        </w:tc>
      </w:tr>
      <w:tr>
        <w:trPr>
          <w:trHeight w:val="29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David McPherson</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 </w:t>
      </w:r>
      <w:r>
        <w:rPr>
          <w:rFonts w:ascii="Arial" w:cs="Arial" w:eastAsia="Arial" w:hAnsi="Arial"/>
          <w:sz w:val="22"/>
          <w:szCs w:val="22"/>
          <w:color w:val="auto"/>
        </w:rPr>
        <w:t>CATTERTON VIII OFFSHORE, 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Catterton Managing Partner VIII,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C8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McPherson</w:t>
            </w:r>
          </w:p>
        </w:tc>
      </w:tr>
      <w:tr>
        <w:trPr>
          <w:trHeight w:val="29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David McPherson</w:t>
            </w:r>
          </w:p>
        </w:tc>
      </w:tr>
      <w:tr>
        <w:trPr>
          <w:trHeight w:val="311"/>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w:t>
      </w:r>
      <w:r>
        <w:rPr>
          <w:rFonts w:ascii="Arial" w:cs="Arial" w:eastAsia="Arial" w:hAnsi="Arial"/>
          <w:sz w:val="22"/>
          <w:szCs w:val="22"/>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AVIK PRAMANIK</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Avik Pramanik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768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HONEST COMPANY, INC.</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Brendan Sheehey</w:t>
            </w:r>
          </w:p>
        </w:tc>
      </w:tr>
      <w:tr>
        <w:trPr>
          <w:trHeight w:val="29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640" w:type="dxa"/>
            <w:vAlign w:val="bottom"/>
          </w:tcPr>
          <w:p>
            <w:pPr>
              <w:ind w:left="20"/>
              <w:spacing w:after="0"/>
              <w:rPr>
                <w:sz w:val="20"/>
                <w:szCs w:val="20"/>
                <w:color w:val="auto"/>
              </w:rPr>
            </w:pPr>
            <w:r>
              <w:rPr>
                <w:rFonts w:ascii="Arial" w:cs="Arial" w:eastAsia="Arial" w:hAnsi="Arial"/>
                <w:sz w:val="22"/>
                <w:szCs w:val="22"/>
                <w:color w:val="auto"/>
              </w:rPr>
              <w:t>Brendan Sheehey</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640" w:type="dxa"/>
            <w:vAlign w:val="bottom"/>
          </w:tcPr>
          <w:p>
            <w:pPr>
              <w:ind w:left="20"/>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40"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August 30, 2021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Pete Gerstberger Orange County, CA</w:t>
      </w:r>
    </w:p>
    <w:p>
      <w:pPr>
        <w:spacing w:after="0" w:line="34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Employment Agreement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Dear Pete:</w:t>
      </w:r>
    </w:p>
    <w:p>
      <w:pPr>
        <w:spacing w:after="0" w:line="241" w:lineRule="exact"/>
        <w:rPr>
          <w:sz w:val="20"/>
          <w:szCs w:val="20"/>
          <w:color w:val="auto"/>
        </w:rPr>
      </w:pPr>
    </w:p>
    <w:p>
      <w:pPr>
        <w:ind w:right="100" w:firstLine="647"/>
        <w:spacing w:after="0" w:line="256" w:lineRule="auto"/>
        <w:rPr>
          <w:sz w:val="20"/>
          <w:szCs w:val="20"/>
          <w:color w:val="auto"/>
        </w:rPr>
      </w:pPr>
      <w:r>
        <w:rPr>
          <w:rFonts w:ascii="Arial" w:cs="Arial" w:eastAsia="Arial" w:hAnsi="Arial"/>
          <w:sz w:val="22"/>
          <w:szCs w:val="22"/>
          <w:color w:val="auto"/>
        </w:rPr>
        <w:t>The Honest Company, Inc. (the “</w:t>
      </w:r>
      <w:r>
        <w:rPr>
          <w:rFonts w:ascii="Arial" w:cs="Arial" w:eastAsia="Arial" w:hAnsi="Arial"/>
          <w:sz w:val="22"/>
          <w:szCs w:val="22"/>
          <w:b w:val="1"/>
          <w:bCs w:val="1"/>
          <w:color w:val="auto"/>
        </w:rPr>
        <w:t>Company</w:t>
      </w:r>
      <w:r>
        <w:rPr>
          <w:rFonts w:ascii="Arial" w:cs="Arial" w:eastAsia="Arial" w:hAnsi="Arial"/>
          <w:sz w:val="22"/>
          <w:szCs w:val="22"/>
          <w:color w:val="auto"/>
        </w:rPr>
        <w:t>”) is pleased to offer you at-will employment in the position of SVP, Chief Digital and Strategy on the terms and conditions set forth in this letter agreement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9" w:lineRule="exact"/>
        <w:rPr>
          <w:sz w:val="20"/>
          <w:szCs w:val="20"/>
          <w:color w:val="auto"/>
        </w:rPr>
      </w:pPr>
    </w:p>
    <w:p>
      <w:pPr>
        <w:jc w:val="both"/>
        <w:ind w:left="640" w:right="100" w:firstLine="7"/>
        <w:spacing w:after="0" w:line="276" w:lineRule="auto"/>
        <w:tabs>
          <w:tab w:leader="none" w:pos="112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Employment by the Company. </w:t>
      </w:r>
      <w:r>
        <w:rPr>
          <w:rFonts w:ascii="Arial" w:cs="Arial" w:eastAsia="Arial" w:hAnsi="Arial"/>
          <w:sz w:val="19"/>
          <w:szCs w:val="19"/>
          <w:color w:val="auto"/>
        </w:rPr>
        <w:t>This Agreement and your employment under the terms hereunder shall take</w:t>
      </w:r>
      <w:r>
        <w:rPr>
          <w:rFonts w:ascii="Arial" w:cs="Arial" w:eastAsia="Arial" w:hAnsi="Arial"/>
          <w:sz w:val="19"/>
          <w:szCs w:val="19"/>
          <w:b w:val="1"/>
          <w:bCs w:val="1"/>
          <w:color w:val="auto"/>
        </w:rPr>
        <w:t xml:space="preserve"> </w:t>
      </w:r>
      <w:r>
        <w:rPr>
          <w:rFonts w:ascii="Arial" w:cs="Arial" w:eastAsia="Arial" w:hAnsi="Arial"/>
          <w:sz w:val="19"/>
          <w:szCs w:val="19"/>
          <w:color w:val="auto"/>
        </w:rPr>
        <w:t>effect on October 4, 2021 (the “</w:t>
      </w:r>
      <w:r>
        <w:rPr>
          <w:rFonts w:ascii="Arial" w:cs="Arial" w:eastAsia="Arial" w:hAnsi="Arial"/>
          <w:sz w:val="19"/>
          <w:szCs w:val="19"/>
          <w:b w:val="1"/>
          <w:bCs w:val="1"/>
          <w:color w:val="auto"/>
        </w:rPr>
        <w:t>Effective Date</w:t>
      </w:r>
      <w:r>
        <w:rPr>
          <w:rFonts w:ascii="Arial" w:cs="Arial" w:eastAsia="Arial" w:hAnsi="Arial"/>
          <w:sz w:val="19"/>
          <w:szCs w:val="19"/>
          <w:color w:val="auto"/>
        </w:rPr>
        <w:t>”). This is an exempt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as are required by the Company’s Chief Executive Officer (“CEO”), to whom you will report. Your primary work location shall be the Company’s office located in Los Angeles, California. The Company reserves the right to reasonably require you to perform your duties at places other than your primary office location from time to time, and to require reasonable business travel.</w:t>
      </w:r>
    </w:p>
    <w:p>
      <w:pPr>
        <w:spacing w:after="0" w:line="190" w:lineRule="exact"/>
        <w:rPr>
          <w:rFonts w:ascii="Arial" w:cs="Arial" w:eastAsia="Arial" w:hAnsi="Arial"/>
          <w:sz w:val="19"/>
          <w:szCs w:val="19"/>
          <w:b w:val="1"/>
          <w:bCs w:val="1"/>
          <w:color w:val="auto"/>
        </w:rPr>
      </w:pPr>
    </w:p>
    <w:p>
      <w:pPr>
        <w:ind w:left="1300" w:hanging="654"/>
        <w:spacing w:after="0"/>
        <w:tabs>
          <w:tab w:leader="none" w:pos="130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47" w:lineRule="exact"/>
        <w:rPr>
          <w:sz w:val="20"/>
          <w:szCs w:val="20"/>
          <w:color w:val="auto"/>
        </w:rPr>
      </w:pPr>
    </w:p>
    <w:p>
      <w:pPr>
        <w:jc w:val="both"/>
        <w:ind w:left="640" w:right="100" w:firstLine="648"/>
        <w:spacing w:after="0" w:line="243" w:lineRule="auto"/>
        <w:rPr>
          <w:sz w:val="20"/>
          <w:szCs w:val="20"/>
          <w:color w:val="auto"/>
        </w:rPr>
      </w:pPr>
      <w:r>
        <w:rPr>
          <w:rFonts w:ascii="Arial" w:cs="Arial" w:eastAsia="Arial" w:hAnsi="Arial"/>
          <w:sz w:val="22"/>
          <w:szCs w:val="22"/>
          <w:b w:val="1"/>
          <w:bCs w:val="1"/>
          <w:color w:val="auto"/>
        </w:rPr>
        <w:t xml:space="preserve">2.1. Base Salary. </w:t>
      </w:r>
      <w:r>
        <w:rPr>
          <w:rFonts w:ascii="Arial" w:cs="Arial" w:eastAsia="Arial" w:hAnsi="Arial"/>
          <w:sz w:val="22"/>
          <w:szCs w:val="22"/>
          <w:color w:val="auto"/>
        </w:rPr>
        <w:t>For services to be rendered hereunder, you shall receive a base salary at the rate of $</w:t>
      </w:r>
      <w:r>
        <w:rPr>
          <w:rFonts w:ascii="Arial" w:cs="Arial" w:eastAsia="Arial" w:hAnsi="Arial"/>
          <w:sz w:val="22"/>
          <w:szCs w:val="22"/>
          <w:b w:val="1"/>
          <w:bCs w:val="1"/>
          <w:color w:val="auto"/>
        </w:rPr>
        <w:t xml:space="preserve"> 325,000 </w:t>
      </w:r>
      <w:r>
        <w:rPr>
          <w:rFonts w:ascii="Arial" w:cs="Arial" w:eastAsia="Arial" w:hAnsi="Arial"/>
          <w:sz w:val="22"/>
          <w:szCs w:val="22"/>
          <w:color w:val="auto"/>
        </w:rPr>
        <w:t>per year (the “</w:t>
      </w:r>
      <w:r>
        <w:rPr>
          <w:rFonts w:ascii="Arial" w:cs="Arial" w:eastAsia="Arial" w:hAnsi="Arial"/>
          <w:sz w:val="22"/>
          <w:szCs w:val="22"/>
          <w:b w:val="1"/>
          <w:bCs w:val="1"/>
          <w:color w:val="auto"/>
        </w:rPr>
        <w:t>Base Salary</w:t>
      </w:r>
      <w:r>
        <w:rPr>
          <w:rFonts w:ascii="Arial" w:cs="Arial" w:eastAsia="Arial" w:hAnsi="Arial"/>
          <w:sz w:val="22"/>
          <w:szCs w:val="22"/>
          <w:color w:val="auto"/>
        </w:rPr>
        <w:t>”), subject to standard payroll deductions and withholdings and payable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Company’s regular payroll schedule.</w:t>
      </w:r>
    </w:p>
    <w:p>
      <w:pPr>
        <w:spacing w:after="0" w:line="217" w:lineRule="exact"/>
        <w:rPr>
          <w:sz w:val="20"/>
          <w:szCs w:val="20"/>
          <w:color w:val="auto"/>
        </w:rPr>
      </w:pPr>
    </w:p>
    <w:p>
      <w:pPr>
        <w:jc w:val="both"/>
        <w:ind w:left="640" w:right="100" w:firstLine="648"/>
        <w:spacing w:after="0" w:line="276" w:lineRule="auto"/>
        <w:rPr>
          <w:sz w:val="20"/>
          <w:szCs w:val="20"/>
          <w:color w:val="auto"/>
        </w:rPr>
      </w:pPr>
      <w:r>
        <w:rPr>
          <w:rFonts w:ascii="Arial" w:cs="Arial" w:eastAsia="Arial" w:hAnsi="Arial"/>
          <w:sz w:val="19"/>
          <w:szCs w:val="19"/>
          <w:b w:val="1"/>
          <w:bCs w:val="1"/>
          <w:color w:val="auto"/>
        </w:rPr>
        <w:t xml:space="preserve">2.2. Annual Bonus. </w:t>
      </w:r>
      <w:r>
        <w:rPr>
          <w:rFonts w:ascii="Arial" w:cs="Arial" w:eastAsia="Arial" w:hAnsi="Arial"/>
          <w:sz w:val="19"/>
          <w:szCs w:val="19"/>
          <w:color w:val="auto"/>
        </w:rPr>
        <w:t>You will be eligible for an annual discretionary bonus with a target amount of</w:t>
      </w:r>
      <w:r>
        <w:rPr>
          <w:rFonts w:ascii="Arial" w:cs="Arial" w:eastAsia="Arial" w:hAnsi="Arial"/>
          <w:sz w:val="19"/>
          <w:szCs w:val="19"/>
          <w:b w:val="1"/>
          <w:bCs w:val="1"/>
          <w:color w:val="auto"/>
        </w:rPr>
        <w:t xml:space="preserve"> 50</w:t>
      </w:r>
      <w:r>
        <w:rPr>
          <w:rFonts w:ascii="Arial" w:cs="Arial" w:eastAsia="Arial" w:hAnsi="Arial"/>
          <w:sz w:val="19"/>
          <w:szCs w:val="19"/>
          <w:color w:val="auto"/>
        </w:rPr>
        <w: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your then current annual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Whether you receive an Annual Bonus for any given year, and the amount of any such Annual Bonus, will be determined by the Board of Directors of the Company and/or its Compensation Committee (the “</w:t>
      </w:r>
      <w:r>
        <w:rPr>
          <w:rFonts w:ascii="Arial" w:cs="Arial" w:eastAsia="Arial" w:hAnsi="Arial"/>
          <w:sz w:val="19"/>
          <w:szCs w:val="19"/>
          <w:b w:val="1"/>
          <w:bCs w:val="1"/>
          <w:color w:val="auto"/>
        </w:rPr>
        <w:t>Board</w:t>
      </w:r>
      <w:r>
        <w:rPr>
          <w:rFonts w:ascii="Arial" w:cs="Arial" w:eastAsia="Arial" w:hAnsi="Arial"/>
          <w:sz w:val="19"/>
          <w:szCs w:val="19"/>
          <w:color w:val="auto"/>
        </w:rPr>
        <w:t>”)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you will not have earned, and will not be paid, any pro-rated bonus. The Annual Bonus, if earned, shall be paid to you in a lump</w:t>
      </w:r>
    </w:p>
    <w:p>
      <w:pPr>
        <w:sectPr>
          <w:pgSz w:w="11900" w:h="16838" w:orient="portrait"/>
          <w:cols w:equalWidth="0" w:num="1">
            <w:col w:w="11080"/>
          </w:cols>
          <w:pgMar w:left="480" w:top="72" w:right="339" w:bottom="1440" w:gutter="0" w:footer="0" w:header="0"/>
        </w:sectPr>
      </w:pPr>
    </w:p>
    <w:bookmarkStart w:id="50" w:name="page51"/>
    <w:bookmarkEnd w:id="50"/>
    <w:p>
      <w:pPr>
        <w:spacing w:after="0" w:line="204"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sum no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that follows the performance year, subject to applicable payroll deductions and withholdings.</w:t>
      </w:r>
    </w:p>
    <w:p>
      <w:pPr>
        <w:spacing w:after="0" w:line="208"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22"/>
          <w:szCs w:val="22"/>
          <w:b w:val="1"/>
          <w:bCs w:val="1"/>
          <w:color w:val="auto"/>
        </w:rPr>
        <w:t xml:space="preserve">2.3. Sign on Bonus. </w:t>
      </w:r>
      <w:r>
        <w:rPr>
          <w:rFonts w:ascii="Arial" w:cs="Arial" w:eastAsia="Arial" w:hAnsi="Arial"/>
          <w:sz w:val="22"/>
          <w:szCs w:val="22"/>
          <w:color w:val="auto"/>
        </w:rPr>
        <w:t>You will be paid a cash bonus of</w:t>
      </w:r>
      <w:r>
        <w:rPr>
          <w:rFonts w:ascii="Arial" w:cs="Arial" w:eastAsia="Arial" w:hAnsi="Arial"/>
          <w:sz w:val="22"/>
          <w:szCs w:val="22"/>
          <w:b w:val="1"/>
          <w:bCs w:val="1"/>
          <w:color w:val="auto"/>
        </w:rPr>
        <w:t xml:space="preserve"> $300,000. </w:t>
      </w:r>
      <w:r>
        <w:rPr>
          <w:rFonts w:ascii="Arial" w:cs="Arial" w:eastAsia="Arial" w:hAnsi="Arial"/>
          <w:sz w:val="22"/>
          <w:szCs w:val="22"/>
          <w:color w:val="auto"/>
        </w:rPr>
        <w:t>The first installment of 50% of the sign on</w:t>
      </w:r>
      <w:r>
        <w:rPr>
          <w:rFonts w:ascii="Arial" w:cs="Arial" w:eastAsia="Arial" w:hAnsi="Arial"/>
          <w:sz w:val="22"/>
          <w:szCs w:val="22"/>
          <w:b w:val="1"/>
          <w:bCs w:val="1"/>
          <w:color w:val="auto"/>
        </w:rPr>
        <w:t xml:space="preserve"> </w:t>
      </w:r>
      <w:r>
        <w:rPr>
          <w:rFonts w:ascii="Arial" w:cs="Arial" w:eastAsia="Arial" w:hAnsi="Arial"/>
          <w:sz w:val="22"/>
          <w:szCs w:val="22"/>
          <w:color w:val="auto"/>
        </w:rPr>
        <w:t>bonus will be paid out within 60 days of the Effective Date, and the remaining 50% will be paid out 18 months from the Effective Date. Each sign on bonus payment is subject to repayment to the Company if you resign without Good Reason or are terminated for Cause within 12 months of the payment.</w:t>
      </w:r>
    </w:p>
    <w:p>
      <w:pPr>
        <w:spacing w:after="0" w:line="207"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9"/>
          <w:szCs w:val="19"/>
          <w:b w:val="1"/>
          <w:bCs w:val="1"/>
          <w:color w:val="auto"/>
        </w:rPr>
        <w:t>2.4 Equity</w:t>
      </w:r>
      <w:r>
        <w:rPr>
          <w:rFonts w:ascii="Arial" w:cs="Arial" w:eastAsia="Arial" w:hAnsi="Arial"/>
          <w:sz w:val="19"/>
          <w:szCs w:val="19"/>
          <w:color w:val="auto"/>
        </w:rPr>
        <w:t>. Subject to the approval of the Board and you remaining employed by the Company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date, the Company will grant you restricted stock units (“RSUs”) having a grant date value approximately equal to $3,450,000 as soon as administratively practicable following the Effective Date, with the number of RSUs to be determined by the Board in its sole discretion. The RSUs will be granted under and governed by the Company’s 2021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and the Company’s standard restricted stock unit award agreement and grant notice approved by the Board for use under the Plan. Twenty percent (20%) of the RSUs will vest on the Company quarterly vesting date next following the one- year anniversary of the Effective Date, and one-sixteenth (1/16th) of the remaining RSUs will vest on each of the next sixteen (16) Company quarterly vesting dates thereafter, subject to your Continuous Service (as defined in the Plan) on each vesting date. If within twelve (12) months of the Effective Date either your position is eliminated or you are terminated without Cause, then twenty percent (20%) of the granted RSUs identified above will accelerate and vest on your separation date. For clarity, the Board will determine the Company quarterly vesting dates at the time of grant in its sole and absolute discretion. You will be eligible for future equity awards as determined by the Board in its sole discretion.</w:t>
      </w:r>
    </w:p>
    <w:p>
      <w:pPr>
        <w:spacing w:after="0" w:line="200" w:lineRule="exact"/>
        <w:rPr>
          <w:sz w:val="20"/>
          <w:szCs w:val="20"/>
          <w:color w:val="auto"/>
        </w:rPr>
      </w:pPr>
    </w:p>
    <w:p>
      <w:pPr>
        <w:spacing w:after="0" w:line="244" w:lineRule="exact"/>
        <w:rPr>
          <w:sz w:val="20"/>
          <w:szCs w:val="20"/>
          <w:color w:val="auto"/>
        </w:rPr>
      </w:pPr>
    </w:p>
    <w:p>
      <w:pPr>
        <w:jc w:val="both"/>
        <w:ind w:firstLine="7"/>
        <w:spacing w:after="0" w:line="300" w:lineRule="auto"/>
        <w:tabs>
          <w:tab w:leader="none" w:pos="486"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Business Expenses. </w:t>
      </w:r>
      <w:r>
        <w:rPr>
          <w:rFonts w:ascii="Arial" w:cs="Arial" w:eastAsia="Arial" w:hAnsi="Arial"/>
          <w:sz w:val="19"/>
          <w:szCs w:val="19"/>
          <w:color w:val="auto"/>
        </w:rPr>
        <w:t>You will be eligible for reimbursement of all reasonable, necessary and documented out-of-pocket business, entertainment, and travel expenses incurred by you in connection with the performance of your duties hereunder in accordance with the Company's expense reimbursement policies and procedures.</w:t>
      </w:r>
    </w:p>
    <w:p>
      <w:pPr>
        <w:spacing w:after="0" w:line="166" w:lineRule="exact"/>
        <w:rPr>
          <w:rFonts w:ascii="Arial" w:cs="Arial" w:eastAsia="Arial" w:hAnsi="Arial"/>
          <w:sz w:val="19"/>
          <w:szCs w:val="19"/>
          <w:b w:val="1"/>
          <w:bCs w:val="1"/>
          <w:color w:val="auto"/>
        </w:rPr>
      </w:pPr>
    </w:p>
    <w:p>
      <w:pPr>
        <w:jc w:val="both"/>
        <w:ind w:firstLine="7"/>
        <w:spacing w:after="0" w:line="280" w:lineRule="auto"/>
        <w:tabs>
          <w:tab w:leader="none" w:pos="486"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Company Policies; Standard Company Benefits</w:t>
      </w:r>
      <w:r>
        <w:rPr>
          <w:rFonts w:ascii="Arial" w:cs="Arial" w:eastAsia="Arial" w:hAnsi="Arial"/>
          <w:sz w:val="19"/>
          <w:szCs w:val="19"/>
          <w:color w:val="auto"/>
        </w:rPr>
        <w:t>. The employment relationship between the parties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the general employment policies and practices of the Company, except that when the terms of this Agreement differ from or are in conflict with the Company’s general employment policies or practices, this Agreement shall control. You shall remain eligible to participate in all employee benefit programs for which you are eligible under the terms and conditions of the benefit plans that may be in effect from time to time. The Company reserves the right to cancel or change the benefit plans or programs it offers to its employees, including senior management, at any time.</w:t>
      </w:r>
    </w:p>
    <w:p>
      <w:pPr>
        <w:spacing w:after="0" w:line="171" w:lineRule="exact"/>
        <w:rPr>
          <w:rFonts w:ascii="Arial" w:cs="Arial" w:eastAsia="Arial" w:hAnsi="Arial"/>
          <w:sz w:val="19"/>
          <w:szCs w:val="19"/>
          <w:b w:val="1"/>
          <w:bCs w:val="1"/>
          <w:color w:val="auto"/>
        </w:rPr>
      </w:pPr>
    </w:p>
    <w:p>
      <w:pPr>
        <w:jc w:val="both"/>
        <w:ind w:firstLine="7"/>
        <w:spacing w:after="0" w:line="243" w:lineRule="auto"/>
        <w:tabs>
          <w:tab w:leader="none" w:pos="486"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At-Will Employment. </w:t>
      </w:r>
      <w:r>
        <w:rPr>
          <w:rFonts w:ascii="Arial" w:cs="Arial" w:eastAsia="Arial" w:hAnsi="Arial"/>
          <w:sz w:val="22"/>
          <w:szCs w:val="22"/>
          <w:color w:val="auto"/>
        </w:rPr>
        <w:t>Your employment relationship is at-will. Either you or the Company may terminate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relationship at any time, with or without cause or advance notice. Subject to the “Good Reason” provision set forth</w:t>
      </w:r>
    </w:p>
    <w:p>
      <w:pPr>
        <w:sectPr>
          <w:pgSz w:w="11900" w:h="16838" w:orient="portrait"/>
          <w:cols w:equalWidth="0" w:num="1">
            <w:col w:w="10340"/>
          </w:cols>
          <w:pgMar w:left="1120" w:top="1440" w:right="439" w:bottom="1440" w:gutter="0" w:footer="0" w:header="0"/>
        </w:sectPr>
      </w:pPr>
    </w:p>
    <w:bookmarkStart w:id="51" w:name="page52"/>
    <w:bookmarkEnd w:id="51"/>
    <w:p>
      <w:pPr>
        <w:spacing w:after="0" w:line="8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Section 7 and Section 8.3, the Company may, in its sole discretion, adjust salaries, incentive compensation, stock plans, benefits, job titles, locations, duties,</w:t>
      </w:r>
    </w:p>
    <w:p>
      <w:pPr>
        <w:sectPr>
          <w:pgSz w:w="11900" w:h="16838" w:orient="portrait"/>
          <w:cols w:equalWidth="0" w:num="1">
            <w:col w:w="10340"/>
          </w:cols>
          <w:pgMar w:left="1120" w:top="1440" w:right="439" w:bottom="1440" w:gutter="0" w:footer="0" w:header="0"/>
        </w:sectPr>
      </w:pPr>
    </w:p>
    <w:bookmarkStart w:id="52" w:name="page53"/>
    <w:bookmarkEnd w:id="52"/>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responsibilities, and reporting relationships. Upon termination of your employment for any reason, you shall resign from all positions and terminate any relationships as an employee, advisor, officer or director with the Company and any of its affiliates, each effective on the date of termination.</w:t>
      </w:r>
    </w:p>
    <w:p>
      <w:pPr>
        <w:spacing w:after="0" w:line="221" w:lineRule="exact"/>
        <w:rPr>
          <w:sz w:val="20"/>
          <w:szCs w:val="20"/>
          <w:color w:val="auto"/>
        </w:rPr>
      </w:pPr>
    </w:p>
    <w:p>
      <w:pPr>
        <w:jc w:val="both"/>
        <w:ind w:firstLine="7"/>
        <w:spacing w:after="0" w:line="280" w:lineRule="auto"/>
        <w:tabs>
          <w:tab w:leader="none" w:pos="486"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Outside Activities During Employment. </w:t>
      </w:r>
      <w:r>
        <w:rPr>
          <w:rFonts w:ascii="Arial" w:cs="Arial" w:eastAsia="Arial" w:hAnsi="Arial"/>
          <w:sz w:val="19"/>
          <w:szCs w:val="19"/>
          <w:color w:val="auto"/>
        </w:rPr>
        <w:t>Except with the prior written consent of the Board, you will not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of your employment with the 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known to be adverse or antagonistic to the Company, its business or prospects, financial or otherwise.</w:t>
      </w:r>
    </w:p>
    <w:p>
      <w:pPr>
        <w:spacing w:after="0" w:line="185" w:lineRule="exact"/>
        <w:rPr>
          <w:rFonts w:ascii="Arial" w:cs="Arial" w:eastAsia="Arial" w:hAnsi="Arial"/>
          <w:sz w:val="19"/>
          <w:szCs w:val="19"/>
          <w:b w:val="1"/>
          <w:bCs w:val="1"/>
          <w:color w:val="auto"/>
        </w:rPr>
      </w:pPr>
    </w:p>
    <w:p>
      <w:pPr>
        <w:ind w:left="660" w:hanging="654"/>
        <w:spacing w:after="0"/>
        <w:tabs>
          <w:tab w:leader="none" w:pos="6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Severance.</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7.1. Involuntary Termination. </w:t>
      </w:r>
      <w:r>
        <w:rPr>
          <w:rFonts w:ascii="Arial" w:cs="Arial" w:eastAsia="Arial" w:hAnsi="Arial"/>
          <w:sz w:val="22"/>
          <w:szCs w:val="22"/>
          <w:color w:val="auto"/>
        </w:rPr>
        <w:t>If you are subject to an Involuntary Termination and provided that you remain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compliance with the terms of this Agreement (including the conditions described in Section 7.3 below), the Company shall provide you with the following </w:t>
      </w: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17" w:lineRule="exact"/>
        <w:rPr>
          <w:sz w:val="20"/>
          <w:szCs w:val="20"/>
          <w:color w:val="auto"/>
        </w:rPr>
      </w:pPr>
    </w:p>
    <w:p>
      <w:pPr>
        <w:jc w:val="both"/>
        <w:ind w:firstLine="1303"/>
        <w:spacing w:after="0" w:line="249" w:lineRule="auto"/>
        <w:tabs>
          <w:tab w:leader="none" w:pos="1791"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Cash Severance. </w:t>
      </w:r>
      <w:r>
        <w:rPr>
          <w:rFonts w:ascii="Arial" w:cs="Arial" w:eastAsia="Arial" w:hAnsi="Arial"/>
          <w:sz w:val="20"/>
          <w:szCs w:val="20"/>
          <w:color w:val="auto"/>
        </w:rPr>
        <w:t>The Company shall pay you, as severance, the equivalent of 6 months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Severance Period</w:t>
      </w:r>
      <w:r>
        <w:rPr>
          <w:rFonts w:ascii="Arial" w:cs="Arial" w:eastAsia="Arial" w:hAnsi="Arial"/>
          <w:sz w:val="20"/>
          <w:szCs w:val="20"/>
          <w:color w:val="auto"/>
        </w:rPr>
        <w:t>”) of your Base Salary in effect as of the date of your employment termination, subject to standard payroll deductions and withholdings and an amount equal to 6 months of health insurance under COBRA on an after-tax basis (the “</w:t>
      </w:r>
      <w:r>
        <w:rPr>
          <w:rFonts w:ascii="Arial" w:cs="Arial" w:eastAsia="Arial" w:hAnsi="Arial"/>
          <w:sz w:val="20"/>
          <w:szCs w:val="20"/>
          <w:b w:val="1"/>
          <w:bCs w:val="1"/>
          <w:color w:val="auto"/>
        </w:rPr>
        <w:t>Severance</w:t>
      </w:r>
      <w:r>
        <w:rPr>
          <w:rFonts w:ascii="Arial" w:cs="Arial" w:eastAsia="Arial" w:hAnsi="Arial"/>
          <w:sz w:val="20"/>
          <w:szCs w:val="20"/>
          <w:color w:val="auto"/>
        </w:rPr>
        <w:t>”). The Severance will be paid as a continuation on the Company’s regular payroll, beginning no later than the first regularly-scheduled payroll date following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after your Separation from Service, provided the Separation Agreement (as discussed in Section 7.3) has become effective.</w:t>
      </w:r>
    </w:p>
    <w:p>
      <w:pPr>
        <w:spacing w:after="0" w:line="211" w:lineRule="exact"/>
        <w:rPr>
          <w:rFonts w:ascii="Arial" w:cs="Arial" w:eastAsia="Arial" w:hAnsi="Arial"/>
          <w:sz w:val="20"/>
          <w:szCs w:val="20"/>
          <w:b w:val="1"/>
          <w:bCs w:val="1"/>
          <w:color w:val="auto"/>
        </w:rPr>
      </w:pPr>
    </w:p>
    <w:p>
      <w:pPr>
        <w:jc w:val="both"/>
        <w:ind w:firstLine="1303"/>
        <w:spacing w:after="0" w:line="273" w:lineRule="auto"/>
        <w:tabs>
          <w:tab w:leader="none" w:pos="1789"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of Continued Group Health Plan Benefits. </w:t>
      </w:r>
      <w:r>
        <w:rPr>
          <w:rFonts w:ascii="Arial" w:cs="Arial" w:eastAsia="Arial" w:hAnsi="Arial"/>
          <w:sz w:val="19"/>
          <w:szCs w:val="19"/>
          <w:color w:val="auto"/>
        </w:rPr>
        <w:t>If you are eligible for and timely elect</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continued group health plan coverage under the Consolidated Omnibus Budget Reconciliation Act of 1985 or any state law of similar effect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following your Involuntary Termination, the Company will pay your COBRA group health insurance premiums for you and your eligible dependents directly to the insurer until the earliest of (A) the end of the period immediately following your Involuntary Termination that is equal to the Severance Period (the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 Period</w:t>
      </w:r>
      <w:r>
        <w:rPr>
          <w:rFonts w:ascii="Arial" w:cs="Arial" w:eastAsia="Arial" w:hAnsi="Arial"/>
          <w:sz w:val="19"/>
          <w:szCs w:val="19"/>
          <w:color w:val="auto"/>
        </w:rPr>
        <w:t>”), (B) the expiration of your eligibility for continuation coverage under COBRA, or (C) the date when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 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w:t>
      </w:r>
    </w:p>
    <w:p>
      <w:pPr>
        <w:sectPr>
          <w:pgSz w:w="11900" w:h="16838" w:orient="portrait"/>
          <w:cols w:equalWidth="0" w:num="1">
            <w:col w:w="10340"/>
          </w:cols>
          <w:pgMar w:left="1120" w:top="1440" w:right="439" w:bottom="1440" w:gutter="0" w:footer="0" w:header="0"/>
        </w:sectPr>
      </w:pPr>
    </w:p>
    <w:bookmarkStart w:id="53" w:name="page54"/>
    <w:bookmarkEnd w:id="53"/>
    <w:p>
      <w:pPr>
        <w:spacing w:after="0" w:line="204" w:lineRule="exact"/>
        <w:rPr>
          <w:sz w:val="20"/>
          <w:szCs w:val="20"/>
          <w:color w:val="auto"/>
        </w:rPr>
      </w:pPr>
    </w:p>
    <w:p>
      <w:pPr>
        <w:jc w:val="both"/>
        <w:ind w:left="140"/>
        <w:spacing w:after="0" w:line="272" w:lineRule="auto"/>
        <w:rPr>
          <w:sz w:val="20"/>
          <w:szCs w:val="20"/>
          <w:color w:val="auto"/>
        </w:rPr>
      </w:pPr>
      <w:r>
        <w:rPr>
          <w:rFonts w:ascii="Arial" w:cs="Arial" w:eastAsia="Arial" w:hAnsi="Arial"/>
          <w:sz w:val="19"/>
          <w:szCs w:val="19"/>
          <w:color w:val="auto"/>
        </w:rPr>
        <w:t>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Arial" w:cs="Arial" w:eastAsia="Arial" w:hAnsi="Arial"/>
          <w:sz w:val="19"/>
          <w:szCs w:val="19"/>
          <w:b w:val="1"/>
          <w:bCs w:val="1"/>
          <w:i w:val="1"/>
          <w:iCs w:val="1"/>
          <w:color w:val="auto"/>
        </w:rPr>
        <w:t>Special Severance Payment</w:t>
      </w:r>
      <w:r>
        <w:rPr>
          <w:rFonts w:ascii="Arial" w:cs="Arial" w:eastAsia="Arial" w:hAnsi="Arial"/>
          <w:sz w:val="19"/>
          <w:szCs w:val="19"/>
          <w:color w:val="auto"/>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7.2. Termination for Cause; Resignation Without Good Reason; Death or Disability. </w:t>
      </w:r>
      <w:r>
        <w:rPr>
          <w:rFonts w:ascii="Arial" w:cs="Arial" w:eastAsia="Arial" w:hAnsi="Arial"/>
          <w:sz w:val="22"/>
          <w:szCs w:val="22"/>
          <w:color w:val="auto"/>
        </w:rPr>
        <w:t>If you resign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spacing w:after="0" w:line="20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7.3. Conditions to Receipt of Severance Benefits. </w:t>
      </w:r>
      <w:r>
        <w:rPr>
          <w:rFonts w:ascii="Arial" w:cs="Arial" w:eastAsia="Arial" w:hAnsi="Arial"/>
          <w:sz w:val="19"/>
          <w:szCs w:val="19"/>
          <w:color w:val="auto"/>
        </w:rPr>
        <w:t>The receipt of the Severance Benefits will be subject to you</w:t>
      </w:r>
      <w:r>
        <w:rPr>
          <w:rFonts w:ascii="Arial" w:cs="Arial" w:eastAsia="Arial" w:hAnsi="Arial"/>
          <w:sz w:val="19"/>
          <w:szCs w:val="19"/>
          <w:b w:val="1"/>
          <w:bCs w:val="1"/>
          <w:color w:val="auto"/>
        </w:rPr>
        <w:t xml:space="preserve"> </w:t>
      </w:r>
      <w:r>
        <w:rPr>
          <w:rFonts w:ascii="Arial" w:cs="Arial" w:eastAsia="Arial" w:hAnsi="Arial"/>
          <w:sz w:val="19"/>
          <w:szCs w:val="19"/>
          <w:color w:val="auto"/>
        </w:rPr>
        <w:t>signing and not revoking a separation agreement and release of claims in a form reasonably satisfactory to the Company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by no later than the sixtieth (60th) day after your employment termination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w:t>
      </w:r>
      <w:r>
        <w:rPr>
          <w:rFonts w:ascii="Arial" w:cs="Arial" w:eastAsia="Arial" w:hAnsi="Arial"/>
          <w:sz w:val="19"/>
          <w:szCs w:val="19"/>
          <w:b w:val="1"/>
          <w:bCs w:val="1"/>
          <w:color w:val="auto"/>
        </w:rPr>
        <w:t>Deadline</w:t>
      </w:r>
      <w:r>
        <w:rPr>
          <w:rFonts w:ascii="Arial" w:cs="Arial" w:eastAsia="Arial" w:hAnsi="Arial"/>
          <w:sz w:val="19"/>
          <w:szCs w:val="19"/>
          <w:color w:val="auto"/>
        </w:rPr>
        <w:t>”). No Severance Benefits will be paid or provided until the Separation Agreement becomes effective. You</w:t>
      </w:r>
      <w:r>
        <w:rPr>
          <w:rFonts w:ascii="Arial" w:cs="Arial" w:eastAsia="Arial" w:hAnsi="Arial"/>
          <w:sz w:val="19"/>
          <w:szCs w:val="19"/>
          <w:b w:val="1"/>
          <w:bCs w:val="1"/>
          <w:color w:val="auto"/>
        </w:rPr>
        <w:t xml:space="preserve"> </w:t>
      </w:r>
      <w:r>
        <w:rPr>
          <w:rFonts w:ascii="Arial" w:cs="Arial" w:eastAsia="Arial" w:hAnsi="Arial"/>
          <w:sz w:val="19"/>
          <w:szCs w:val="19"/>
          <w:color w:val="auto"/>
        </w:rPr>
        <w:t>shall also resign from all positions and terminate any relationships as an employee, advisor, officer or director with the Company and any of its affiliates, each effective on the date of termination.</w:t>
      </w:r>
    </w:p>
    <w:p>
      <w:pPr>
        <w:spacing w:after="0" w:line="185" w:lineRule="exact"/>
        <w:rPr>
          <w:sz w:val="20"/>
          <w:szCs w:val="20"/>
          <w:color w:val="auto"/>
        </w:rPr>
      </w:pPr>
    </w:p>
    <w:p>
      <w:pPr>
        <w:ind w:left="800" w:hanging="654"/>
        <w:spacing w:after="0"/>
        <w:tabs>
          <w:tab w:leader="none" w:pos="80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47" w:lineRule="exact"/>
        <w:rPr>
          <w:sz w:val="20"/>
          <w:szCs w:val="20"/>
          <w:color w:val="auto"/>
        </w:rPr>
      </w:pPr>
    </w:p>
    <w:p>
      <w:pPr>
        <w:jc w:val="both"/>
        <w:ind w:left="140" w:firstLine="648"/>
        <w:spacing w:after="0" w:line="249" w:lineRule="auto"/>
        <w:rPr>
          <w:sz w:val="20"/>
          <w:szCs w:val="20"/>
          <w:color w:val="auto"/>
        </w:rPr>
      </w:pPr>
      <w:r>
        <w:rPr>
          <w:rFonts w:ascii="Arial" w:cs="Arial" w:eastAsia="Arial" w:hAnsi="Arial"/>
          <w:sz w:val="21"/>
          <w:szCs w:val="21"/>
          <w:b w:val="1"/>
          <w:bCs w:val="1"/>
          <w:color w:val="auto"/>
        </w:rPr>
        <w:t xml:space="preserve">8.1. Cause. </w:t>
      </w:r>
      <w:r>
        <w:rPr>
          <w:rFonts w:ascii="Arial" w:cs="Arial" w:eastAsia="Arial" w:hAnsi="Arial"/>
          <w:sz w:val="21"/>
          <w:szCs w:val="21"/>
          <w:color w:val="auto"/>
        </w:rPr>
        <w:t>For purposes of this Agreement, “</w:t>
      </w:r>
      <w:r>
        <w:rPr>
          <w:rFonts w:ascii="Arial" w:cs="Arial" w:eastAsia="Arial" w:hAnsi="Arial"/>
          <w:sz w:val="21"/>
          <w:szCs w:val="21"/>
          <w:b w:val="1"/>
          <w:bCs w:val="1"/>
          <w:color w:val="auto"/>
        </w:rPr>
        <w:t>Cause</w:t>
      </w:r>
      <w:r>
        <w:rPr>
          <w:rFonts w:ascii="Arial" w:cs="Arial" w:eastAsia="Arial" w:hAnsi="Arial"/>
          <w:sz w:val="21"/>
          <w:szCs w:val="21"/>
          <w:color w:val="auto"/>
        </w:rPr>
        <w:t>” means any one of the following: (a) willful material</w:t>
      </w:r>
      <w:r>
        <w:rPr>
          <w:rFonts w:ascii="Arial" w:cs="Arial" w:eastAsia="Arial" w:hAnsi="Arial"/>
          <w:sz w:val="21"/>
          <w:szCs w:val="21"/>
          <w:b w:val="1"/>
          <w:bCs w:val="1"/>
          <w:color w:val="auto"/>
        </w:rPr>
        <w:t xml:space="preserve"> </w:t>
      </w:r>
      <w:r>
        <w:rPr>
          <w:rFonts w:ascii="Arial" w:cs="Arial" w:eastAsia="Arial" w:hAnsi="Arial"/>
          <w:sz w:val="21"/>
          <w:szCs w:val="21"/>
          <w:color w:val="auto"/>
        </w:rPr>
        <w:t>breach by you of any material Company policy (including, but not limited to, the Company’s policies on nondiscrimination, anti- harassment, and confidential information) or your duties or obligations hereunder;</w:t>
      </w:r>
    </w:p>
    <w:p>
      <w:pPr>
        <w:spacing w:after="0" w:line="1" w:lineRule="exact"/>
        <w:rPr>
          <w:sz w:val="20"/>
          <w:szCs w:val="20"/>
          <w:color w:val="auto"/>
        </w:rPr>
      </w:pPr>
    </w:p>
    <w:p>
      <w:pPr>
        <w:jc w:val="both"/>
        <w:ind w:left="140" w:firstLine="7"/>
        <w:spacing w:after="0" w:line="244" w:lineRule="auto"/>
        <w:tabs>
          <w:tab w:leader="none" w:pos="450" w:val="left"/>
        </w:tabs>
        <w:numPr>
          <w:ilvl w:val="0"/>
          <w:numId w:val="33"/>
        </w:numPr>
        <w:rPr>
          <w:rFonts w:ascii="Arial" w:cs="Arial" w:eastAsia="Arial" w:hAnsi="Arial"/>
          <w:sz w:val="21"/>
          <w:szCs w:val="21"/>
          <w:color w:val="auto"/>
        </w:rPr>
      </w:pPr>
      <w:r>
        <w:rPr>
          <w:rFonts w:ascii="Arial" w:cs="Arial" w:eastAsia="Arial" w:hAnsi="Arial"/>
          <w:sz w:val="21"/>
          <w:szCs w:val="21"/>
          <w:color w:val="auto"/>
        </w:rPr>
        <w:t>your willful engagement in conduct materially injurious to the Company, monetarily or otherwise; (c) acts of fraud, theft or other willful illegal acts calling into question your personal integrity, or conviction on a felony charge, whether or not related to your employment hereunder; or (d) your willful refusal to follow lawful instructions of the Board.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w:t>
      </w:r>
    </w:p>
    <w:p>
      <w:pPr>
        <w:sectPr>
          <w:pgSz w:w="11900" w:h="16838" w:orient="portrait"/>
          <w:cols w:equalWidth="0" w:num="1">
            <w:col w:w="10480"/>
          </w:cols>
          <w:pgMar w:left="980" w:top="1440" w:right="439" w:bottom="1440" w:gutter="0" w:footer="0" w:header="0"/>
        </w:sectPr>
      </w:pPr>
    </w:p>
    <w:bookmarkStart w:id="54" w:name="page55"/>
    <w:bookmarkEnd w:id="54"/>
    <w:p>
      <w:pPr>
        <w:spacing w:after="0" w:line="204" w:lineRule="exact"/>
        <w:rPr>
          <w:sz w:val="20"/>
          <w:szCs w:val="20"/>
          <w:color w:val="auto"/>
        </w:rPr>
      </w:pPr>
    </w:p>
    <w:p>
      <w:pPr>
        <w:jc w:val="both"/>
        <w:ind w:left="140"/>
        <w:spacing w:after="0"/>
        <w:rPr>
          <w:sz w:val="20"/>
          <w:szCs w:val="20"/>
          <w:color w:val="auto"/>
        </w:rPr>
      </w:pPr>
      <w:r>
        <w:rPr>
          <w:rFonts w:ascii="Arial" w:cs="Arial" w:eastAsia="Arial" w:hAnsi="Arial"/>
          <w:sz w:val="22"/>
          <w:szCs w:val="22"/>
          <w:color w:val="auto"/>
        </w:rPr>
        <w:t>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8.2. Code. </w:t>
      </w:r>
      <w:r>
        <w:rPr>
          <w:rFonts w:ascii="Arial" w:cs="Arial" w:eastAsia="Arial" w:hAnsi="Arial"/>
          <w:sz w:val="22"/>
          <w:szCs w:val="22"/>
          <w:color w:val="auto"/>
        </w:rPr>
        <w:t>For purposes of this Agreement,</w:t>
      </w:r>
      <w:r>
        <w:rPr>
          <w:rFonts w:ascii="Arial" w:cs="Arial" w:eastAsia="Arial" w:hAnsi="Arial"/>
          <w:sz w:val="22"/>
          <w:szCs w:val="22"/>
          <w:b w:val="1"/>
          <w:bCs w:val="1"/>
          <w:color w:val="auto"/>
        </w:rPr>
        <w:t xml:space="preserve"> “Code” </w:t>
      </w:r>
      <w:r>
        <w:rPr>
          <w:rFonts w:ascii="Arial" w:cs="Arial" w:eastAsia="Arial" w:hAnsi="Arial"/>
          <w:sz w:val="22"/>
          <w:szCs w:val="22"/>
          <w:color w:val="auto"/>
        </w:rPr>
        <w:t>means the U.S. Internal Revenue Code of 1986 (as it has</w:t>
      </w:r>
      <w:r>
        <w:rPr>
          <w:rFonts w:ascii="Arial" w:cs="Arial" w:eastAsia="Arial" w:hAnsi="Arial"/>
          <w:sz w:val="22"/>
          <w:szCs w:val="22"/>
          <w:b w:val="1"/>
          <w:bCs w:val="1"/>
          <w:color w:val="auto"/>
        </w:rPr>
        <w:t xml:space="preserve"> </w:t>
      </w:r>
      <w:r>
        <w:rPr>
          <w:rFonts w:ascii="Arial" w:cs="Arial" w:eastAsia="Arial" w:hAnsi="Arial"/>
          <w:sz w:val="22"/>
          <w:szCs w:val="22"/>
          <w:color w:val="auto"/>
        </w:rPr>
        <w:t>been and may be amended from time to time) and any regulations and guidance that has been promulgated or may be promulgated from time to time thereunder and any state law of similar effect.</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8.3. Good Reason. </w:t>
      </w:r>
      <w:r>
        <w:rPr>
          <w:rFonts w:ascii="Arial" w:cs="Arial" w:eastAsia="Arial" w:hAnsi="Arial"/>
          <w:sz w:val="19"/>
          <w:szCs w:val="19"/>
          <w:color w:val="auto"/>
        </w:rPr>
        <w:t>For purposes of this Agreement, “Good Reason” means any one of the following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your consent: (a) an assignment of duties or responsibilities (including reporting responsibilities) materially inconsistent with, or which materially reduce, your duties, authority, responsibilities and status with the Company; (b) an adverse change in your title; (c) any material reduction in your Base Salary, other than a reduction, generally applicable to other executives of the Company,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 for Good Reason, you must provide written notice to the Company’s Board within thirty (30) days after the first occurrence of the event giving rise to Good Reason setting forth the basis for your resignation, allow the Company thirty (30) days from receipt of such written notice to cure such event, and if such event is not reasonably cured within such period, you must resign from all positions you then hold with the Company not later than thirty (30) days after the expiration of the cure period.</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8.4. </w:t>
      </w:r>
      <w:r>
        <w:rPr>
          <w:rFonts w:ascii="Arial" w:cs="Arial" w:eastAsia="Arial" w:hAnsi="Arial"/>
          <w:sz w:val="22"/>
          <w:szCs w:val="22"/>
          <w:color w:val="auto"/>
        </w:rPr>
        <w:t>I</w:t>
      </w:r>
      <w:r>
        <w:rPr>
          <w:rFonts w:ascii="Arial" w:cs="Arial" w:eastAsia="Arial" w:hAnsi="Arial"/>
          <w:sz w:val="22"/>
          <w:szCs w:val="22"/>
          <w:b w:val="1"/>
          <w:bCs w:val="1"/>
          <w:color w:val="auto"/>
        </w:rPr>
        <w:t xml:space="preserve">nvoluntary Termination. </w:t>
      </w:r>
      <w:r>
        <w:rPr>
          <w:rFonts w:ascii="Arial" w:cs="Arial" w:eastAsia="Arial" w:hAnsi="Arial"/>
          <w:sz w:val="22"/>
          <w:szCs w:val="22"/>
          <w:color w:val="auto"/>
        </w:rPr>
        <w:t>For purposes of this Agreement, “</w:t>
      </w:r>
      <w:r>
        <w:rPr>
          <w:rFonts w:ascii="Arial" w:cs="Arial" w:eastAsia="Arial" w:hAnsi="Arial"/>
          <w:sz w:val="22"/>
          <w:szCs w:val="22"/>
          <w:b w:val="1"/>
          <w:bCs w:val="1"/>
          <w:color w:val="auto"/>
        </w:rPr>
        <w:t>Involuntary Termination</w:t>
      </w:r>
      <w:r>
        <w:rPr>
          <w:rFonts w:ascii="Arial" w:cs="Arial" w:eastAsia="Arial" w:hAnsi="Arial"/>
          <w:sz w:val="22"/>
          <w:szCs w:val="22"/>
          <w:color w:val="auto"/>
        </w:rPr>
        <w:t>” means a</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8.5. Separation from Service. </w:t>
      </w:r>
      <w:r>
        <w:rPr>
          <w:rFonts w:ascii="Arial" w:cs="Arial" w:eastAsia="Arial" w:hAnsi="Arial"/>
          <w:sz w:val="22"/>
          <w:szCs w:val="22"/>
          <w:color w:val="auto"/>
        </w:rPr>
        <w:t>For purposes of this Agreement, “Separation from Service” means a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service”, as defined under Treasury Regulation Section 1.409A-1(h).</w:t>
      </w:r>
    </w:p>
    <w:p>
      <w:pPr>
        <w:spacing w:after="0" w:line="203" w:lineRule="exact"/>
        <w:rPr>
          <w:sz w:val="20"/>
          <w:szCs w:val="20"/>
          <w:color w:val="auto"/>
        </w:rPr>
      </w:pPr>
    </w:p>
    <w:p>
      <w:pPr>
        <w:jc w:val="both"/>
        <w:ind w:left="140" w:firstLine="7"/>
        <w:spacing w:after="0" w:line="247" w:lineRule="auto"/>
        <w:tabs>
          <w:tab w:leader="none" w:pos="626"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Proprietary Information Obligations. </w:t>
      </w:r>
      <w:r>
        <w:rPr>
          <w:rFonts w:ascii="Arial" w:cs="Arial" w:eastAsia="Arial" w:hAnsi="Arial"/>
          <w:sz w:val="21"/>
          <w:szCs w:val="21"/>
          <w:color w:val="auto"/>
        </w:rPr>
        <w:t>As a condition of your continued employment, you shall execute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abide by the Company’s standard form of Employee Confidential Information and Invention Assignment Agreement, attached as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w:t>
      </w:r>
    </w:p>
    <w:p>
      <w:pPr>
        <w:sectPr>
          <w:pgSz w:w="11900" w:h="16838" w:orient="portrait"/>
          <w:cols w:equalWidth="0" w:num="1">
            <w:col w:w="10480"/>
          </w:cols>
          <w:pgMar w:left="980" w:top="1440" w:right="439" w:bottom="1440" w:gutter="0" w:footer="0" w:header="0"/>
        </w:sectPr>
      </w:pPr>
    </w:p>
    <w:bookmarkStart w:id="55" w:name="page56"/>
    <w:bookmarkEnd w:id="55"/>
    <w:p>
      <w:pPr>
        <w:spacing w:after="0" w:line="204" w:lineRule="exact"/>
        <w:rPr>
          <w:sz w:val="20"/>
          <w:szCs w:val="20"/>
          <w:color w:val="auto"/>
        </w:rPr>
      </w:pPr>
    </w:p>
    <w:p>
      <w:pPr>
        <w:jc w:val="both"/>
        <w:ind w:left="642"/>
        <w:spacing w:after="0" w:line="238" w:lineRule="auto"/>
        <w:rPr>
          <w:sz w:val="20"/>
          <w:szCs w:val="20"/>
          <w:color w:val="auto"/>
        </w:rPr>
      </w:pPr>
      <w:r>
        <w:rPr>
          <w:rFonts w:ascii="Arial" w:cs="Arial" w:eastAsia="Arial" w:hAnsi="Arial"/>
          <w:sz w:val="22"/>
          <w:szCs w:val="22"/>
          <w:color w:val="auto"/>
        </w:rPr>
        <w:t>otherwise provided or developed by the Company. You acknowledge that you have not brought onto Company premises any unpublished documents or property belonging to any former employer or other person to whom you have an obligation of confidentiality and have disclosed to the Company any contract you have signed that may restrict your activities on behalf of the Company.</w:t>
      </w:r>
    </w:p>
    <w:p>
      <w:pPr>
        <w:spacing w:after="0" w:line="206" w:lineRule="exact"/>
        <w:rPr>
          <w:sz w:val="20"/>
          <w:szCs w:val="20"/>
          <w:color w:val="auto"/>
        </w:rPr>
      </w:pPr>
    </w:p>
    <w:p>
      <w:pPr>
        <w:jc w:val="both"/>
        <w:ind w:left="642" w:firstLine="7"/>
        <w:spacing w:after="0" w:line="269" w:lineRule="auto"/>
        <w:tabs>
          <w:tab w:leader="none" w:pos="1128" w:val="left"/>
        </w:tabs>
        <w:numPr>
          <w:ilvl w:val="1"/>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w:t>
      </w:r>
    </w:p>
    <w:p>
      <w:pPr>
        <w:spacing w:after="0" w:line="200" w:lineRule="exact"/>
        <w:rPr>
          <w:rFonts w:ascii="Arial" w:cs="Arial" w:eastAsia="Arial" w:hAnsi="Arial"/>
          <w:sz w:val="19"/>
          <w:szCs w:val="19"/>
          <w:b w:val="1"/>
          <w:bCs w:val="1"/>
          <w:color w:val="auto"/>
        </w:rPr>
      </w:pPr>
    </w:p>
    <w:p>
      <w:pPr>
        <w:spacing w:after="0" w:line="242" w:lineRule="exact"/>
        <w:rPr>
          <w:rFonts w:ascii="Arial" w:cs="Arial" w:eastAsia="Arial" w:hAnsi="Arial"/>
          <w:sz w:val="19"/>
          <w:szCs w:val="19"/>
          <w:b w:val="1"/>
          <w:bCs w:val="1"/>
          <w:color w:val="auto"/>
        </w:rPr>
      </w:pPr>
    </w:p>
    <w:p>
      <w:pPr>
        <w:ind w:left="642" w:hanging="642"/>
        <w:spacing w:after="0"/>
        <w:tabs>
          <w:tab w:leader="none" w:pos="642"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Arbitration of All Disputes.</w:t>
      </w:r>
    </w:p>
    <w:p>
      <w:pPr>
        <w:spacing w:after="0" w:line="247" w:lineRule="exact"/>
        <w:rPr>
          <w:sz w:val="20"/>
          <w:szCs w:val="20"/>
          <w:color w:val="auto"/>
        </w:rPr>
      </w:pPr>
    </w:p>
    <w:p>
      <w:pPr>
        <w:jc w:val="both"/>
        <w:ind w:left="642" w:firstLine="648"/>
        <w:spacing w:after="0" w:line="238" w:lineRule="auto"/>
        <w:rPr>
          <w:sz w:val="20"/>
          <w:szCs w:val="20"/>
          <w:color w:val="auto"/>
        </w:rPr>
      </w:pPr>
      <w:r>
        <w:rPr>
          <w:rFonts w:ascii="Arial" w:cs="Arial" w:eastAsia="Arial" w:hAnsi="Arial"/>
          <w:sz w:val="22"/>
          <w:szCs w:val="22"/>
          <w:b w:val="1"/>
          <w:bCs w:val="1"/>
          <w:color w:val="auto"/>
        </w:rPr>
        <w:t>11.1. Agreement to Arbitrate</w:t>
      </w:r>
      <w:r>
        <w:rPr>
          <w:rFonts w:ascii="Arial" w:cs="Arial" w:eastAsia="Arial" w:hAnsi="Arial"/>
          <w:sz w:val="22"/>
          <w:szCs w:val="22"/>
          <w:color w:val="auto"/>
        </w:rPr>
        <w:t>. To ensure the timely and economical resolution of disputes that may arise</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both you and the Company mutually agree that pursuant to the Federal Arbitration Act, 9 U.S.C.</w:t>
      </w:r>
    </w:p>
    <w:p>
      <w:pPr>
        <w:jc w:val="both"/>
        <w:ind w:left="642"/>
        <w:spacing w:after="0" w:line="234" w:lineRule="auto"/>
        <w:rPr>
          <w:sz w:val="20"/>
          <w:szCs w:val="20"/>
          <w:color w:val="auto"/>
        </w:rPr>
      </w:pPr>
      <w:r>
        <w:rPr>
          <w:rFonts w:ascii="Arial" w:cs="Arial" w:eastAsia="Arial" w:hAnsi="Arial"/>
          <w:sz w:val="22"/>
          <w:szCs w:val="22"/>
          <w:color w:val="auto"/>
        </w:rPr>
        <w:t xml:space="preserve">§1-16, and to the fullest extent permitted by applicable law, you and the Company will submit solely to final, binding and confidential arbitration any and all disputes, claims, or causes of action arising from or relating to: </w:t>
      </w:r>
      <w:r>
        <w:rPr>
          <w:rFonts w:ascii="Arial" w:cs="Arial" w:eastAsia="Arial" w:hAnsi="Arial"/>
          <w:sz w:val="22"/>
          <w:szCs w:val="22"/>
          <w:b w:val="1"/>
          <w:bCs w:val="1"/>
          <w:color w:val="auto"/>
        </w:rPr>
        <w:t>(i)</w:t>
      </w:r>
      <w:r>
        <w:rPr>
          <w:rFonts w:ascii="Arial" w:cs="Arial" w:eastAsia="Arial" w:hAnsi="Arial"/>
          <w:sz w:val="22"/>
          <w:szCs w:val="22"/>
          <w:color w:val="auto"/>
        </w:rPr>
        <w:t xml:space="preserve"> the negotiation, execution,</w:t>
      </w:r>
    </w:p>
    <w:p>
      <w:pPr>
        <w:sectPr>
          <w:pgSz w:w="11900" w:h="16838" w:orient="portrait"/>
          <w:cols w:equalWidth="0" w:num="1">
            <w:col w:w="10982"/>
          </w:cols>
          <w:pgMar w:left="478" w:top="1440" w:right="439" w:bottom="1440" w:gutter="0" w:footer="0" w:header="0"/>
        </w:sectPr>
      </w:pPr>
    </w:p>
    <w:bookmarkStart w:id="56" w:name="page57"/>
    <w:bookmarkEnd w:id="56"/>
    <w:p>
      <w:pPr>
        <w:spacing w:after="0" w:line="198" w:lineRule="exact"/>
        <w:rPr>
          <w:sz w:val="20"/>
          <w:szCs w:val="20"/>
          <w:color w:val="auto"/>
        </w:rPr>
      </w:pPr>
    </w:p>
    <w:p>
      <w:pPr>
        <w:jc w:val="both"/>
        <w:ind w:left="140"/>
        <w:spacing w:after="0" w:line="275" w:lineRule="auto"/>
        <w:rPr>
          <w:sz w:val="20"/>
          <w:szCs w:val="20"/>
          <w:color w:val="auto"/>
        </w:rPr>
      </w:pPr>
      <w:r>
        <w:rPr>
          <w:rFonts w:ascii="Arial" w:cs="Arial" w:eastAsia="Arial" w:hAnsi="Arial"/>
          <w:sz w:val="19"/>
          <w:szCs w:val="19"/>
          <w:color w:val="auto"/>
        </w:rPr>
        <w:t xml:space="preserve">interpretation, performance, breach or enforcement of this Agreement; or </w:t>
      </w:r>
      <w:r>
        <w:rPr>
          <w:rFonts w:ascii="Arial" w:cs="Arial" w:eastAsia="Arial" w:hAnsi="Arial"/>
          <w:sz w:val="19"/>
          <w:szCs w:val="19"/>
          <w:b w:val="1"/>
          <w:bCs w:val="1"/>
          <w:color w:val="auto"/>
        </w:rPr>
        <w:t>(ii)</w:t>
      </w:r>
      <w:r>
        <w:rPr>
          <w:rFonts w:ascii="Arial" w:cs="Arial" w:eastAsia="Arial" w:hAnsi="Arial"/>
          <w:sz w:val="19"/>
          <w:szCs w:val="19"/>
          <w:color w:val="auto"/>
        </w:rPr>
        <w:t xml:space="preserve"> your application, hiring, and employment with the Company (including but not limited to all statutory claims); or </w:t>
      </w:r>
      <w:r>
        <w:rPr>
          <w:rFonts w:ascii="Arial" w:cs="Arial" w:eastAsia="Arial" w:hAnsi="Arial"/>
          <w:sz w:val="19"/>
          <w:szCs w:val="19"/>
          <w:b w:val="1"/>
          <w:bCs w:val="1"/>
          <w:color w:val="auto"/>
        </w:rPr>
        <w:t>(iii)</w:t>
      </w:r>
      <w:r>
        <w:rPr>
          <w:rFonts w:ascii="Arial" w:cs="Arial" w:eastAsia="Arial" w:hAnsi="Arial"/>
          <w:sz w:val="19"/>
          <w:szCs w:val="19"/>
          <w:color w:val="auto"/>
        </w:rPr>
        <w:t xml:space="preserve"> the termination of your employment with the Company (including but not limited to all statutory claims). </w:t>
      </w:r>
      <w:r>
        <w:rPr>
          <w:rFonts w:ascii="Arial" w:cs="Arial" w:eastAsia="Arial" w:hAnsi="Arial"/>
          <w:sz w:val="19"/>
          <w:szCs w:val="19"/>
          <w:b w:val="1"/>
          <w:bCs w:val="1"/>
          <w:color w:val="auto"/>
        </w:rPr>
        <w:t>BY AGREEING TO THIS ARBITRATION</w:t>
      </w:r>
    </w:p>
    <w:p>
      <w:pPr>
        <w:spacing w:after="0" w:line="2" w:lineRule="exact"/>
        <w:rPr>
          <w:sz w:val="20"/>
          <w:szCs w:val="20"/>
          <w:color w:val="auto"/>
        </w:rPr>
      </w:pPr>
    </w:p>
    <w:p>
      <w:pPr>
        <w:jc w:val="both"/>
        <w:ind w:left="140"/>
        <w:spacing w:after="0" w:line="234" w:lineRule="auto"/>
        <w:rPr>
          <w:sz w:val="20"/>
          <w:szCs w:val="20"/>
          <w:color w:val="auto"/>
        </w:rPr>
      </w:pPr>
      <w:r>
        <w:rPr>
          <w:rFonts w:ascii="Arial" w:cs="Arial" w:eastAsia="Arial" w:hAnsi="Arial"/>
          <w:sz w:val="22"/>
          <w:szCs w:val="22"/>
          <w:b w:val="1"/>
          <w:bCs w:val="1"/>
          <w:color w:val="auto"/>
        </w:rPr>
        <w:t>PROCEDURE, BOTH YOU AND THE COMPANY WAIVE THE RIGHT TO RESOLVE ANY SUCH DISPUTES THROUGH A TRIAL BY JURY OR JUDGE OR THROUGH AN ADMINISTRATIVE PROCEEDING.</w:t>
      </w:r>
    </w:p>
    <w:p>
      <w:pPr>
        <w:spacing w:after="0" w:line="20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11.2. Arbitrator Authority</w:t>
      </w:r>
      <w:r>
        <w:rPr>
          <w:rFonts w:ascii="Arial" w:cs="Arial" w:eastAsia="Arial" w:hAnsi="Arial"/>
          <w:sz w:val="19"/>
          <w:szCs w:val="19"/>
          <w:color w:val="auto"/>
        </w:rPr>
        <w:t>. The arbitrator shall have the sole and exclusive authority to determine whether a</w:t>
      </w:r>
      <w:r>
        <w:rPr>
          <w:rFonts w:ascii="Arial" w:cs="Arial" w:eastAsia="Arial" w:hAnsi="Arial"/>
          <w:sz w:val="19"/>
          <w:szCs w:val="19"/>
          <w:b w:val="1"/>
          <w:bCs w:val="1"/>
          <w:color w:val="auto"/>
        </w:rPr>
        <w:t xml:space="preserve"> </w:t>
      </w:r>
      <w:r>
        <w:rPr>
          <w:rFonts w:ascii="Arial" w:cs="Arial" w:eastAsia="Arial" w:hAnsi="Arial"/>
          <w:sz w:val="19"/>
          <w:szCs w:val="19"/>
          <w:color w:val="auto"/>
        </w:rPr>
        <w:t>dispute, claim or cause of action is subject to arbitration under this Section and to determine any procedural questions which grow out of such disputes, claims or causes of action and bear on their final disposition.</w:t>
      </w:r>
    </w:p>
    <w:p>
      <w:pPr>
        <w:spacing w:after="0" w:line="166" w:lineRule="exact"/>
        <w:rPr>
          <w:sz w:val="20"/>
          <w:szCs w:val="20"/>
          <w:color w:val="auto"/>
        </w:rPr>
      </w:pPr>
    </w:p>
    <w:p>
      <w:pPr>
        <w:jc w:val="both"/>
        <w:ind w:left="140" w:firstLine="486"/>
        <w:spacing w:after="0" w:line="247" w:lineRule="auto"/>
        <w:rPr>
          <w:sz w:val="20"/>
          <w:szCs w:val="20"/>
          <w:color w:val="auto"/>
        </w:rPr>
      </w:pPr>
      <w:r>
        <w:rPr>
          <w:rFonts w:ascii="Arial" w:cs="Arial" w:eastAsia="Arial" w:hAnsi="Arial"/>
          <w:sz w:val="21"/>
          <w:szCs w:val="21"/>
          <w:b w:val="1"/>
          <w:bCs w:val="1"/>
          <w:color w:val="auto"/>
        </w:rPr>
        <w:t>11.3. Individual Capacity Only</w:t>
      </w:r>
      <w:r>
        <w:rPr>
          <w:rFonts w:ascii="Arial" w:cs="Arial" w:eastAsia="Arial" w:hAnsi="Arial"/>
          <w:sz w:val="21"/>
          <w:szCs w:val="21"/>
          <w:color w:val="auto"/>
        </w:rPr>
        <w:t>. All claims, disputes, or causes of action under this Section, whether by you or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w:t>
      </w:r>
    </w:p>
    <w:p>
      <w:pPr>
        <w:spacing w:after="0" w:line="2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11.4. Arbitration Process</w:t>
      </w:r>
      <w:r>
        <w:rPr>
          <w:rFonts w:ascii="Arial" w:cs="Arial" w:eastAsia="Arial" w:hAnsi="Arial"/>
          <w:sz w:val="19"/>
          <w:szCs w:val="19"/>
          <w:color w:val="auto"/>
        </w:rPr>
        <w:t>. Any arbitration proceeding under this Section shall be presided over by a single</w:t>
      </w:r>
      <w:r>
        <w:rPr>
          <w:rFonts w:ascii="Arial" w:cs="Arial" w:eastAsia="Arial" w:hAnsi="Arial"/>
          <w:sz w:val="19"/>
          <w:szCs w:val="19"/>
          <w:b w:val="1"/>
          <w:bCs w:val="1"/>
          <w:color w:val="auto"/>
        </w:rPr>
        <w:t xml:space="preserve"> </w:t>
      </w:r>
      <w:r>
        <w:rPr>
          <w:rFonts w:ascii="Arial" w:cs="Arial" w:eastAsia="Arial" w:hAnsi="Arial"/>
          <w:sz w:val="19"/>
          <w:szCs w:val="19"/>
          <w:color w:val="auto"/>
        </w:rPr>
        <w:t>arbitrator and conducted by Judicial Arbitration and Mediation Services, Inc. (“</w:t>
      </w:r>
      <w:r>
        <w:rPr>
          <w:rFonts w:ascii="Arial" w:cs="Arial" w:eastAsia="Arial" w:hAnsi="Arial"/>
          <w:sz w:val="19"/>
          <w:szCs w:val="19"/>
          <w:b w:val="1"/>
          <w:bCs w:val="1"/>
          <w:color w:val="auto"/>
        </w:rPr>
        <w:t>JAMS</w:t>
      </w:r>
      <w:r>
        <w:rPr>
          <w:rFonts w:ascii="Arial" w:cs="Arial" w:eastAsia="Arial" w:hAnsi="Arial"/>
          <w:sz w:val="19"/>
          <w:szCs w:val="19"/>
          <w:color w:val="auto"/>
        </w:rPr>
        <w:t xml:space="preserve">”) in Los Angeles County, California, or as otherwise agreed to by you and the Company, under the then applicable JAMS rules for the resolution of employment disputes (available upon request and also currently available at </w:t>
      </w:r>
      <w:r>
        <w:rPr>
          <w:rFonts w:ascii="Arial" w:cs="Arial" w:eastAsia="Arial" w:hAnsi="Arial"/>
          <w:sz w:val="19"/>
          <w:szCs w:val="19"/>
          <w:u w:val="single" w:color="auto"/>
          <w:color w:val="auto"/>
        </w:rPr>
        <w:t>http://www.jamsadr.com/rules-employment-arbitration/</w:t>
      </w:r>
      <w:r>
        <w:rPr>
          <w:rFonts w:ascii="Arial" w:cs="Arial" w:eastAsia="Arial" w:hAnsi="Arial"/>
          <w:sz w:val="19"/>
          <w:szCs w:val="19"/>
          <w:color w:val="auto"/>
        </w:rPr>
        <w:t xml:space="preserve">). You and the Company both have the right to be represented by legal counsel at any arbitration proceeding, at each party’s own expense. The Arbitrator shall: </w:t>
      </w:r>
      <w:r>
        <w:rPr>
          <w:rFonts w:ascii="Arial" w:cs="Arial" w:eastAsia="Arial" w:hAnsi="Arial"/>
          <w:sz w:val="19"/>
          <w:szCs w:val="19"/>
          <w:b w:val="1"/>
          <w:bCs w:val="1"/>
          <w:color w:val="auto"/>
        </w:rPr>
        <w:t>(i)</w:t>
      </w:r>
      <w:r>
        <w:rPr>
          <w:rFonts w:ascii="Arial" w:cs="Arial" w:eastAsia="Arial" w:hAnsi="Arial"/>
          <w:sz w:val="19"/>
          <w:szCs w:val="19"/>
          <w:color w:val="auto"/>
        </w:rPr>
        <w:t xml:space="preserve"> have the authority to compel adequate discovery for the resolution of the dispute; </w:t>
      </w:r>
      <w:r>
        <w:rPr>
          <w:rFonts w:ascii="Arial" w:cs="Arial" w:eastAsia="Arial" w:hAnsi="Arial"/>
          <w:sz w:val="19"/>
          <w:szCs w:val="19"/>
          <w:b w:val="1"/>
          <w:bCs w:val="1"/>
          <w:color w:val="auto"/>
        </w:rPr>
        <w:t>(ii)</w:t>
      </w:r>
      <w:r>
        <w:rPr>
          <w:rFonts w:ascii="Arial" w:cs="Arial" w:eastAsia="Arial" w:hAnsi="Arial"/>
          <w:sz w:val="19"/>
          <w:szCs w:val="19"/>
          <w:color w:val="auto"/>
        </w:rPr>
        <w:t xml:space="preserve"> issue a written arbitration decision, to include the arbitrator’s essential findings and conclusions and a statement of the award; and </w:t>
      </w:r>
      <w:r>
        <w:rPr>
          <w:rFonts w:ascii="Arial" w:cs="Arial" w:eastAsia="Arial" w:hAnsi="Arial"/>
          <w:sz w:val="19"/>
          <w:szCs w:val="19"/>
          <w:b w:val="1"/>
          <w:bCs w:val="1"/>
          <w:color w:val="auto"/>
        </w:rPr>
        <w:t>(iii)</w:t>
      </w:r>
      <w:r>
        <w:rPr>
          <w:rFonts w:ascii="Arial" w:cs="Arial" w:eastAsia="Arial" w:hAnsi="Arial"/>
          <w:sz w:val="19"/>
          <w:szCs w:val="19"/>
          <w:color w:val="auto"/>
        </w:rPr>
        <w:t xml:space="preserve"> be authorized to award any or all remedies that you or the Company would be entitled to seek in a court of law. The Company shall pay all JAMS arbitration fees in excess of the amount of court fees that would be required of you if the dispute were decided in a court of law.</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11.5. Excluded Claims</w:t>
      </w:r>
      <w:r>
        <w:rPr>
          <w:rFonts w:ascii="Arial" w:cs="Arial" w:eastAsia="Arial" w:hAnsi="Arial"/>
          <w:sz w:val="21"/>
          <w:szCs w:val="21"/>
          <w:color w:val="auto"/>
        </w:rPr>
        <w:t>. This Arbitration section shall not apply to any action or claim that cannot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Arial" w:cs="Arial" w:eastAsia="Arial" w:hAnsi="Arial"/>
          <w:sz w:val="21"/>
          <w:szCs w:val="21"/>
          <w:b w:val="1"/>
          <w:bCs w:val="1"/>
          <w:color w:val="auto"/>
        </w:rPr>
        <w:t>Excluded Claims</w:t>
      </w:r>
      <w:r>
        <w:rPr>
          <w:rFonts w:ascii="Arial" w:cs="Arial" w:eastAsia="Arial" w:hAnsi="Arial"/>
          <w:sz w:val="21"/>
          <w:szCs w:val="21"/>
          <w:color w:val="auto"/>
        </w:rPr>
        <w:t>”). In the event you intend to bring multiple</w:t>
      </w:r>
    </w:p>
    <w:p>
      <w:pPr>
        <w:sectPr>
          <w:pgSz w:w="11900" w:h="16838" w:orient="portrait"/>
          <w:cols w:equalWidth="0" w:num="1">
            <w:col w:w="10480"/>
          </w:cols>
          <w:pgMar w:left="980" w:top="1440" w:right="439" w:bottom="1440" w:gutter="0" w:footer="0" w:header="0"/>
        </w:sectPr>
      </w:pPr>
    </w:p>
    <w:bookmarkStart w:id="57" w:name="page58"/>
    <w:bookmarkEnd w:id="57"/>
    <w:p>
      <w:pPr>
        <w:spacing w:after="0" w:line="204"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claims, including any Excluded Claims, the Excluded Claims may be filed with a court, while any other claims will remain subject to mandatory arbitration.</w:t>
      </w:r>
    </w:p>
    <w:p>
      <w:pPr>
        <w:spacing w:after="0" w:line="196" w:lineRule="exact"/>
        <w:rPr>
          <w:sz w:val="20"/>
          <w:szCs w:val="20"/>
          <w:color w:val="auto"/>
        </w:rPr>
      </w:pPr>
    </w:p>
    <w:p>
      <w:pPr>
        <w:jc w:val="both"/>
        <w:ind w:left="20" w:firstLine="648"/>
        <w:spacing w:after="0" w:line="254" w:lineRule="auto"/>
        <w:rPr>
          <w:sz w:val="20"/>
          <w:szCs w:val="20"/>
          <w:color w:val="auto"/>
        </w:rPr>
      </w:pPr>
      <w:r>
        <w:rPr>
          <w:rFonts w:ascii="Arial" w:cs="Arial" w:eastAsia="Arial" w:hAnsi="Arial"/>
          <w:sz w:val="21"/>
          <w:szCs w:val="21"/>
          <w:b w:val="1"/>
          <w:bCs w:val="1"/>
          <w:color w:val="auto"/>
        </w:rPr>
        <w:t>11.6. Injunctive Relief and Final Orders</w:t>
      </w:r>
      <w:r>
        <w:rPr>
          <w:rFonts w:ascii="Arial" w:cs="Arial" w:eastAsia="Arial" w:hAnsi="Arial"/>
          <w:sz w:val="21"/>
          <w:szCs w:val="21"/>
          <w:color w:val="auto"/>
        </w:rPr>
        <w:t>. Nothing in this Section is intended to prevent either you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spacing w:after="0" w:line="206" w:lineRule="exact"/>
        <w:rPr>
          <w:sz w:val="20"/>
          <w:szCs w:val="20"/>
          <w:color w:val="auto"/>
        </w:rPr>
      </w:pPr>
    </w:p>
    <w:p>
      <w:pPr>
        <w:jc w:val="both"/>
        <w:ind w:right="20" w:firstLine="7"/>
        <w:spacing w:after="0" w:line="269" w:lineRule="auto"/>
        <w:tabs>
          <w:tab w:leader="none" w:pos="486"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Provisions. </w:t>
      </w:r>
      <w:r>
        <w:rPr>
          <w:rFonts w:ascii="Arial" w:cs="Arial" w:eastAsia="Arial" w:hAnsi="Arial"/>
          <w:sz w:val="19"/>
          <w:szCs w:val="19"/>
          <w:color w:val="auto"/>
        </w:rPr>
        <w:t>This Agreement, together with the Confidential Information and Inventions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(the “</w:t>
      </w:r>
      <w:r>
        <w:rPr>
          <w:rFonts w:ascii="Arial" w:cs="Arial" w:eastAsia="Arial" w:hAnsi="Arial"/>
          <w:sz w:val="19"/>
          <w:szCs w:val="19"/>
          <w:b w:val="1"/>
          <w:bCs w:val="1"/>
          <w:color w:val="auto"/>
        </w:rPr>
        <w:t>Prior Agreements</w:t>
      </w:r>
      <w:r>
        <w:rPr>
          <w:rFonts w:ascii="Arial" w:cs="Arial" w:eastAsia="Arial" w:hAnsi="Arial"/>
          <w:sz w:val="19"/>
          <w:szCs w:val="19"/>
          <w:color w:val="auto"/>
        </w:rPr>
        <w:t>”). You agree and acknowledge that you are not eligible for, and will not receive, any compensation, benefits,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or a Good Reason resignation right, including for purposes of the Prior Agreements, or any other severance or change in control plan, agreement or policy maintained by the Company or its affiliates.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7, 8, 9, 10, 11, and 12 will survive the termination of this Agreement. All</w:t>
      </w:r>
    </w:p>
    <w:p>
      <w:pPr>
        <w:sectPr>
          <w:pgSz w:w="11900" w:h="16838" w:orient="portrait"/>
          <w:cols w:equalWidth="0" w:num="1">
            <w:col w:w="10360"/>
          </w:cols>
          <w:pgMar w:left="1120" w:top="1440" w:right="419" w:bottom="1440" w:gutter="0" w:footer="0" w:header="0"/>
        </w:sectPr>
      </w:pPr>
    </w:p>
    <w:bookmarkStart w:id="58" w:name="page59"/>
    <w:bookmarkEnd w:id="58"/>
    <w:p>
      <w:pPr>
        <w:spacing w:after="0" w:line="204" w:lineRule="exact"/>
        <w:rPr>
          <w:sz w:val="20"/>
          <w:szCs w:val="20"/>
          <w:color w:val="auto"/>
        </w:rPr>
      </w:pPr>
    </w:p>
    <w:p>
      <w:pPr>
        <w:ind w:left="640"/>
        <w:spacing w:after="0" w:line="250" w:lineRule="auto"/>
        <w:rPr>
          <w:sz w:val="20"/>
          <w:szCs w:val="20"/>
          <w:color w:val="auto"/>
        </w:rPr>
      </w:pPr>
      <w:r>
        <w:rPr>
          <w:rFonts w:ascii="Arial" w:cs="Arial" w:eastAsia="Arial" w:hAnsi="Arial"/>
          <w:sz w:val="22"/>
          <w:szCs w:val="22"/>
          <w:color w:val="auto"/>
        </w:rPr>
        <w:t>questions concerning the construction, validity and interpretation of this Agreement will be governed by the laws of the State of California.</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2057400" cy="403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0574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HE</w:t>
      </w:r>
      <w:r>
        <w:rPr>
          <w:rFonts w:ascii="Arial" w:cs="Arial" w:eastAsia="Arial" w:hAnsi="Arial"/>
          <w:sz w:val="22"/>
          <w:szCs w:val="22"/>
          <w:b w:val="1"/>
          <w:bCs w:val="1"/>
          <w:color w:val="auto"/>
        </w:rPr>
        <w:t xml:space="preserve"> H</w:t>
      </w:r>
      <w:r>
        <w:rPr>
          <w:rFonts w:ascii="Arial" w:cs="Arial" w:eastAsia="Arial" w:hAnsi="Arial"/>
          <w:sz w:val="17"/>
          <w:szCs w:val="17"/>
          <w:b w:val="1"/>
          <w:bCs w:val="1"/>
          <w:color w:val="auto"/>
        </w:rPr>
        <w:t>ONEST</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OMPANY</w:t>
      </w:r>
      <w:r>
        <w:rPr>
          <w:rFonts w:ascii="Arial" w:cs="Arial" w:eastAsia="Arial" w:hAnsi="Arial"/>
          <w:sz w:val="22"/>
          <w:szCs w:val="22"/>
          <w:b w:val="1"/>
          <w:bCs w:val="1"/>
          <w:color w:val="auto"/>
        </w:rPr>
        <w:t>, I</w:t>
      </w:r>
      <w:r>
        <w:rPr>
          <w:rFonts w:ascii="Arial" w:cs="Arial" w:eastAsia="Arial" w:hAnsi="Arial"/>
          <w:sz w:val="17"/>
          <w:szCs w:val="17"/>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Nikolaos A. Vlahos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15875</wp:posOffset>
            </wp:positionV>
            <wp:extent cx="2082800" cy="617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082800" cy="6172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tabs>
          <w:tab w:leader="none" w:pos="5520" w:val="left"/>
        </w:tabs>
        <w:rPr>
          <w:sz w:val="20"/>
          <w:szCs w:val="20"/>
          <w:color w:val="auto"/>
        </w:rPr>
      </w:pPr>
      <w:r>
        <w:rPr>
          <w:rFonts w:ascii="Arial" w:cs="Arial" w:eastAsia="Arial" w:hAnsi="Arial"/>
          <w:sz w:val="43"/>
          <w:szCs w:val="43"/>
          <w:color w:val="auto"/>
          <w:vertAlign w:val="subscript"/>
        </w:rPr>
        <w:t>Date:</w:t>
      </w:r>
      <w:r>
        <w:rPr>
          <w:sz w:val="20"/>
          <w:szCs w:val="20"/>
          <w:color w:val="auto"/>
        </w:rPr>
        <w:tab/>
      </w:r>
      <w:r>
        <w:rPr>
          <w:rFonts w:ascii="Arial" w:cs="Arial" w:eastAsia="Arial" w:hAnsi="Arial"/>
          <w:sz w:val="16"/>
          <w:szCs w:val="16"/>
          <w:color w:val="auto"/>
        </w:rPr>
        <w:t>8/31/2021 | 10:58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Exhibit A</w:t>
      </w: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Employee Confidential Information and Invention Assignment Agreement</w:t>
      </w:r>
    </w:p>
    <w:p>
      <w:pPr>
        <w:sectPr>
          <w:pgSz w:w="11900" w:h="16838" w:orient="portrait"/>
          <w:cols w:equalWidth="0" w:num="1">
            <w:col w:w="10980"/>
          </w:cols>
          <w:pgMar w:left="480" w:top="1440" w:right="439" w:bottom="1440" w:gutter="0" w:footer="0" w:header="0"/>
        </w:sectPr>
      </w:pPr>
    </w:p>
    <w:bookmarkStart w:id="59" w:name="page60"/>
    <w:bookmarkEnd w:id="59"/>
    <w:p>
      <w:pPr>
        <w:ind w:left="946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Nikolaos Vlahos, certify that:</w:t>
      </w:r>
    </w:p>
    <w:p>
      <w:pPr>
        <w:spacing w:after="0" w:line="252" w:lineRule="exact"/>
        <w:rPr>
          <w:sz w:val="20"/>
          <w:szCs w:val="20"/>
          <w:color w:val="auto"/>
        </w:rPr>
      </w:pPr>
    </w:p>
    <w:p>
      <w:pPr>
        <w:ind w:left="560" w:hanging="545"/>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Honest Company, Inc.;</w:t>
      </w:r>
    </w:p>
    <w:p>
      <w:pPr>
        <w:spacing w:after="0" w:line="252" w:lineRule="exact"/>
        <w:rPr>
          <w:rFonts w:ascii="Arial" w:cs="Arial" w:eastAsia="Arial" w:hAnsi="Arial"/>
          <w:sz w:val="18"/>
          <w:szCs w:val="18"/>
          <w:color w:val="auto"/>
        </w:rPr>
      </w:pPr>
    </w:p>
    <w:p>
      <w:pPr>
        <w:jc w:val="both"/>
        <w:ind w:left="560" w:hanging="545"/>
        <w:spacing w:after="0" w:line="263" w:lineRule="auto"/>
        <w:tabs>
          <w:tab w:leader="none" w:pos="5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60" w:right="20" w:hanging="545"/>
        <w:spacing w:after="0" w:line="357" w:lineRule="auto"/>
        <w:tabs>
          <w:tab w:leader="none" w:pos="5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60" w:right="180" w:hanging="545"/>
        <w:spacing w:after="0" w:line="293" w:lineRule="auto"/>
        <w:tabs>
          <w:tab w:leader="none" w:pos="5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3" w:lineRule="exact"/>
        <w:rPr>
          <w:rFonts w:ascii="Arial" w:cs="Arial" w:eastAsia="Arial" w:hAnsi="Arial"/>
          <w:sz w:val="18"/>
          <w:szCs w:val="18"/>
          <w:color w:val="auto"/>
        </w:rPr>
      </w:pPr>
    </w:p>
    <w:p>
      <w:pPr>
        <w:ind w:left="1100" w:right="160" w:hanging="539"/>
        <w:spacing w:after="0" w:line="263" w:lineRule="auto"/>
        <w:tabs>
          <w:tab w:leader="none" w:pos="10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00" w:hanging="539"/>
        <w:spacing w:after="0"/>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[Omitted];</w:t>
      </w:r>
    </w:p>
    <w:p>
      <w:pPr>
        <w:spacing w:after="0" w:line="292" w:lineRule="exact"/>
        <w:rPr>
          <w:rFonts w:ascii="Arial" w:cs="Arial" w:eastAsia="Arial" w:hAnsi="Arial"/>
          <w:sz w:val="18"/>
          <w:szCs w:val="18"/>
          <w:color w:val="auto"/>
        </w:rPr>
      </w:pPr>
    </w:p>
    <w:p>
      <w:pPr>
        <w:ind w:left="1100" w:right="120" w:hanging="539"/>
        <w:spacing w:after="0" w:line="447" w:lineRule="auto"/>
        <w:tabs>
          <w:tab w:leader="none" w:pos="1093"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6"/>
          <w:szCs w:val="16"/>
          <w:color w:val="auto"/>
        </w:rPr>
      </w:pPr>
    </w:p>
    <w:p>
      <w:pPr>
        <w:ind w:left="1100" w:right="260" w:hanging="539"/>
        <w:spacing w:after="0" w:line="263" w:lineRule="auto"/>
        <w:tabs>
          <w:tab w:leader="none" w:pos="10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1" w:lineRule="exact"/>
        <w:rPr>
          <w:rFonts w:ascii="Arial" w:cs="Arial" w:eastAsia="Arial" w:hAnsi="Arial"/>
          <w:sz w:val="18"/>
          <w:szCs w:val="18"/>
          <w:color w:val="auto"/>
        </w:rPr>
      </w:pPr>
    </w:p>
    <w:p>
      <w:pPr>
        <w:ind w:left="560" w:right="200" w:hanging="545"/>
        <w:spacing w:after="0" w:line="447" w:lineRule="auto"/>
        <w:tabs>
          <w:tab w:leader="none" w:pos="5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6"/>
          <w:szCs w:val="16"/>
          <w:color w:val="auto"/>
        </w:rPr>
      </w:pPr>
    </w:p>
    <w:p>
      <w:pPr>
        <w:ind w:left="1100" w:right="500" w:hanging="539"/>
        <w:spacing w:after="0" w:line="447" w:lineRule="auto"/>
        <w:tabs>
          <w:tab w:leader="none" w:pos="1093"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100" w:right="200" w:hanging="539"/>
        <w:spacing w:after="0" w:line="293" w:lineRule="auto"/>
        <w:tabs>
          <w:tab w:leader="none" w:pos="10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80" w:val="left"/>
          <w:tab w:leader="none" w:pos="61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Nikolaos Vlahos</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80"/>
          </w:cols>
          <w:pgMar w:left="320" w:top="1417" w:right="4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Kelly J. Kennedy, certify that:</w:t>
      </w:r>
    </w:p>
    <w:p>
      <w:pPr>
        <w:spacing w:after="0" w:line="224" w:lineRule="exact"/>
        <w:rPr>
          <w:sz w:val="20"/>
          <w:szCs w:val="20"/>
          <w:color w:val="auto"/>
        </w:rPr>
      </w:pPr>
    </w:p>
    <w:p>
      <w:pPr>
        <w:ind w:left="1300" w:hanging="65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Honest Company, Inc.;</w:t>
      </w:r>
    </w:p>
    <w:p>
      <w:pPr>
        <w:spacing w:after="0" w:line="252" w:lineRule="exact"/>
        <w:rPr>
          <w:rFonts w:ascii="Arial" w:cs="Arial" w:eastAsia="Arial" w:hAnsi="Arial"/>
          <w:sz w:val="18"/>
          <w:szCs w:val="18"/>
          <w:color w:val="auto"/>
        </w:rPr>
      </w:pPr>
    </w:p>
    <w:p>
      <w:pPr>
        <w:jc w:val="both"/>
        <w:ind w:firstLine="644"/>
        <w:spacing w:after="0" w:line="263"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jc w:val="both"/>
        <w:ind w:right="220" w:firstLine="644"/>
        <w:spacing w:after="0" w:line="310"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560" w:firstLine="644"/>
        <w:spacing w:after="0" w:line="293"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3" w:lineRule="exact"/>
        <w:rPr>
          <w:sz w:val="20"/>
          <w:szCs w:val="20"/>
          <w:color w:val="auto"/>
        </w:rPr>
      </w:pPr>
    </w:p>
    <w:p>
      <w:pPr>
        <w:jc w:val="both"/>
        <w:ind w:right="160" w:firstLine="644"/>
        <w:spacing w:after="0" w:line="286" w:lineRule="auto"/>
        <w:tabs>
          <w:tab w:leader="none" w:pos="12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280" w:hanging="636"/>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[Omitted];</w:t>
      </w:r>
    </w:p>
    <w:p>
      <w:pPr>
        <w:spacing w:after="0" w:line="292" w:lineRule="exact"/>
        <w:rPr>
          <w:rFonts w:ascii="Arial" w:cs="Arial" w:eastAsia="Arial" w:hAnsi="Arial"/>
          <w:sz w:val="18"/>
          <w:szCs w:val="18"/>
          <w:color w:val="auto"/>
        </w:rPr>
      </w:pPr>
    </w:p>
    <w:p>
      <w:pPr>
        <w:jc w:val="both"/>
        <w:ind w:firstLine="644"/>
        <w:spacing w:after="0" w:line="357" w:lineRule="auto"/>
        <w:tabs>
          <w:tab w:leader="none" w:pos="12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ind w:right="280" w:firstLine="644"/>
        <w:spacing w:after="0" w:line="263" w:lineRule="auto"/>
        <w:tabs>
          <w:tab w:leader="none" w:pos="12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1" w:lineRule="exact"/>
        <w:rPr>
          <w:sz w:val="20"/>
          <w:szCs w:val="20"/>
          <w:color w:val="auto"/>
        </w:rPr>
      </w:pPr>
    </w:p>
    <w:p>
      <w:pPr>
        <w:ind w:right="80" w:firstLine="644"/>
        <w:spacing w:after="0" w:line="357" w:lineRule="auto"/>
        <w:tabs>
          <w:tab w:leader="none" w:pos="12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sz w:val="20"/>
          <w:szCs w:val="20"/>
          <w:color w:val="auto"/>
        </w:rPr>
      </w:pPr>
    </w:p>
    <w:p>
      <w:pPr>
        <w:ind w:right="240" w:firstLine="644"/>
        <w:spacing w:after="0" w:line="447" w:lineRule="auto"/>
        <w:tabs>
          <w:tab w:leader="none" w:pos="129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right="620" w:firstLine="644"/>
        <w:spacing w:after="0" w:line="293" w:lineRule="auto"/>
        <w:tabs>
          <w:tab w:leader="none" w:pos="12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4080" w:val="left"/>
          <w:tab w:leader="none" w:pos="512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14605</wp:posOffset>
            </wp:positionV>
            <wp:extent cx="39344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3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Kelly J. Kennedy</w:t>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Chief Financial Officer</w:t>
      </w:r>
    </w:p>
    <w:p>
      <w:pPr>
        <w:spacing w:after="0" w:line="20"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 and Accounting Officer)</w:t>
      </w:r>
    </w:p>
    <w:p>
      <w:pPr>
        <w:sectPr>
          <w:pgSz w:w="11900" w:h="16838" w:orient="portrait"/>
          <w:cols w:equalWidth="0" w:num="1">
            <w:col w:w="10260"/>
          </w:cols>
          <w:pgMar w:left="980" w:top="1417" w:right="659" w:bottom="1440" w:gutter="0" w:footer="0" w:header="0"/>
        </w:sectPr>
      </w:pPr>
    </w:p>
    <w:bookmarkStart w:id="61" w:name="page62"/>
    <w:bookmarkEnd w:id="61"/>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Quarterly Report on Form 10-Q of The Honest Company, Inc. (the “Company”) for the period ended September 30, 2021 as filed with the Securities and Exchange Commission on the date hereof (the “Report”), I, Nikolaos Vlahos, Chief Executive Officer of the Company, certify, pursuant to 18 U.S.C. § 1350, as adopted pursuant to § 906 of the Sarbanes-Oxley Act of 2002, that, to the best of my knowledge:</w:t>
      </w:r>
    </w:p>
    <w:p>
      <w:pPr>
        <w:spacing w:after="0" w:line="192" w:lineRule="exact"/>
        <w:rPr>
          <w:sz w:val="20"/>
          <w:szCs w:val="20"/>
          <w:color w:val="auto"/>
        </w:rPr>
      </w:pPr>
    </w:p>
    <w:p>
      <w:pPr>
        <w:ind w:left="560" w:right="400" w:hanging="504"/>
        <w:spacing w:after="0" w:line="277" w:lineRule="auto"/>
        <w:tabs>
          <w:tab w:leader="none" w:pos="5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97" w:lineRule="exact"/>
        <w:rPr>
          <w:rFonts w:ascii="Arial" w:cs="Arial" w:eastAsia="Arial" w:hAnsi="Arial"/>
          <w:sz w:val="18"/>
          <w:szCs w:val="18"/>
          <w:color w:val="auto"/>
        </w:rPr>
      </w:pPr>
    </w:p>
    <w:p>
      <w:pPr>
        <w:ind w:left="560" w:hanging="504"/>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4800" w:val="left"/>
          <w:tab w:leader="none" w:pos="55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Nikolaos Vlahos</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64"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of The Honest Company, Inc. (the “Company”) for the period ended September 30, 2021 as filed with the Securities and Exchange Commission on the date hereof (the “Report”), I, Kelly J. Kennedy, Chief Financial Officer of the Company, certify, pursuant to 18 U.S.C. § 1350, as adopted pursuant to § 906 of the Sarbanes-Oxley Act of 2002, that, to the best of my knowledge:</w:t>
      </w:r>
    </w:p>
    <w:p>
      <w:pPr>
        <w:spacing w:after="0" w:line="192" w:lineRule="exact"/>
        <w:rPr>
          <w:sz w:val="20"/>
          <w:szCs w:val="20"/>
          <w:color w:val="auto"/>
        </w:rPr>
      </w:pPr>
    </w:p>
    <w:p>
      <w:pPr>
        <w:ind w:left="560" w:right="200" w:hanging="504"/>
        <w:spacing w:after="0" w:line="277" w:lineRule="auto"/>
        <w:tabs>
          <w:tab w:leader="none" w:pos="5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97" w:lineRule="exact"/>
        <w:rPr>
          <w:rFonts w:ascii="Arial" w:cs="Arial" w:eastAsia="Arial" w:hAnsi="Arial"/>
          <w:sz w:val="18"/>
          <w:szCs w:val="18"/>
          <w:color w:val="auto"/>
        </w:rPr>
      </w:pPr>
    </w:p>
    <w:p>
      <w:pPr>
        <w:ind w:left="560" w:hanging="504"/>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6160" w:val="left"/>
          <w:tab w:leader="none" w:pos="68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30175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Kelly J. Kennedy</w:t>
      </w:r>
    </w:p>
    <w:p>
      <w:pPr>
        <w:spacing w:after="0" w:line="23"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Executive Vice President, Chief Financial Officer</w:t>
      </w:r>
    </w:p>
    <w:p>
      <w:pPr>
        <w:spacing w:after="0" w:line="35"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(Principal Financial Officer and Accounting Officer)</w:t>
      </w:r>
    </w:p>
    <w:p>
      <w:pPr>
        <w:spacing w:after="0" w:line="200" w:lineRule="exact"/>
        <w:rPr>
          <w:sz w:val="20"/>
          <w:szCs w:val="20"/>
          <w:color w:val="auto"/>
        </w:rPr>
      </w:pPr>
    </w:p>
    <w:p>
      <w:pPr>
        <w:spacing w:after="0" w:line="2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1."/>
      <w:numFmt w:val="decimal"/>
      <w:start w:val="6"/>
    </w:lvl>
  </w:abstractNum>
  <w:abstractNum w:abstractNumId="8">
    <w:nsid w:val="189A769B"/>
    <w:multiLevelType w:val="hybridMultilevel"/>
    <w:lvl w:ilvl="0">
      <w:lvlJc w:val="left"/>
      <w:lvlText w:val="%1."/>
      <w:numFmt w:val="decimal"/>
      <w:start w:val="8"/>
    </w:lvl>
  </w:abstractNum>
  <w:abstractNum w:abstractNumId="9">
    <w:nsid w:val="54E49EB4"/>
    <w:multiLevelType w:val="hybridMultilevel"/>
    <w:lvl w:ilvl="0">
      <w:lvlJc w:val="left"/>
      <w:lvlText w:val="%1."/>
      <w:numFmt w:val="decimal"/>
      <w:start w:val="9"/>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0"/>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1"/>
    </w:lvl>
  </w:abstractNum>
  <w:abstractNum w:abstractNumId="14">
    <w:nsid w:val="3A95F874"/>
    <w:multiLevelType w:val="hybridMultilevel"/>
    <w:lvl w:ilvl="0">
      <w:lvlJc w:val="left"/>
      <w:lvlText w:val="%1."/>
      <w:numFmt w:val="decimal"/>
      <w:start w:val="12"/>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3"/>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upperLetter"/>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1."/>
      <w:numFmt w:val="upperLetter"/>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7"/>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3"/>
    </w:lvl>
  </w:abstractNum>
  <w:abstractNum w:abstractNumId="29">
    <w:nsid w:val="77465F01"/>
    <w:multiLevelType w:val="hybridMultilevel"/>
    <w:lvl w:ilvl="0">
      <w:lvlJc w:val="left"/>
      <w:lvlText w:val="%1."/>
      <w:numFmt w:val="decimal"/>
      <w:start w:val="6"/>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decimal"/>
      <w:start w:val="8"/>
    </w:lvl>
  </w:abstractNum>
  <w:abstractNum w:abstractNumId="32">
    <w:nsid w:val="2463B9EA"/>
    <w:multiLevelType w:val="hybridMultilevel"/>
    <w:lvl w:ilvl="0">
      <w:lvlJc w:val="left"/>
      <w:lvlText w:val="(%1)"/>
      <w:numFmt w:val="lowerLetter"/>
      <w:start w:val="2"/>
    </w:lvl>
  </w:abstractNum>
  <w:abstractNum w:abstractNumId="33">
    <w:nsid w:val="5E884ADC"/>
    <w:multiLevelType w:val="hybridMultilevel"/>
    <w:lvl w:ilvl="0">
      <w:lvlJc w:val="left"/>
      <w:lvlText w:val="%1."/>
      <w:numFmt w:val="decimal"/>
      <w:start w:val="9"/>
    </w:lvl>
  </w:abstractNum>
  <w:abstractNum w:abstractNumId="34">
    <w:nsid w:val="51EAD36B"/>
    <w:multiLevelType w:val="hybridMultilevel"/>
    <w:lvl w:ilvl="0">
      <w:lvlJc w:val="left"/>
      <w:lvlText w:val="%1"/>
      <w:numFmt w:val="decimal"/>
      <w:start w:val="1"/>
    </w:lvl>
    <w:lvl w:ilvl="1">
      <w:lvlJc w:val="left"/>
      <w:lvlText w:val="%2."/>
      <w:numFmt w:val="decimal"/>
      <w:start w:val="10"/>
    </w:lvl>
  </w:abstractNum>
  <w:abstractNum w:abstractNumId="35">
    <w:nsid w:val="2D517796"/>
    <w:multiLevelType w:val="hybridMultilevel"/>
    <w:lvl w:ilvl="0">
      <w:lvlJc w:val="left"/>
      <w:lvlText w:val="%1."/>
      <w:numFmt w:val="decimal"/>
      <w:start w:val="11"/>
    </w:lvl>
    <w:lvl w:ilvl="1">
      <w:lvlJc w:val="left"/>
      <w:lvlText w:val="%2"/>
      <w:numFmt w:val="decimal"/>
      <w:start w:val="1"/>
    </w:lvl>
  </w:abstractNum>
  <w:abstractNum w:abstractNumId="36">
    <w:nsid w:val="580BD78F"/>
    <w:multiLevelType w:val="hybridMultilevel"/>
    <w:lvl w:ilvl="0">
      <w:lvlJc w:val="left"/>
      <w:lvlText w:val="%1."/>
      <w:numFmt w:val="decimal"/>
      <w:start w:val="12"/>
    </w:lvl>
  </w:abstractNum>
  <w:abstractNum w:abstractNumId="37">
    <w:nsid w:val="153EA438"/>
    <w:multiLevelType w:val="hybridMultilevel"/>
    <w:lvl w:ilvl="0">
      <w:lvlJc w:val="left"/>
      <w:lvlText w:val="%1."/>
      <w:numFmt w:val="decimal"/>
      <w:start w:val="1"/>
    </w:lvl>
    <w:lvl w:ilvl="1">
      <w:lvlJc w:val="left"/>
      <w:lvlText w:val="(%2)"/>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jpeg"/><Relationship Id="rId61" Type="http://schemas.openxmlformats.org/officeDocument/2006/relationships/image" Target="media/image51.jpe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1" Type="http://schemas.openxmlformats.org/officeDocument/2006/relationships/hyperlink" Target="https://www.sec.gov/Archives/edgar/data/0001530979/000119312521157761/d488865dex31.htm" TargetMode="External"/><Relationship Id="rId52" Type="http://schemas.openxmlformats.org/officeDocument/2006/relationships/hyperlink" Target="https://www.sec.gov/Archives/edgar/data/0001530979/000119312521157761/d488865dex32.htm" TargetMode="External"/><Relationship Id="rId53" Type="http://schemas.openxmlformats.org/officeDocument/2006/relationships/hyperlink" Target="http://www.sec.gov/Archives/edgar/data/1530979/000153097921000019/exhibit1016-geodisoverflo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2021-11-10T16:00:49Z</dcterms:created>
  <dcterms:modified xsi:type="dcterms:W3CDTF">2021-11-10T16:00:49Z</dcterms:modified>
</cp:coreProperties>
</file>