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606105.xml.htm"/>
      <w:bookmarkStart w:id="1" w:name="kswkform4_17876061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Bruce Curtiss James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12130 MILLENNIUM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90094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Honest Company,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HNST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Fin. &amp;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93"/>
        <w:gridCol w:w="459"/>
        <w:gridCol w:w="673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4.99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582,986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Pursuant to the approved sell-to-cover plan by the Compensation Committee for all executive officers, shares were sold solely to cover the associated tax liability upon the vesting of a previously granted award of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535,384 RSUs which are payable in an equivalent number of shares of the Issuer's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Brendan Sheehey,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72401" TargetMode="External"/><Relationship Id="rId5" Type="http://schemas.openxmlformats.org/officeDocument/2006/relationships/hyperlink" Target="http://www.sec.gov/cgi-bin/browse-edgar?action=getcompany&amp;CIK=00015309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623</Words>
  <Characters>3400</Characters>
  <CharactersWithSpaces>3954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