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920" w:right="2000" w:hanging="3887"/>
        <w:spacing w:after="0" w:line="200" w:lineRule="auto"/>
        <w:tabs>
          <w:tab w:leader="none" w:pos="437"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40" w:hanging="407"/>
        <w:spacing w:after="0"/>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191135</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285750</wp:posOffset>
            </wp:positionV>
            <wp:extent cx="1800225" cy="334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29210</wp:posOffset>
            </wp:positionV>
            <wp:extent cx="2931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9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900" w:type="dxa"/>
            <w:vAlign w:val="bottom"/>
          </w:tcPr>
          <w:p>
            <w:pPr>
              <w:jc w:val="center"/>
              <w:ind w:left="459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900" w:type="dxa"/>
            <w:vAlign w:val="bottom"/>
          </w:tcPr>
          <w:p>
            <w:pPr>
              <w:jc w:val="center"/>
              <w:ind w:left="459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90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90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900" w:type="dxa"/>
            <w:vAlign w:val="bottom"/>
          </w:tcPr>
          <w:p>
            <w:pPr>
              <w:jc w:val="center"/>
              <w:ind w:left="4595"/>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263"/>
        </w:trPr>
        <w:tc>
          <w:tcPr>
            <w:tcW w:w="2760" w:type="dxa"/>
            <w:vAlign w:val="bottom"/>
          </w:tcPr>
          <w:p>
            <w:pPr>
              <w:spacing w:after="0"/>
              <w:rPr>
                <w:sz w:val="22"/>
                <w:szCs w:val="22"/>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spacing w:after="0"/>
              <w:rPr>
                <w:sz w:val="18"/>
                <w:szCs w:val="18"/>
                <w:color w:val="auto"/>
              </w:rPr>
            </w:pPr>
          </w:p>
        </w:tc>
      </w:tr>
      <w:tr>
        <w:trPr>
          <w:trHeight w:val="238"/>
        </w:trPr>
        <w:tc>
          <w:tcPr>
            <w:tcW w:w="44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6"/>
        </w:trPr>
        <w:tc>
          <w:tcPr>
            <w:tcW w:w="4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_____________Common Shares____________</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No </w:t>
      </w:r>
      <w:r>
        <w:rPr>
          <w:rFonts w:ascii="MS PGothic" w:cs="MS PGothic" w:eastAsia="MS PGothic" w:hAnsi="MS PGothic"/>
          <w:sz w:val="18"/>
          <w:szCs w:val="18"/>
          <w:color w:val="auto"/>
        </w:rPr>
        <w:t>☒</w:t>
      </w:r>
    </w:p>
    <w:p>
      <w:pPr>
        <w:spacing w:after="0" w:line="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Exchange Act. Yes No </w:t>
      </w:r>
      <w:r>
        <w:rPr>
          <w:rFonts w:ascii="MS PGothic" w:cs="MS PGothic" w:eastAsia="MS PGothic" w:hAnsi="MS PGothic"/>
          <w:sz w:val="17"/>
          <w:szCs w:val="17"/>
          <w:color w:val="auto"/>
        </w:rPr>
        <w:t>☒</w:t>
      </w:r>
    </w:p>
    <w:p>
      <w:pPr>
        <w:spacing w:after="0" w:line="19" w:lineRule="exact"/>
        <w:rPr>
          <w:sz w:val="24"/>
          <w:szCs w:val="24"/>
          <w:color w:val="auto"/>
        </w:rPr>
      </w:pPr>
    </w:p>
    <w:p>
      <w:pPr>
        <w:jc w:val="both"/>
        <w:ind w:firstLine="539"/>
        <w:spacing w:after="0" w:line="1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539"/>
        <w:spacing w:after="0" w:line="1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539"/>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75" w:lineRule="exact"/>
        <w:rPr>
          <w:sz w:val="24"/>
          <w:szCs w:val="24"/>
          <w:color w:val="auto"/>
        </w:rPr>
      </w:pPr>
    </w:p>
    <w:p>
      <w:pPr>
        <w:ind w:right="280" w:firstLine="539"/>
        <w:spacing w:after="0" w:line="20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jc w:val="both"/>
        <w:ind w:firstLine="486"/>
        <w:spacing w:after="0" w:line="18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957" w:orient="portrait"/>
          <w:cols w:equalWidth="0" w:num="1">
            <w:col w:w="11240"/>
          </w:cols>
          <w:pgMar w:left="320" w:top="1035" w:right="339" w:bottom="0" w:gutter="0" w:footer="0" w:header="0"/>
        </w:sectPr>
      </w:pPr>
    </w:p>
    <w:bookmarkStart w:id="1" w:name="page2"/>
    <w:bookmarkEnd w:id="1"/>
    <w:p>
      <w:pPr>
        <w:ind w:firstLine="486"/>
        <w:spacing w:after="0" w:line="20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2" w:name="page3"/>
    <w:bookmarkEnd w:id="2"/>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right="240" w:firstLine="539"/>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shares of common stock held by non-affiliates of the Registrant, based on the closing price of the Registrant’s shares of common stock on the Nasdaq Global Select Market on June 30, 2023, was approximately $111,687,173.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4, 2024, the registrant had 95,892,996 shares of common stock, $0.0001 par value per outstanding.</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24" w:lineRule="exact"/>
        <w:rPr>
          <w:sz w:val="20"/>
          <w:szCs w:val="20"/>
          <w:color w:val="auto"/>
        </w:rPr>
      </w:pPr>
    </w:p>
    <w:p>
      <w:pPr>
        <w:jc w:val="both"/>
        <w:ind w:firstLine="539"/>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6"/>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60" w:type="dxa"/>
            <w:vAlign w:val="bottom"/>
            <w:gridSpan w:val="9"/>
          </w:tcPr>
          <w:p>
            <w:pPr>
              <w:ind w:left="5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44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1519FD"/>
                <w:w w:val="92"/>
              </w:rPr>
              <w:t>Part I</w:t>
            </w:r>
          </w:p>
        </w:tc>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vMerge w:val="continue"/>
          </w:tcPr>
          <w:p>
            <w:pPr>
              <w:spacing w:after="0"/>
              <w:rPr>
                <w:sz w:val="14"/>
                <w:szCs w:val="14"/>
                <w:color w:val="auto"/>
              </w:rPr>
            </w:pPr>
          </w:p>
        </w:tc>
        <w:tc>
          <w:tcPr>
            <w:tcW w:w="440" w:type="dxa"/>
            <w:vAlign w:val="bottom"/>
            <w:tcBorders>
              <w:bottom w:val="single" w:sz="8" w:color="1519FD"/>
            </w:tcBorders>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gridSpan w:val="5"/>
          </w:tcPr>
          <w:p>
            <w:pPr>
              <w:jc w:val="right"/>
              <w:ind w:right="20"/>
              <w:spacing w:after="0" w:line="169" w:lineRule="exact"/>
              <w:rPr>
                <w:sz w:val="20"/>
                <w:szCs w:val="20"/>
                <w:color w:val="auto"/>
              </w:rPr>
            </w:pPr>
            <w:r>
              <w:rPr>
                <w:rFonts w:ascii="Times New Roman" w:cs="Times New Roman" w:eastAsia="Times New Roman" w:hAnsi="Times New Roman"/>
                <w:sz w:val="18"/>
                <w:szCs w:val="18"/>
                <w:color w:val="1519FD"/>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1.</w:t>
            </w:r>
          </w:p>
        </w:tc>
        <w:tc>
          <w:tcPr>
            <w:tcW w:w="9620" w:type="dxa"/>
            <w:vAlign w:val="bottom"/>
            <w:gridSpan w:val="25"/>
            <w:vMerge w:val="restart"/>
          </w:tcPr>
          <w:p>
            <w:pPr>
              <w:ind w:left="20"/>
              <w:spacing w:after="0"/>
              <w:rPr>
                <w:sz w:val="20"/>
                <w:szCs w:val="20"/>
                <w:color w:val="auto"/>
              </w:rPr>
            </w:pPr>
            <w:r>
              <w:rPr>
                <w:rFonts w:ascii="Times New Roman" w:cs="Times New Roman" w:eastAsia="Times New Roman" w:hAnsi="Times New Roman"/>
                <w:sz w:val="18"/>
                <w:szCs w:val="18"/>
                <w:color w:val="1519FD"/>
              </w:rPr>
              <w:t>Business</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20" w:type="dxa"/>
            <w:vAlign w:val="bottom"/>
            <w:gridSpan w:val="25"/>
            <w:vMerge w:val="continue"/>
          </w:tcPr>
          <w:p>
            <w:pPr>
              <w:spacing w:after="0"/>
              <w:rPr>
                <w:sz w:val="19"/>
                <w:szCs w:val="19"/>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380" w:type="dxa"/>
            <w:vAlign w:val="bottom"/>
            <w:gridSpan w:val="2"/>
            <w:shd w:val="clear" w:color="auto" w:fill="1519FD"/>
          </w:tcPr>
          <w:p>
            <w:pPr>
              <w:spacing w:after="0" w:line="20" w:lineRule="exact"/>
              <w:rPr>
                <w:sz w:val="1"/>
                <w:szCs w:val="1"/>
                <w:color w:val="auto"/>
              </w:rPr>
            </w:pPr>
          </w:p>
        </w:tc>
        <w:tc>
          <w:tcPr>
            <w:tcW w:w="460" w:type="dxa"/>
            <w:vAlign w:val="bottom"/>
            <w:shd w:val="clear" w:color="auto" w:fill="1519F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98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1519FD"/>
              </w:rPr>
              <w:t>1A. Risk Factors</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380" w:type="dxa"/>
            <w:vAlign w:val="bottom"/>
            <w:gridSpan w:val="2"/>
            <w:shd w:val="clear" w:color="auto" w:fill="1519FD"/>
          </w:tcPr>
          <w:p>
            <w:pPr>
              <w:spacing w:after="0" w:line="20" w:lineRule="exact"/>
              <w:rPr>
                <w:sz w:val="1"/>
                <w:szCs w:val="1"/>
                <w:color w:val="auto"/>
              </w:rPr>
            </w:pPr>
          </w:p>
        </w:tc>
        <w:tc>
          <w:tcPr>
            <w:tcW w:w="560" w:type="dxa"/>
            <w:vAlign w:val="bottom"/>
            <w:gridSpan w:val="2"/>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380" w:type="dxa"/>
            <w:vAlign w:val="bottom"/>
            <w:tcBorders>
              <w:bottom w:val="single" w:sz="8" w:color="1519FD"/>
            </w:tcBorders>
            <w:gridSpan w:val="14"/>
          </w:tcPr>
          <w:p>
            <w:pPr>
              <w:ind w:left="20"/>
              <w:spacing w:after="0"/>
              <w:rPr>
                <w:sz w:val="20"/>
                <w:szCs w:val="20"/>
                <w:color w:val="auto"/>
              </w:rPr>
            </w:pPr>
            <w:r>
              <w:rPr>
                <w:rFonts w:ascii="Times New Roman" w:cs="Times New Roman" w:eastAsia="Times New Roman" w:hAnsi="Times New Roman"/>
                <w:sz w:val="18"/>
                <w:szCs w:val="18"/>
                <w:color w:val="1519FD"/>
                <w:w w:val="99"/>
              </w:rPr>
              <w:t>1B. Unresolved Staff Comments</w:t>
            </w:r>
          </w:p>
        </w:tc>
        <w:tc>
          <w:tcPr>
            <w:tcW w:w="7420" w:type="dxa"/>
            <w:vAlign w:val="bottom"/>
            <w:gridSpan w:val="1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4"/>
              </w:rPr>
              <w:t>Item</w:t>
            </w:r>
          </w:p>
        </w:tc>
        <w:tc>
          <w:tcPr>
            <w:tcW w:w="134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1C. Cybersecurity</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0000FF"/>
            </w:tcBorders>
            <w:gridSpan w:val="2"/>
            <w:vMerge w:val="continue"/>
          </w:tcPr>
          <w:p>
            <w:pPr>
              <w:spacing w:after="0"/>
              <w:rPr>
                <w:sz w:val="20"/>
                <w:szCs w:val="20"/>
                <w:color w:val="auto"/>
              </w:rPr>
            </w:pPr>
          </w:p>
        </w:tc>
        <w:tc>
          <w:tcPr>
            <w:tcW w:w="1340" w:type="dxa"/>
            <w:vAlign w:val="bottom"/>
            <w:tcBorders>
              <w:bottom w:val="single" w:sz="8" w:color="0000FF"/>
            </w:tcBorders>
            <w:gridSpan w:val="7"/>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2.</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1519FD"/>
                <w:w w:val="98"/>
              </w:rPr>
              <w:t>Properties</w:t>
            </w: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180" w:type="dxa"/>
            <w:vAlign w:val="bottom"/>
            <w:tcBorders>
              <w:bottom w:val="single" w:sz="8" w:color="1519FD"/>
            </w:tcBorders>
            <w:vMerge w:val="continue"/>
          </w:tcPr>
          <w:p>
            <w:pPr>
              <w:spacing w:after="0"/>
              <w:rPr>
                <w:sz w:val="20"/>
                <w:szCs w:val="20"/>
                <w:color w:val="auto"/>
              </w:rPr>
            </w:pPr>
          </w:p>
        </w:tc>
        <w:tc>
          <w:tcPr>
            <w:tcW w:w="760" w:type="dxa"/>
            <w:vAlign w:val="bottom"/>
            <w:tcBorders>
              <w:bottom w:val="single" w:sz="8" w:color="1519FD"/>
            </w:tcBorders>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3.</w:t>
            </w:r>
          </w:p>
        </w:tc>
        <w:tc>
          <w:tcPr>
            <w:tcW w:w="13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1519FD"/>
                <w:w w:val="98"/>
              </w:rPr>
              <w:t>Legal Proceedings</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180" w:type="dxa"/>
            <w:vAlign w:val="bottom"/>
            <w:tcBorders>
              <w:bottom w:val="single" w:sz="8" w:color="1519FD"/>
            </w:tcBorders>
            <w:vMerge w:val="continue"/>
          </w:tcPr>
          <w:p>
            <w:pPr>
              <w:spacing w:after="0"/>
              <w:rPr>
                <w:sz w:val="20"/>
                <w:szCs w:val="20"/>
                <w:color w:val="auto"/>
              </w:rPr>
            </w:pPr>
          </w:p>
        </w:tc>
        <w:tc>
          <w:tcPr>
            <w:tcW w:w="1360" w:type="dxa"/>
            <w:vAlign w:val="bottom"/>
            <w:tcBorders>
              <w:bottom w:val="single" w:sz="8" w:color="1519FD"/>
            </w:tcBorders>
            <w:gridSpan w:val="7"/>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4.</w:t>
            </w:r>
          </w:p>
        </w:tc>
        <w:tc>
          <w:tcPr>
            <w:tcW w:w="180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1519FD"/>
                <w:w w:val="99"/>
              </w:rPr>
              <w:t>Mine Safety Disclosures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180" w:type="dxa"/>
            <w:vAlign w:val="bottom"/>
            <w:tcBorders>
              <w:bottom w:val="single" w:sz="8" w:color="1519FD"/>
            </w:tcBorders>
            <w:vMerge w:val="continue"/>
          </w:tcPr>
          <w:p>
            <w:pPr>
              <w:spacing w:after="0"/>
              <w:rPr>
                <w:sz w:val="20"/>
                <w:szCs w:val="20"/>
                <w:color w:val="auto"/>
              </w:rPr>
            </w:pPr>
          </w:p>
        </w:tc>
        <w:tc>
          <w:tcPr>
            <w:tcW w:w="1800" w:type="dxa"/>
            <w:vAlign w:val="bottom"/>
            <w:tcBorders>
              <w:bottom w:val="single" w:sz="8" w:color="1519FD"/>
            </w:tcBorders>
            <w:gridSpan w:val="10"/>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1519FD"/>
                <w:w w:val="95"/>
              </w:rPr>
              <w:t>Part II</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Borders>
              <w:bottom w:val="single" w:sz="8" w:color="1519FD"/>
            </w:tcBorders>
            <w:gridSpan w:val="6"/>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1519FD"/>
                <w:w w:val="99"/>
              </w:rPr>
              <w:t>Item 5. Market for Registrant's Common Equity, Related Stockholder Matters and Issuer Purchases of Equity Securities</w:t>
            </w: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0" w:type="dxa"/>
            <w:vAlign w:val="bottom"/>
            <w:tcBorders>
              <w:bottom w:val="single" w:sz="8" w:color="1519FD"/>
            </w:tcBorders>
            <w:gridSpan w:val="28"/>
            <w:vMerge w:val="continue"/>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6.</w:t>
            </w: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1519FD"/>
                <w:w w:val="97"/>
              </w:rPr>
              <w:t>[ Reserved ]</w:t>
            </w: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180" w:type="dxa"/>
            <w:vAlign w:val="bottom"/>
            <w:tcBorders>
              <w:bottom w:val="single" w:sz="8" w:color="1519FD"/>
            </w:tcBorders>
            <w:vMerge w:val="continue"/>
          </w:tcPr>
          <w:p>
            <w:pPr>
              <w:spacing w:after="0"/>
              <w:rPr>
                <w:sz w:val="20"/>
                <w:szCs w:val="20"/>
                <w:color w:val="auto"/>
              </w:rPr>
            </w:pPr>
          </w:p>
        </w:tc>
        <w:tc>
          <w:tcPr>
            <w:tcW w:w="900" w:type="dxa"/>
            <w:vAlign w:val="bottom"/>
            <w:tcBorders>
              <w:bottom w:val="single" w:sz="8" w:color="1519FD"/>
            </w:tcBorders>
            <w:gridSpan w:val="4"/>
            <w:vMerge w:val="continue"/>
          </w:tcPr>
          <w:p>
            <w:pPr>
              <w:spacing w:after="0"/>
              <w:rPr>
                <w:sz w:val="20"/>
                <w:szCs w:val="20"/>
                <w:color w:val="auto"/>
              </w:rPr>
            </w:pPr>
          </w:p>
        </w:tc>
        <w:tc>
          <w:tcPr>
            <w:tcW w:w="560" w:type="dxa"/>
            <w:vAlign w:val="bottom"/>
            <w:gridSpan w:val="4"/>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7.</w:t>
            </w:r>
          </w:p>
        </w:tc>
        <w:tc>
          <w:tcPr>
            <w:tcW w:w="6460" w:type="dxa"/>
            <w:vAlign w:val="bottom"/>
            <w:gridSpan w:val="21"/>
            <w:vMerge w:val="restart"/>
          </w:tcPr>
          <w:p>
            <w:pPr>
              <w:ind w:left="20"/>
              <w:spacing w:after="0"/>
              <w:rPr>
                <w:sz w:val="20"/>
                <w:szCs w:val="20"/>
                <w:color w:val="auto"/>
              </w:rPr>
            </w:pPr>
            <w:r>
              <w:rPr>
                <w:rFonts w:ascii="Times New Roman" w:cs="Times New Roman" w:eastAsia="Times New Roman" w:hAnsi="Times New Roman"/>
                <w:sz w:val="18"/>
                <w:szCs w:val="18"/>
                <w:color w:val="1519FD"/>
                <w:w w:val="99"/>
              </w:rPr>
              <w:t>Management's Discussion and Analysis of Financial Condition and Results of Operations</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180" w:type="dxa"/>
            <w:vAlign w:val="bottom"/>
            <w:tcBorders>
              <w:bottom w:val="single" w:sz="8" w:color="1519FD"/>
            </w:tcBorders>
            <w:vMerge w:val="continue"/>
          </w:tcPr>
          <w:p>
            <w:pPr>
              <w:spacing w:after="0"/>
              <w:rPr>
                <w:sz w:val="20"/>
                <w:szCs w:val="20"/>
                <w:color w:val="auto"/>
              </w:rPr>
            </w:pPr>
          </w:p>
        </w:tc>
        <w:tc>
          <w:tcPr>
            <w:tcW w:w="6460" w:type="dxa"/>
            <w:vAlign w:val="bottom"/>
            <w:tcBorders>
              <w:bottom w:val="single" w:sz="8" w:color="1519FD"/>
            </w:tcBorders>
            <w:gridSpan w:val="21"/>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4700" w:type="dxa"/>
            <w:vAlign w:val="bottom"/>
            <w:gridSpan w:val="19"/>
            <w:vMerge w:val="restart"/>
          </w:tcPr>
          <w:p>
            <w:pPr>
              <w:ind w:left="20"/>
              <w:spacing w:after="0"/>
              <w:rPr>
                <w:sz w:val="20"/>
                <w:szCs w:val="20"/>
                <w:color w:val="auto"/>
              </w:rPr>
            </w:pPr>
            <w:r>
              <w:rPr>
                <w:rFonts w:ascii="Times New Roman" w:cs="Times New Roman" w:eastAsia="Times New Roman" w:hAnsi="Times New Roman"/>
                <w:sz w:val="18"/>
                <w:szCs w:val="18"/>
                <w:color w:val="1519FD"/>
                <w:w w:val="99"/>
              </w:rPr>
              <w:t>7A. Quantitative and Qualitative Disclosures About Market Risk</w:t>
            </w: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4700" w:type="dxa"/>
            <w:vAlign w:val="bottom"/>
            <w:tcBorders>
              <w:bottom w:val="single" w:sz="8" w:color="1519FD"/>
            </w:tcBorders>
            <w:gridSpan w:val="19"/>
            <w:vMerge w:val="continue"/>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8.</w:t>
            </w:r>
          </w:p>
        </w:tc>
        <w:tc>
          <w:tcPr>
            <w:tcW w:w="3360" w:type="dxa"/>
            <w:vAlign w:val="bottom"/>
            <w:gridSpan w:val="16"/>
            <w:vMerge w:val="restart"/>
          </w:tcPr>
          <w:p>
            <w:pPr>
              <w:ind w:left="20"/>
              <w:spacing w:after="0"/>
              <w:rPr>
                <w:sz w:val="20"/>
                <w:szCs w:val="20"/>
                <w:color w:val="auto"/>
              </w:rPr>
            </w:pPr>
            <w:r>
              <w:rPr>
                <w:rFonts w:ascii="Times New Roman" w:cs="Times New Roman" w:eastAsia="Times New Roman" w:hAnsi="Times New Roman"/>
                <w:sz w:val="18"/>
                <w:szCs w:val="18"/>
                <w:color w:val="1519FD"/>
                <w:w w:val="99"/>
              </w:rPr>
              <w:t>Financial Statements and Supplementary Data</w:t>
            </w: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180" w:type="dxa"/>
            <w:vAlign w:val="bottom"/>
            <w:tcBorders>
              <w:bottom w:val="single" w:sz="8" w:color="1519FD"/>
            </w:tcBorders>
            <w:vMerge w:val="continue"/>
          </w:tcPr>
          <w:p>
            <w:pPr>
              <w:spacing w:after="0"/>
              <w:rPr>
                <w:sz w:val="20"/>
                <w:szCs w:val="20"/>
                <w:color w:val="auto"/>
              </w:rPr>
            </w:pPr>
          </w:p>
        </w:tc>
        <w:tc>
          <w:tcPr>
            <w:tcW w:w="3360" w:type="dxa"/>
            <w:vAlign w:val="bottom"/>
            <w:tcBorders>
              <w:bottom w:val="single" w:sz="8" w:color="1519FD"/>
            </w:tcBorders>
            <w:gridSpan w:val="16"/>
            <w:vMerge w:val="continue"/>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9.</w:t>
            </w:r>
          </w:p>
        </w:tc>
        <w:tc>
          <w:tcPr>
            <w:tcW w:w="6600" w:type="dxa"/>
            <w:vAlign w:val="bottom"/>
            <w:gridSpan w:val="22"/>
            <w:vMerge w:val="restart"/>
          </w:tcPr>
          <w:p>
            <w:pPr>
              <w:ind w:left="20"/>
              <w:spacing w:after="0"/>
              <w:rPr>
                <w:sz w:val="20"/>
                <w:szCs w:val="20"/>
                <w:color w:val="auto"/>
              </w:rPr>
            </w:pPr>
            <w:r>
              <w:rPr>
                <w:rFonts w:ascii="Times New Roman" w:cs="Times New Roman" w:eastAsia="Times New Roman" w:hAnsi="Times New Roman"/>
                <w:sz w:val="18"/>
                <w:szCs w:val="18"/>
                <w:color w:val="1519FD"/>
                <w:w w:val="99"/>
              </w:rPr>
              <w:t>Changes in and Disagreements With Accountants on Accounting and Financial Disclosures</w:t>
            </w: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vMerge w:val="continue"/>
          </w:tcPr>
          <w:p>
            <w:pPr>
              <w:spacing w:after="0"/>
              <w:rPr>
                <w:sz w:val="21"/>
                <w:szCs w:val="21"/>
                <w:color w:val="auto"/>
              </w:rPr>
            </w:pPr>
          </w:p>
        </w:tc>
        <w:tc>
          <w:tcPr>
            <w:tcW w:w="180" w:type="dxa"/>
            <w:vAlign w:val="bottom"/>
            <w:tcBorders>
              <w:bottom w:val="single" w:sz="8" w:color="1519FD"/>
            </w:tcBorders>
            <w:vMerge w:val="continue"/>
          </w:tcPr>
          <w:p>
            <w:pPr>
              <w:spacing w:after="0"/>
              <w:rPr>
                <w:sz w:val="21"/>
                <w:szCs w:val="21"/>
                <w:color w:val="auto"/>
              </w:rPr>
            </w:pPr>
          </w:p>
        </w:tc>
        <w:tc>
          <w:tcPr>
            <w:tcW w:w="6600" w:type="dxa"/>
            <w:vAlign w:val="bottom"/>
            <w:tcBorders>
              <w:bottom w:val="single" w:sz="8" w:color="1519FD"/>
            </w:tcBorders>
            <w:gridSpan w:val="22"/>
            <w:vMerge w:val="continue"/>
          </w:tcPr>
          <w:p>
            <w:pPr>
              <w:spacing w:after="0"/>
              <w:rPr>
                <w:sz w:val="21"/>
                <w:szCs w:val="21"/>
                <w:color w:val="auto"/>
              </w:rPr>
            </w:pPr>
          </w:p>
        </w:tc>
        <w:tc>
          <w:tcPr>
            <w:tcW w:w="86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98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1519FD"/>
              </w:rPr>
              <w:t>9A. Controls and Procedures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102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100" w:type="dxa"/>
            <w:vAlign w:val="bottom"/>
            <w:tcBorders>
              <w:top w:val="single" w:sz="8" w:color="1519FD"/>
            </w:tcBorders>
            <w:gridSpan w:val="12"/>
          </w:tcPr>
          <w:p>
            <w:pPr>
              <w:ind w:left="20"/>
              <w:spacing w:after="0"/>
              <w:rPr>
                <w:sz w:val="20"/>
                <w:szCs w:val="20"/>
                <w:color w:val="auto"/>
              </w:rPr>
            </w:pPr>
            <w:r>
              <w:rPr>
                <w:rFonts w:ascii="Times New Roman" w:cs="Times New Roman" w:eastAsia="Times New Roman" w:hAnsi="Times New Roman"/>
                <w:sz w:val="18"/>
                <w:szCs w:val="18"/>
                <w:color w:val="1519FD"/>
              </w:rPr>
              <w:t>9B. Other Information</w:t>
            </w:r>
          </w:p>
        </w:tc>
        <w:tc>
          <w:tcPr>
            <w:tcW w:w="7700" w:type="dxa"/>
            <w:vAlign w:val="bottom"/>
            <w:gridSpan w:val="14"/>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380" w:type="dxa"/>
            <w:vAlign w:val="bottom"/>
            <w:gridSpan w:val="2"/>
            <w:shd w:val="clear" w:color="auto" w:fill="1519FD"/>
          </w:tcPr>
          <w:p>
            <w:pPr>
              <w:spacing w:after="0" w:line="20" w:lineRule="exact"/>
              <w:rPr>
                <w:sz w:val="1"/>
                <w:szCs w:val="1"/>
                <w:color w:val="auto"/>
              </w:rPr>
            </w:pPr>
          </w:p>
        </w:tc>
        <w:tc>
          <w:tcPr>
            <w:tcW w:w="1260" w:type="dxa"/>
            <w:vAlign w:val="bottom"/>
            <w:gridSpan w:val="7"/>
            <w:shd w:val="clear" w:color="auto" w:fill="1519F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1519FD"/>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980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1519FD"/>
              </w:rPr>
              <w:t>9C. Disclosure Regarding Foreign Jurisdiction that Prevent Inspections.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102</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18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46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6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12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78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86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500" w:type="dxa"/>
            <w:vAlign w:val="bottom"/>
            <w:shd w:val="clear" w:color="auto" w:fill="1519FD"/>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1519FD"/>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1519FD"/>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1519FD"/>
                <w:w w:val="93"/>
              </w:rPr>
              <w:t>Part III</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4400" w:type="dxa"/>
            <w:vAlign w:val="bottom"/>
            <w:tcBorders>
              <w:bottom w:val="single" w:sz="8" w:color="1519FD"/>
            </w:tcBorders>
            <w:gridSpan w:val="18"/>
          </w:tcPr>
          <w:p>
            <w:pPr>
              <w:ind w:left="20"/>
              <w:spacing w:after="0"/>
              <w:rPr>
                <w:sz w:val="20"/>
                <w:szCs w:val="20"/>
                <w:color w:val="auto"/>
              </w:rPr>
            </w:pPr>
            <w:r>
              <w:rPr>
                <w:rFonts w:ascii="Times New Roman" w:cs="Times New Roman" w:eastAsia="Times New Roman" w:hAnsi="Times New Roman"/>
                <w:sz w:val="18"/>
                <w:szCs w:val="18"/>
                <w:color w:val="1519FD"/>
                <w:w w:val="99"/>
              </w:rPr>
              <w:t>10. Directors, Executive Officers and Corporate Governance</w:t>
            </w:r>
          </w:p>
        </w:tc>
        <w:tc>
          <w:tcPr>
            <w:tcW w:w="1340" w:type="dxa"/>
            <w:vAlign w:val="bottom"/>
            <w:gridSpan w:val="3"/>
          </w:tcPr>
          <w:p>
            <w:pPr>
              <w:spacing w:after="0"/>
              <w:rPr>
                <w:sz w:val="21"/>
                <w:szCs w:val="21"/>
                <w:color w:val="auto"/>
              </w:rPr>
            </w:pPr>
          </w:p>
        </w:tc>
        <w:tc>
          <w:tcPr>
            <w:tcW w:w="190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140" w:type="dxa"/>
            <w:vAlign w:val="bottom"/>
            <w:tcBorders>
              <w:bottom w:val="single" w:sz="8" w:color="1519FD"/>
            </w:tcBorders>
            <w:gridSpan w:val="13"/>
          </w:tcPr>
          <w:p>
            <w:pPr>
              <w:ind w:left="20"/>
              <w:spacing w:after="0"/>
              <w:rPr>
                <w:sz w:val="20"/>
                <w:szCs w:val="20"/>
                <w:color w:val="auto"/>
              </w:rPr>
            </w:pPr>
            <w:r>
              <w:rPr>
                <w:rFonts w:ascii="Times New Roman" w:cs="Times New Roman" w:eastAsia="Times New Roman" w:hAnsi="Times New Roman"/>
                <w:sz w:val="18"/>
                <w:szCs w:val="18"/>
                <w:color w:val="1519FD"/>
              </w:rPr>
              <w:t>11. Executive Compensation</w:t>
            </w:r>
          </w:p>
        </w:tc>
        <w:tc>
          <w:tcPr>
            <w:tcW w:w="10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5"/>
          </w:tcPr>
          <w:p>
            <w:pPr>
              <w:spacing w:after="0"/>
              <w:rPr>
                <w:sz w:val="21"/>
                <w:szCs w:val="21"/>
                <w:color w:val="auto"/>
              </w:rPr>
            </w:pPr>
          </w:p>
        </w:tc>
        <w:tc>
          <w:tcPr>
            <w:tcW w:w="190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7640" w:type="dxa"/>
            <w:vAlign w:val="bottom"/>
            <w:tcBorders>
              <w:bottom w:val="single" w:sz="8" w:color="1519FD"/>
            </w:tcBorders>
            <w:gridSpan w:val="24"/>
          </w:tcPr>
          <w:p>
            <w:pPr>
              <w:ind w:left="20"/>
              <w:spacing w:after="0"/>
              <w:rPr>
                <w:sz w:val="20"/>
                <w:szCs w:val="20"/>
                <w:color w:val="auto"/>
              </w:rPr>
            </w:pPr>
            <w:r>
              <w:rPr>
                <w:rFonts w:ascii="Times New Roman" w:cs="Times New Roman" w:eastAsia="Times New Roman" w:hAnsi="Times New Roman"/>
                <w:sz w:val="18"/>
                <w:szCs w:val="18"/>
                <w:color w:val="1519FD"/>
              </w:rPr>
              <w:t>12. Security Ownership of Certain Beneficial Owners and Management and Related Stockholder Matters</w:t>
            </w:r>
          </w:p>
        </w:tc>
        <w:tc>
          <w:tcPr>
            <w:tcW w:w="21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574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1519FD"/>
                <w:w w:val="99"/>
              </w:rPr>
              <w:t>13. Certain Relationships and Related Transactions, and Director Independence</w:t>
            </w:r>
          </w:p>
        </w:tc>
        <w:tc>
          <w:tcPr>
            <w:tcW w:w="4060" w:type="dxa"/>
            <w:vAlign w:val="bottom"/>
            <w:gridSpan w:val="5"/>
          </w:tcPr>
          <w:p>
            <w:pPr>
              <w:spacing w:after="0"/>
              <w:rPr>
                <w:sz w:val="20"/>
                <w:szCs w:val="20"/>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103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6"/>
          </w:tcPr>
          <w:p>
            <w:pPr>
              <w:spacing w:after="0"/>
              <w:rPr>
                <w:sz w:val="2"/>
                <w:szCs w:val="2"/>
                <w:color w:val="auto"/>
              </w:rPr>
            </w:pPr>
          </w:p>
        </w:tc>
        <w:tc>
          <w:tcPr>
            <w:tcW w:w="1520" w:type="dxa"/>
            <w:vAlign w:val="bottom"/>
            <w:gridSpan w:val="8"/>
            <w:shd w:val="clear" w:color="auto" w:fill="1519FD"/>
          </w:tcPr>
          <w:p>
            <w:pPr>
              <w:spacing w:after="0"/>
              <w:rPr>
                <w:sz w:val="2"/>
                <w:szCs w:val="2"/>
                <w:color w:val="auto"/>
              </w:rPr>
            </w:pPr>
          </w:p>
        </w:tc>
        <w:tc>
          <w:tcPr>
            <w:tcW w:w="1260" w:type="dxa"/>
            <w:vAlign w:val="bottom"/>
            <w:gridSpan w:val="5"/>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6560" w:type="dxa"/>
            <w:vAlign w:val="bottom"/>
            <w:gridSpan w:val="10"/>
            <w:shd w:val="clear" w:color="auto" w:fill="1519FD"/>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gridSpan w:val="3"/>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tcBorders>
              <w:bottom w:val="single" w:sz="8" w:color="1519FD"/>
            </w:tcBorders>
            <w:gridSpan w:val="19"/>
          </w:tcPr>
          <w:p>
            <w:pPr>
              <w:spacing w:after="0"/>
              <w:rPr>
                <w:sz w:val="20"/>
                <w:szCs w:val="20"/>
                <w:color w:val="auto"/>
              </w:rPr>
            </w:pPr>
            <w:r>
              <w:rPr>
                <w:rFonts w:ascii="Times New Roman" w:cs="Times New Roman" w:eastAsia="Times New Roman" w:hAnsi="Times New Roman"/>
                <w:sz w:val="18"/>
                <w:szCs w:val="18"/>
                <w:color w:val="1519FD"/>
              </w:rPr>
              <w:t>Item 14. Principal Accountant Fees and Services</w:t>
            </w:r>
          </w:p>
        </w:tc>
        <w:tc>
          <w:tcPr>
            <w:tcW w:w="6640" w:type="dxa"/>
            <w:vAlign w:val="bottom"/>
            <w:gridSpan w:val="11"/>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0" w:type="dxa"/>
            <w:vAlign w:val="bottom"/>
            <w:tcBorders>
              <w:bottom w:val="single" w:sz="8" w:color="1519FD"/>
            </w:tcBorders>
            <w:gridSpan w:val="6"/>
          </w:tcPr>
          <w:p>
            <w:pPr>
              <w:jc w:val="right"/>
              <w:spacing w:after="0"/>
              <w:rPr>
                <w:sz w:val="20"/>
                <w:szCs w:val="20"/>
                <w:color w:val="auto"/>
              </w:rPr>
            </w:pPr>
            <w:r>
              <w:rPr>
                <w:rFonts w:ascii="Times New Roman" w:cs="Times New Roman" w:eastAsia="Times New Roman" w:hAnsi="Times New Roman"/>
                <w:sz w:val="18"/>
                <w:szCs w:val="18"/>
                <w:color w:val="1519FD"/>
                <w:w w:val="95"/>
              </w:rPr>
              <w:t>Part IV</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3240" w:type="dxa"/>
            <w:vAlign w:val="bottom"/>
            <w:tcBorders>
              <w:bottom w:val="single" w:sz="8" w:color="1519FD"/>
            </w:tcBorders>
            <w:gridSpan w:val="16"/>
          </w:tcPr>
          <w:p>
            <w:pPr>
              <w:ind w:left="20"/>
              <w:spacing w:after="0"/>
              <w:rPr>
                <w:sz w:val="20"/>
                <w:szCs w:val="20"/>
                <w:color w:val="auto"/>
              </w:rPr>
            </w:pPr>
            <w:r>
              <w:rPr>
                <w:rFonts w:ascii="Times New Roman" w:cs="Times New Roman" w:eastAsia="Times New Roman" w:hAnsi="Times New Roman"/>
                <w:sz w:val="18"/>
                <w:szCs w:val="18"/>
                <w:color w:val="1519FD"/>
              </w:rPr>
              <w:t>15. Exhibits, Financial Statement Schedules</w:t>
            </w:r>
          </w:p>
        </w:tc>
        <w:tc>
          <w:tcPr>
            <w:tcW w:w="6560" w:type="dxa"/>
            <w:vAlign w:val="bottom"/>
            <w:gridSpan w:val="10"/>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900" w:type="dxa"/>
            <w:vAlign w:val="bottom"/>
            <w:tcBorders>
              <w:bottom w:val="single" w:sz="8" w:color="1519FD"/>
            </w:tcBorders>
            <w:gridSpan w:val="10"/>
          </w:tcPr>
          <w:p>
            <w:pPr>
              <w:ind w:left="20"/>
              <w:spacing w:after="0"/>
              <w:rPr>
                <w:sz w:val="20"/>
                <w:szCs w:val="20"/>
                <w:color w:val="auto"/>
              </w:rPr>
            </w:pPr>
            <w:r>
              <w:rPr>
                <w:rFonts w:ascii="Times New Roman" w:cs="Times New Roman" w:eastAsia="Times New Roman" w:hAnsi="Times New Roman"/>
                <w:sz w:val="18"/>
                <w:szCs w:val="18"/>
                <w:color w:val="1519FD"/>
              </w:rPr>
              <w:t>16. Form 10-K Summary</w:t>
            </w:r>
          </w:p>
        </w:tc>
        <w:tc>
          <w:tcPr>
            <w:tcW w:w="7900" w:type="dxa"/>
            <w:vAlign w:val="bottom"/>
            <w:gridSpan w:val="16"/>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1519FD"/>
            </w:tcBorders>
            <w:gridSpan w:val="6"/>
          </w:tcPr>
          <w:p>
            <w:pPr>
              <w:spacing w:after="0"/>
              <w:rPr>
                <w:sz w:val="20"/>
                <w:szCs w:val="20"/>
                <w:color w:val="auto"/>
              </w:rPr>
            </w:pPr>
            <w:r>
              <w:rPr>
                <w:rFonts w:ascii="Times New Roman" w:cs="Times New Roman" w:eastAsia="Times New Roman" w:hAnsi="Times New Roman"/>
                <w:sz w:val="18"/>
                <w:szCs w:val="18"/>
                <w:color w:val="1519FD"/>
                <w:w w:val="97"/>
              </w:rPr>
              <w:t>Signatures</w:t>
            </w:r>
          </w:p>
        </w:tc>
        <w:tc>
          <w:tcPr>
            <w:tcW w:w="9420" w:type="dxa"/>
            <w:vAlign w:val="bottom"/>
            <w:gridSpan w:val="24"/>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96"/>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1121"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 Item 1A, “Risk Factors,” and other factors set forth in other parts of this Annual Report on Form 10-K.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219" w:lineRule="exact"/>
        <w:rPr>
          <w:sz w:val="20"/>
          <w:szCs w:val="20"/>
          <w:color w:val="auto"/>
        </w:rPr>
      </w:pPr>
    </w:p>
    <w:p>
      <w:pPr>
        <w:ind w:left="660" w:right="70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cost of revenue, operating expenses, gross margin, adjusted EBITDA and other operating results, including as a result of the Transformation Initiative;</w:t>
      </w: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the costs, impacts and benefits of the Transformation Initiative;</w:t>
      </w:r>
    </w:p>
    <w:p>
      <w:pPr>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strategic initiatives and priorities, including our Transformation Initiative pillars of Brand Maximization, Margin Enhancement, and Operating Discipline ;</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offset the high inflationary environment, including commodity prices, labor costs, input cost and transportation cost inflation;</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strategy to deliver sustained long-term growth and profitability, including as part of the Transformation Initiative;</w:t>
      </w:r>
    </w:p>
    <w:p>
      <w:pPr>
        <w:ind w:left="660" w:right="180" w:hanging="328"/>
        <w:spacing w:after="0" w:line="22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factors, such as public health crises, supply chain disruptions and inflation on our business and the global economy, including our costs and expenses;</w:t>
      </w:r>
    </w:p>
    <w:p>
      <w:pPr>
        <w:spacing w:after="0" w:line="1" w:lineRule="exact"/>
        <w:rPr>
          <w:rFonts w:ascii="Times New Roman" w:cs="Times New Roman" w:eastAsia="Times New Roman" w:hAnsi="Times New Roman"/>
          <w:sz w:val="18"/>
          <w:szCs w:val="18"/>
          <w:color w:val="auto"/>
        </w:rPr>
      </w:pPr>
    </w:p>
    <w:p>
      <w:pPr>
        <w:ind w:left="660" w:right="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a potential recession and inflationary pressures and their impact on consumer spending, inventory management by customers and our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consumer demand and the timing and amount of orders from key customers;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revenue growth and margin improvement;</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ind w:left="660" w:right="18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marketing efforts, our focus on building a purpose-driven brand with deep connection to the community of shoppers we serve and our ability to maintain, protect and enhance our brand;</w:t>
      </w:r>
    </w:p>
    <w:p>
      <w:pPr>
        <w:spacing w:after="0" w:line="1" w:lineRule="exact"/>
        <w:rPr>
          <w:rFonts w:ascii="Times New Roman" w:cs="Times New Roman" w:eastAsia="Times New Roman" w:hAnsi="Times New Roman"/>
          <w:sz w:val="18"/>
          <w:szCs w:val="18"/>
          <w:color w:val="auto"/>
        </w:rPr>
      </w:pP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maintain and increase consumer awareness, increase market share in our product categories, or promote new products;</w:t>
      </w:r>
    </w:p>
    <w:p>
      <w:pPr>
        <w:ind w:left="660" w:right="60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innovation and digital capabilities to fuel growth and our ability to innovate on new ways to reach and connect with our community;</w:t>
      </w:r>
    </w:p>
    <w:p>
      <w:pPr>
        <w:spacing w:after="0" w:line="1" w:lineRule="exact"/>
        <w:rPr>
          <w:rFonts w:ascii="Times New Roman" w:cs="Times New Roman" w:eastAsia="Times New Roman" w:hAnsi="Times New Roman"/>
          <w:sz w:val="18"/>
          <w:szCs w:val="18"/>
          <w:color w:val="auto"/>
        </w:rPr>
      </w:pPr>
    </w:p>
    <w:p>
      <w:pPr>
        <w:ind w:left="660" w:right="34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consumers’ need for clean products will continue to grow and that we are well-positioned to continue to take market share from legacy brands;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consumers and successfully retain existing consumers, including their level of spend with us;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with retail and digital customers;</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new distribution partners;</w:t>
      </w:r>
    </w:p>
    <w:p>
      <w:pPr>
        <w:spacing w:after="0" w:line="14" w:lineRule="exact"/>
        <w:rPr>
          <w:rFonts w:ascii="Arial" w:cs="Arial" w:eastAsia="Arial" w:hAnsi="Arial"/>
          <w:sz w:val="22"/>
          <w:szCs w:val="22"/>
          <w:color w:val="auto"/>
        </w:rPr>
      </w:pPr>
    </w:p>
    <w:p>
      <w:pPr>
        <w:ind w:left="660" w:hanging="328"/>
        <w:spacing w:after="0" w:line="20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bring new products to market or to successfully enter new markets;</w:t>
      </w:r>
    </w:p>
    <w:p>
      <w:pPr>
        <w:ind w:left="660" w:right="360" w:hanging="328"/>
        <w:spacing w:after="0" w:line="234"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commitment to bringing our Honest Standard, as further described herein, to new products and new categories where we believe there is a need for a higher standard for clean personal care;</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practices, commitments and performance related to environmental, social and governance (ESG) matters;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inventory and maintain sufficient inventory to satisfy customer demands and meet revenue targets;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liquidate excess inventory related to drops in consumer demand for our products, product discontinuations or product restages;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gauge consumer trends and changing consumer preferences;</w:t>
      </w: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complete acquisitions that complement and expand our reach and platform;</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our relationships with, our suppliers, manufacturers, distributors and retailers;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and manufacturers to comply with safety, environmental or other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 w:name="page6"/>
    <w:bookmarkEnd w:id="5"/>
    <w:p>
      <w:pPr>
        <w:jc w:val="both"/>
        <w:ind w:left="328" w:hanging="328"/>
        <w:spacing w:after="0" w:line="24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w:t>
      </w:r>
    </w:p>
    <w:p>
      <w:pPr>
        <w:spacing w:after="0" w:line="1" w:lineRule="exact"/>
        <w:rPr>
          <w:rFonts w:ascii="Times New Roman" w:cs="Times New Roman" w:eastAsia="Times New Roman" w:hAnsi="Times New Roman"/>
          <w:sz w:val="18"/>
          <w:szCs w:val="18"/>
          <w:color w:val="auto"/>
        </w:rPr>
      </w:pPr>
    </w:p>
    <w:p>
      <w:pPr>
        <w:ind w:left="328" w:hanging="328"/>
        <w:spacing w:after="0" w:line="234"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legal or administrative proceedings;</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7" w:lineRule="exact"/>
        <w:rPr>
          <w:rFonts w:ascii="Times New Roman" w:cs="Times New Roman" w:eastAsia="Times New Roman" w:hAnsi="Times New Roman"/>
          <w:sz w:val="18"/>
          <w:szCs w:val="18"/>
          <w:color w:val="auto"/>
        </w:rPr>
      </w:pPr>
    </w:p>
    <w:p>
      <w:pPr>
        <w:ind w:left="328" w:hanging="328"/>
        <w:spacing w:after="0" w:line="230" w:lineRule="auto"/>
        <w:tabs>
          <w:tab w:leader="none" w:pos="3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our mission to challenge </w:t>
      </w:r>
      <w:r>
        <w:rPr>
          <w:rFonts w:ascii="Times New Roman" w:cs="Times New Roman" w:eastAsia="Times New Roman" w:hAnsi="Times New Roman"/>
          <w:sz w:val="18"/>
          <w:szCs w:val="18"/>
          <w:i w:val="1"/>
          <w:iCs w:val="1"/>
          <w:color w:val="auto"/>
        </w:rPr>
        <w:t>ingredients, ideals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industries</w:t>
      </w:r>
      <w:r>
        <w:rPr>
          <w:rFonts w:ascii="Times New Roman" w:cs="Times New Roman" w:eastAsia="Times New Roman" w:hAnsi="Times New Roman"/>
          <w:sz w:val="18"/>
          <w:szCs w:val="18"/>
          <w:color w:val="auto"/>
        </w:rPr>
        <w:t xml:space="preserve"> so people can protect more of what they love.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652" w:top="1026" w:right="5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231F20"/>
        </w:rPr>
        <w:t>Investing in our common stock involves substantial risks. The risks described in the section titled “Risk Factors” may cause us to not realize the full benefits of our strengths or to be unable to successfully execute all or part of our strategy. Some of the more significant risks include the following:</w:t>
      </w:r>
    </w:p>
    <w:p>
      <w:pPr>
        <w:spacing w:after="0" w:line="95" w:lineRule="exact"/>
        <w:rPr>
          <w:sz w:val="20"/>
          <w:szCs w:val="20"/>
          <w:color w:val="auto"/>
        </w:rPr>
      </w:pPr>
    </w:p>
    <w:p>
      <w:pPr>
        <w:ind w:left="660" w:right="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spacing w:after="0" w:line="1" w:lineRule="exact"/>
        <w:rPr>
          <w:rFonts w:ascii="Arial" w:cs="Arial" w:eastAsia="Arial" w:hAnsi="Arial"/>
          <w:sz w:val="22"/>
          <w:szCs w:val="22"/>
          <w:color w:val="auto"/>
        </w:rPr>
      </w:pPr>
    </w:p>
    <w:p>
      <w:pPr>
        <w:ind w:left="660" w:hanging="328"/>
        <w:spacing w:after="0" w:line="219"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ind w:left="660" w:hanging="328"/>
        <w:spacing w:after="0" w:line="233" w:lineRule="auto"/>
        <w:tabs>
          <w:tab w:leader="none" w:pos="66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Our future success depends, in part, on our ability to achieve our long-term strategy.</w:t>
      </w:r>
    </w:p>
    <w:p>
      <w:pPr>
        <w:ind w:left="660" w:right="320" w:hanging="328"/>
        <w:spacing w:after="0" w:line="247"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14" w:lineRule="exact"/>
        <w:rPr>
          <w:rFonts w:ascii="Arial" w:cs="Arial" w:eastAsia="Arial" w:hAnsi="Arial"/>
          <w:sz w:val="22"/>
          <w:szCs w:val="22"/>
          <w:color w:val="auto"/>
        </w:rPr>
      </w:pPr>
    </w:p>
    <w:p>
      <w:pPr>
        <w:ind w:left="660" w:right="420" w:hanging="328"/>
        <w:spacing w:after="0" w:line="22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8"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10" w:lineRule="exact"/>
        <w:rPr>
          <w:rFonts w:ascii="Arial" w:cs="Arial" w:eastAsia="Arial" w:hAnsi="Arial"/>
          <w:sz w:val="22"/>
          <w:szCs w:val="22"/>
          <w:color w:val="auto"/>
        </w:rPr>
      </w:pPr>
    </w:p>
    <w:p>
      <w:pPr>
        <w:ind w:left="660" w:right="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Pandemics or disease outbreaks and overall macroeconomic trends have had and may continue to have an adverse effect on our business, financial condition, results of operations and prospects.</w:t>
      </w:r>
    </w:p>
    <w:p>
      <w:pPr>
        <w:spacing w:after="0" w:line="10"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strategic initiatives, including as part of the Transformation Initiative, to reduce our costs could have long-term adverse effects on our business, financial condition, results of operations and prospects, could result in total costs and expenses that are greater than expected, and we may not realize the operational or financial benefits from such actions.</w:t>
      </w:r>
    </w:p>
    <w:p>
      <w:pPr>
        <w:spacing w:after="0" w:line="9" w:lineRule="exact"/>
        <w:rPr>
          <w:rFonts w:ascii="Arial" w:cs="Arial" w:eastAsia="Arial" w:hAnsi="Arial"/>
          <w:sz w:val="22"/>
          <w:szCs w:val="22"/>
          <w:color w:val="auto"/>
        </w:rPr>
      </w:pPr>
    </w:p>
    <w:p>
      <w:pPr>
        <w:ind w:left="660" w:right="8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0" w:lineRule="exact"/>
        <w:rPr>
          <w:rFonts w:ascii="Arial" w:cs="Arial" w:eastAsia="Arial" w:hAnsi="Arial"/>
          <w:sz w:val="22"/>
          <w:szCs w:val="22"/>
          <w:color w:val="auto"/>
        </w:rPr>
      </w:pPr>
    </w:p>
    <w:p>
      <w:pPr>
        <w:ind w:left="660" w:right="2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10" w:lineRule="exact"/>
        <w:rPr>
          <w:rFonts w:ascii="Arial" w:cs="Arial" w:eastAsia="Arial" w:hAnsi="Arial"/>
          <w:sz w:val="22"/>
          <w:szCs w:val="22"/>
          <w:color w:val="auto"/>
        </w:rPr>
      </w:pPr>
    </w:p>
    <w:p>
      <w:pPr>
        <w:ind w:left="660" w:right="60" w:hanging="328"/>
        <w:spacing w:after="0" w:line="239" w:lineRule="auto"/>
        <w:tabs>
          <w:tab w:leader="none" w:pos="65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our competitive position is largely dependent on the services of our senior management and other key personnel, including our founder and Chief Creative Officer, Jessica Warren and her name and Likeness Agreement, and our Chief Executive Officer, Carla Vernón.</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spacing w:after="0" w:line="14"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 disruption in our operations could have an adverse effect on our business.</w:t>
      </w:r>
    </w:p>
    <w:p>
      <w:pPr>
        <w:spacing w:after="0" w:line="14" w:lineRule="exact"/>
        <w:rPr>
          <w:rFonts w:ascii="Arial" w:cs="Arial" w:eastAsia="Arial" w:hAnsi="Arial"/>
          <w:sz w:val="22"/>
          <w:szCs w:val="22"/>
          <w:color w:val="auto"/>
        </w:rPr>
      </w:pPr>
    </w:p>
    <w:p>
      <w:pPr>
        <w:ind w:left="660" w:right="400" w:hanging="328"/>
        <w:spacing w:after="0" w:line="218"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8" w:lineRule="exact"/>
        <w:rPr>
          <w:rFonts w:ascii="Arial" w:cs="Arial" w:eastAsia="Arial" w:hAnsi="Arial"/>
          <w:sz w:val="22"/>
          <w:szCs w:val="22"/>
          <w:color w:val="auto"/>
        </w:rPr>
      </w:pPr>
    </w:p>
    <w:p>
      <w:pPr>
        <w:ind w:left="660" w:right="460" w:hanging="328"/>
        <w:spacing w:after="0" w:line="230"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8" w:lineRule="exact"/>
        <w:rPr>
          <w:rFonts w:ascii="Arial" w:cs="Arial" w:eastAsia="Arial" w:hAnsi="Arial"/>
          <w:sz w:val="22"/>
          <w:szCs w:val="22"/>
          <w:color w:val="auto"/>
        </w:rPr>
      </w:pPr>
    </w:p>
    <w:p>
      <w:pPr>
        <w:ind w:left="660" w:right="520" w:hanging="328"/>
        <w:spacing w:after="0" w:line="239" w:lineRule="auto"/>
        <w:tabs>
          <w:tab w:leader="none" w:pos="65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10" w:lineRule="exact"/>
        <w:rPr>
          <w:rFonts w:ascii="Arial" w:cs="Arial" w:eastAsia="Arial" w:hAnsi="Arial"/>
          <w:sz w:val="21"/>
          <w:szCs w:val="21"/>
          <w:color w:val="auto"/>
        </w:rPr>
      </w:pPr>
    </w:p>
    <w:p>
      <w:pPr>
        <w:ind w:left="660" w:right="28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scrutiny and evolving expectations from stakeholders with respect to our ESG practices, performance, commitments and disclosures may impact our reputation, increase our costs and impact our access to capital.</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International trade disputes and the U.S. government’s trade policy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 Of Business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The Honest Company (the "Company," which may also be referred to as “we,” “us” or “our”) is </w:t>
      </w:r>
      <w:r>
        <w:rPr>
          <w:rFonts w:ascii="Times New Roman" w:cs="Times New Roman" w:eastAsia="Times New Roman" w:hAnsi="Times New Roman"/>
          <w:sz w:val="18"/>
          <w:szCs w:val="18"/>
          <w:color w:val="000000"/>
        </w:rPr>
        <w:t>a personal care company dedicated to creating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clean- and sustainably-designed products</w:t>
      </w:r>
      <w:r>
        <w:rPr>
          <w:rFonts w:ascii="Times New Roman" w:cs="Times New Roman" w:eastAsia="Times New Roman" w:hAnsi="Times New Roman"/>
          <w:sz w:val="18"/>
          <w:szCs w:val="18"/>
          <w:color w:val="231F20"/>
        </w:rPr>
        <w:t>. Our commitment to our core values, continual innovation and engaging our community has differentiated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elevated our brand and our products. Since our launch in 2012, we have been dedicated to developing clean, sustainable, effective and thoughtfully designed products. By doing so with transparency, we have cultivated deep trust around what matters most to our consumers: their health, their families and their homes. We are an omnichannel brand, ensuring our products are available wherever our consumers shop through our Retail and Digital channels. Our differentiated platform positions us for continued growth through our trusted brand, award-winning multi-category product offering, deep digital-first connection with consumers and omnichannel accessibility.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Products and Product Categories</w:t>
      </w:r>
    </w:p>
    <w:p>
      <w:pPr>
        <w:spacing w:after="0" w:line="243"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Our Chief Executive Officer, as the chief operating decision maker, organizes the Company, manages resource allocations, and measures performance on the basis of one operating segment. </w:t>
      </w:r>
      <w:r>
        <w:rPr>
          <w:rFonts w:ascii="Times New Roman" w:cs="Times New Roman" w:eastAsia="Times New Roman" w:hAnsi="Times New Roman"/>
          <w:sz w:val="18"/>
          <w:szCs w:val="18"/>
          <w:color w:val="231F20"/>
        </w:rPr>
        <w:t>Our three product categories are Diapers and Wipes, Skin and Personal Care and Household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Wellness, which represented </w:t>
      </w:r>
      <w:r>
        <w:rPr>
          <w:rFonts w:ascii="Times New Roman" w:cs="Times New Roman" w:eastAsia="Times New Roman" w:hAnsi="Times New Roman"/>
          <w:sz w:val="18"/>
          <w:szCs w:val="18"/>
          <w:color w:val="000000"/>
        </w:rPr>
        <w:t>63%, 26%, and 11%</w:t>
      </w:r>
      <w:r>
        <w:rPr>
          <w:rFonts w:ascii="Times New Roman" w:cs="Times New Roman" w:eastAsia="Times New Roman" w:hAnsi="Times New Roman"/>
          <w:sz w:val="18"/>
          <w:szCs w:val="18"/>
          <w:color w:val="231F20"/>
        </w:rPr>
        <w:t xml:space="preserve"> of our 2023 revenue, respectively.</w:t>
      </w:r>
    </w:p>
    <w:p>
      <w:pPr>
        <w:spacing w:after="0" w:line="202" w:lineRule="exact"/>
        <w:rPr>
          <w:sz w:val="20"/>
          <w:szCs w:val="20"/>
          <w:color w:val="auto"/>
        </w:rPr>
      </w:pPr>
    </w:p>
    <w:p>
      <w:pPr>
        <w:ind w:left="660" w:right="180" w:hanging="328"/>
        <w:spacing w:after="0" w:line="226" w:lineRule="auto"/>
        <w:tabs>
          <w:tab w:leader="none" w:pos="579"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Diapers and Wipes. </w:t>
      </w:r>
      <w:r>
        <w:rPr>
          <w:rFonts w:ascii="Times New Roman" w:cs="Times New Roman" w:eastAsia="Times New Roman" w:hAnsi="Times New Roman"/>
          <w:sz w:val="18"/>
          <w:szCs w:val="18"/>
          <w:color w:val="231F20"/>
        </w:rPr>
        <w:t>Primary components of our diapers include responsibly sourced, plant-based fluff pulp and other plant-derived materials.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diapers have an extensive modern and efficient design that uses less material. </w:t>
      </w:r>
      <w:r>
        <w:rPr>
          <w:rFonts w:ascii="Times New Roman" w:cs="Times New Roman" w:eastAsia="Times New Roman" w:hAnsi="Times New Roman"/>
          <w:sz w:val="18"/>
          <w:szCs w:val="18"/>
          <w:color w:val="000000"/>
        </w:rPr>
        <w:t>Our Clean Conscious</w:t>
      </w:r>
      <w:r>
        <w:rPr>
          <w:rFonts w:ascii="Times New Roman" w:cs="Times New Roman" w:eastAsia="Times New Roman" w:hAnsi="Times New Roman"/>
          <w:sz w:val="23"/>
          <w:szCs w:val="23"/>
          <w:color w:val="000000"/>
          <w:vertAlign w:val="superscript"/>
        </w:rPr>
        <w:t>TM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wipes are compostable and plant-based,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made with over 99% water and gentle on sensitive skin.</w:t>
      </w:r>
    </w:p>
    <w:p>
      <w:pPr>
        <w:spacing w:after="0" w:line="211" w:lineRule="exact"/>
        <w:rPr>
          <w:rFonts w:ascii="Times New Roman" w:cs="Times New Roman" w:eastAsia="Times New Roman" w:hAnsi="Times New Roman"/>
          <w:sz w:val="18"/>
          <w:szCs w:val="18"/>
          <w:color w:val="231F20"/>
        </w:rPr>
      </w:pPr>
    </w:p>
    <w:p>
      <w:pPr>
        <w:ind w:left="660" w:right="60" w:hanging="328"/>
        <w:spacing w:after="0" w:line="228" w:lineRule="auto"/>
        <w:tabs>
          <w:tab w:leader="none" w:pos="65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Skin and Personal Care</w:t>
      </w:r>
      <w:r>
        <w:rPr>
          <w:rFonts w:ascii="Times New Roman" w:cs="Times New Roman" w:eastAsia="Times New Roman" w:hAnsi="Times New Roman"/>
          <w:sz w:val="18"/>
          <w:szCs w:val="18"/>
          <w:color w:val="231F20"/>
        </w:rPr>
        <w:t>. We use clean and safe ingredients, including many naturally-derived ingredients that, most-importantly, are effective. We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have an extensive line of bath, body, skincare and beauty products designed for a range of skin types and concerns, many of which are certified by trusted experts and institutions, including the National Eczema Association. Our products are formulated to perform and our ingredients and formulas are toxicologist-audited for potential health concerns. For example, our award-winning</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Daily Green Juice Antioxidant Super Serum</w:t>
      </w:r>
      <w:r>
        <w:rPr>
          <w:rFonts w:ascii="Times New Roman" w:cs="Times New Roman" w:eastAsia="Times New Roman" w:hAnsi="Times New Roman"/>
          <w:sz w:val="18"/>
          <w:szCs w:val="18"/>
          <w:color w:val="231F20"/>
        </w:rPr>
        <w:t xml:space="preserve"> is made without harmful parabens or paraffin, synthetic fragrances, cyclomethicone or mineral oil and is formulated to improve the appearance of uneven skin tone and help your skin feel hydrated for a healthy glow.</w:t>
      </w:r>
    </w:p>
    <w:p>
      <w:pPr>
        <w:spacing w:after="0" w:line="210" w:lineRule="exact"/>
        <w:rPr>
          <w:rFonts w:ascii="Times New Roman" w:cs="Times New Roman" w:eastAsia="Times New Roman" w:hAnsi="Times New Roman"/>
          <w:sz w:val="18"/>
          <w:szCs w:val="18"/>
          <w:color w:val="231F20"/>
        </w:rPr>
      </w:pPr>
    </w:p>
    <w:p>
      <w:pPr>
        <w:ind w:left="660" w:hanging="328"/>
        <w:spacing w:after="0" w:line="22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Household and Wellness. </w:t>
      </w:r>
      <w:r>
        <w:rPr>
          <w:rFonts w:ascii="Times New Roman" w:cs="Times New Roman" w:eastAsia="Times New Roman" w:hAnsi="Times New Roman"/>
          <w:sz w:val="18"/>
          <w:szCs w:val="18"/>
          <w:color w:val="231F20"/>
        </w:rPr>
        <w:t>We offer clean products that are designed to be safe for the whole family without compromising efficacy. Some of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category products include baby clothing</w:t>
      </w:r>
      <w:r>
        <w:rPr>
          <w:rFonts w:ascii="Times New Roman" w:cs="Times New Roman" w:eastAsia="Times New Roman" w:hAnsi="Times New Roman"/>
          <w:sz w:val="23"/>
          <w:szCs w:val="23"/>
          <w:color w:val="231F20"/>
          <w:vertAlign w:val="superscript"/>
        </w:rPr>
        <w:t>(2)</w:t>
      </w:r>
      <w:r>
        <w:rPr>
          <w:rFonts w:ascii="Times New Roman" w:cs="Times New Roman" w:eastAsia="Times New Roman" w:hAnsi="Times New Roman"/>
          <w:sz w:val="18"/>
          <w:szCs w:val="18"/>
          <w:color w:val="231F20"/>
        </w:rPr>
        <w:t xml:space="preserve"> made with organic cotton, pre and post natal vitamins, wellness supplements, sanitizing wipes, and hand sanitizer made with plant-based ingredients.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w:t>
      </w:r>
    </w:p>
    <w:p>
      <w:pPr>
        <w:ind w:left="180" w:hanging="172"/>
        <w:spacing w:after="0" w:line="226" w:lineRule="auto"/>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Allure's 2023 "Best of Beauty" award winner in the "Clean Beauty" category.</w:t>
      </w:r>
    </w:p>
    <w:p>
      <w:pPr>
        <w:ind w:left="180" w:hanging="172"/>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"Holiday Fam Jams" were voted one of "Oprah's Favorite Things" in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Integrated Omnichannel Presence</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231F20"/>
        </w:rPr>
        <w:t>Since our launch, we have built a well-integrated omnichannel presence by expanding our product accessibility across both Digital and Retail channels, including the launch of strategic partnerships with Target, Amazon and Walmart in 2014, 2017 and 2022, respectively, as well as distribution with several other retailers nationwide. This business model has allowed us to efficiently scale our business while remaining agnostic as to the channel where consumers purchase our products.</w:t>
      </w:r>
    </w:p>
    <w:p>
      <w:pPr>
        <w:spacing w:after="0" w:line="192" w:lineRule="exact"/>
        <w:rPr>
          <w:sz w:val="20"/>
          <w:szCs w:val="20"/>
          <w:color w:val="auto"/>
        </w:rPr>
      </w:pPr>
    </w:p>
    <w:p>
      <w:pPr>
        <w:ind w:left="660" w:right="40" w:hanging="328"/>
        <w:spacing w:after="0" w:line="241" w:lineRule="auto"/>
        <w:tabs>
          <w:tab w:leader="none" w:pos="579"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Digital Channel. </w:t>
      </w:r>
      <w:r>
        <w:rPr>
          <w:rFonts w:ascii="Times New Roman" w:cs="Times New Roman" w:eastAsia="Times New Roman" w:hAnsi="Times New Roman"/>
          <w:sz w:val="18"/>
          <w:szCs w:val="18"/>
          <w:color w:val="231F20"/>
        </w:rPr>
        <w:t>In 2023, we generated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49%</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revenue through our Digital channel, which includes our flagship digital platform, Honest.com,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third-party pureplay ecommerce sites. Through Honest.com, we are able to establish a direct relationship with our consumers, to more effectively influence brand experience and better understand consumer preferences and behavior. Our website showcases the entirety of our product portfolio, offers exclusive products and services including our subscription service, houses branded content featured on product detail pages and our blog, and facilitates new product feedback. In addition to shopping our products a la carte, consumers have the option to subscribe to our popular Diapers and Wipes bundle subscription. In 2023, 19% of our revenue was generated from Honest.com.</w:t>
      </w:r>
    </w:p>
    <w:p>
      <w:pPr>
        <w:spacing w:after="0" w:line="213" w:lineRule="exact"/>
        <w:rPr>
          <w:sz w:val="20"/>
          <w:szCs w:val="20"/>
          <w:color w:val="auto"/>
        </w:rPr>
      </w:pPr>
    </w:p>
    <w:p>
      <w:pPr>
        <w:ind w:left="660" w:right="20"/>
        <w:spacing w:after="0" w:line="242" w:lineRule="auto"/>
        <w:rPr>
          <w:sz w:val="20"/>
          <w:szCs w:val="20"/>
          <w:color w:val="auto"/>
        </w:rPr>
      </w:pPr>
      <w:r>
        <w:rPr>
          <w:rFonts w:ascii="Times New Roman" w:cs="Times New Roman" w:eastAsia="Times New Roman" w:hAnsi="Times New Roman"/>
          <w:sz w:val="18"/>
          <w:szCs w:val="18"/>
          <w:color w:val="231F20"/>
        </w:rPr>
        <w:t>Additionally, we have strong relationships with Amazon and other third-party ecommerce platforms which allow us to further our brand experience and leverage engaging assets and content featured on Honest.com. We leverage first-party data on Amazon to improve the efficiency of our marketing spend and inform our growth strategy. These relationships also enable us to participate in important key retailer-specific programs, leading to increased awareness with a new set of consumers. We believe our Digital channel provides our consumers with the highest level of brand experience and further builds consumer loyalty.</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 w:name="page9"/>
    <w:bookmarkEnd w:id="8"/>
    <w:p>
      <w:pPr>
        <w:ind w:left="660" w:right="40" w:hanging="328"/>
        <w:spacing w:after="0" w:line="243" w:lineRule="auto"/>
        <w:tabs>
          <w:tab w:leader="none" w:pos="579"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Retail Channel. </w:t>
      </w:r>
      <w:r>
        <w:rPr>
          <w:rFonts w:ascii="Times New Roman" w:cs="Times New Roman" w:eastAsia="Times New Roman" w:hAnsi="Times New Roman"/>
          <w:sz w:val="18"/>
          <w:szCs w:val="18"/>
          <w:color w:val="231F20"/>
        </w:rPr>
        <w:t>In 2023, we generated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51%</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revenue through our Retail channel via strategic partnerships with leading omnichannel retailers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sell our products through brick and mortar stores and often on their own websites as well. Our retail partnerships expand brand awareness and product accessibility, creating meaningful marketing efficiencies as we continue to scale. Additionally, these partnerships support our differentiated value proposition by making our products conveniently accessible in the many places where our consumer shops. As of December 31, 2023, our products can be found in approximately 51,000 retail locations across the United States and Canada.</w:t>
      </w:r>
    </w:p>
    <w:p>
      <w:pPr>
        <w:spacing w:after="0" w:line="210"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All-commodity volume ("ACV") is the measurement of a product’s distribution weighted by the overall dollar retail sales attributable to the retail location distributing such product; a retail location would be counted as having sold the product or product group if at least one unit of the product was scanned for sale within the relevant time period. This metric provides a measurement of retail penetration that takes into account the importance of selling through retail locations with higher overall retail sales volumes, and as a result we believe that our competitors generally use the same measurement. For the 13-weeks ended December 31, 2023, in total we had approximately 83 points ACV in national multi-outlet stores, as compared with 72 points in the year ago period, primarily driven by new distribution and growth at one of our key retailers.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our ACV weighted distribution for the 13-week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66460" cy="2931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243" w:lineRule="exact"/>
        <w:rPr>
          <w:sz w:val="20"/>
          <w:szCs w:val="20"/>
          <w:color w:val="auto"/>
        </w:rPr>
      </w:pPr>
    </w:p>
    <w:p>
      <w:pPr>
        <w:jc w:val="both"/>
        <w:ind w:right="240" w:firstLine="648"/>
        <w:spacing w:after="0" w:line="242" w:lineRule="auto"/>
        <w:rPr>
          <w:sz w:val="20"/>
          <w:szCs w:val="20"/>
          <w:color w:val="auto"/>
        </w:rPr>
      </w:pPr>
      <w:r>
        <w:rPr>
          <w:rFonts w:ascii="Times New Roman" w:cs="Times New Roman" w:eastAsia="Times New Roman" w:hAnsi="Times New Roman"/>
          <w:sz w:val="18"/>
          <w:szCs w:val="18"/>
          <w:color w:val="auto"/>
        </w:rPr>
        <w:t>The core of our marketing strategy is focused on building a purpose driven brand with deep connection to the community of shoppers we serve. We take a modern marketing approach and are constantly innovating on new ways to reach and connect with our community. We believe this includes a best-in-class social media strategy, a deep creator/ influencer network, and a highly strategic approach to paid media.</w:t>
      </w:r>
    </w:p>
    <w:p>
      <w:pPr>
        <w:spacing w:after="0" w:line="21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7"/>
          <w:szCs w:val="17"/>
          <w:color w:val="auto"/>
        </w:rPr>
        <w:t xml:space="preserve">We are committed to bringing our Honest Standard, as further described below, to new products and new categories where we believe there is a need for a higher standard for clean personal care. </w:t>
      </w:r>
      <w:r>
        <w:rPr>
          <w:rFonts w:ascii="Times New Roman" w:cs="Times New Roman" w:eastAsia="Times New Roman" w:hAnsi="Times New Roman"/>
          <w:sz w:val="17"/>
          <w:szCs w:val="17"/>
          <w:color w:val="231F20"/>
        </w:rPr>
        <w:t>We reach our consumers through a strategic omnichannel approach across complementary Digital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Retail channels to maximize consumers’ connection, experience and access to our brand. In 2023, Target, Amazon and Walmart accounted for approximately 31%, 30% and 7% of our total revenue, respectively. We are enhancing our technology to allow digital orders to be delivered to customers faster and providing content and community digital offerings to take advantage of our subscriptions program. Our integrated omnichannel approach provides a meaningful benefit to our consumers who can shop our brand however they want, engendering further “stickiness” and loyalty. Our omnichannel approach seeks to meet consumers however they want to shop, balancing deep consumer connection with broad convenience and accessibility.</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Throughout 2023, we made meaningful progress across our Transformation Initiative pillars of Brand Maximization, Margin Enhancement, and Operating Discipline, including delivering cost savings throughout our supply chain, reducing marketing spend on low-return campaigns, emphasizing best-selling items, and exiting the Asian, European, and portions of our sanitization business, while building a culture that emphasizes executional excellence and discipline. In addition, we continued our improved working capital position, including our discipline in inventory management and we executed price increases across a large portion of our portfolio that supports Brand Maximization, recognizing the value Honest provides consumers.</w:t>
      </w:r>
    </w:p>
    <w:p>
      <w:pPr>
        <w:sectPr>
          <w:pgSz w:w="11900" w:h="16838" w:orient="portrait"/>
          <w:cols w:equalWidth="0" w:num="1">
            <w:col w:w="11240"/>
          </w:cols>
          <w:pgMar w:left="320" w:top="10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9" w:name="page10"/>
    <w:bookmarkEnd w:id="9"/>
    <w:p>
      <w:pPr>
        <w:ind w:right="20" w:firstLine="648"/>
        <w:spacing w:after="0" w:line="264" w:lineRule="auto"/>
        <w:rPr>
          <w:sz w:val="20"/>
          <w:szCs w:val="20"/>
          <w:color w:val="auto"/>
        </w:rPr>
      </w:pPr>
      <w:r>
        <w:rPr>
          <w:rFonts w:ascii="Times New Roman" w:cs="Times New Roman" w:eastAsia="Times New Roman" w:hAnsi="Times New Roman"/>
          <w:sz w:val="17"/>
          <w:szCs w:val="17"/>
          <w:color w:val="auto"/>
        </w:rPr>
        <w:t>In fiscal year 2024, we expect to steadily improve our operating results by expanding gross margin, leveraging operating expenses and generating positive Adjusted EBITDA. Our updated strategic plan is grounded in our Transformation Initiative Pillars, which set the building blocks for long-term value creation. Beyond 2024, the Company expects to realize revenue growth of 4% to 6% annually and continued Adjusted EBITDA margin expansion.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Supply Chain and Operations</w:t>
      </w:r>
    </w:p>
    <w:p>
      <w:pPr>
        <w:spacing w:after="0" w:line="22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231F20"/>
        </w:rPr>
        <w:t>We manage a global supply chain of highly qualified, third-party suppliers, including materials, components, manufacturing and logistics partners to produce and distribute our products. We look to identify and work with partners who share our commitment to quality, current Good Manufacturing Practices ("cGMPs"), clean ingredients in partnership with our Honest Standard, sustainability, and design. We conduct quality audits of our third-party partners and require that they follow our high standards of quality, including controlled documentation, cleaning and safety protocols, and laboratory controls. Our third-party partners are located in various locations including the United States, Mexico and China. Our supply chain team manages these relationships and processes and, with the support of our innovation team, researches materials, components and equipment, approves and manages purchasing plans, and oversees product fulfillment.</w:t>
      </w:r>
    </w:p>
    <w:p>
      <w:pPr>
        <w:spacing w:after="0" w:line="21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231F20"/>
        </w:rPr>
        <w:t>The primary raw materials and components of our products include responsibly sourced, plant-based fluff pulp in our diapers and plant-based substrate in our baby wipes, among other materials. Just as important as what goes into our products, we actively work with suppliers to avoid certain materials, including parabens, paraffins, synthetic fragrances, and mineral oil, that don’t meet our standards but are commonly used by mainstream brands.</w:t>
      </w:r>
    </w:p>
    <w:p>
      <w:pPr>
        <w:spacing w:after="0" w:line="211"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 xml:space="preserve">Our distribution network includes two warehouses in Nevada and Pennsylvania, respectively, with retail and direct-to-consumer (“DTC”) fulfillment capabilities and value-added services operated by National Distribution Centers, LLC, or NFI, and GEODIS Logistics LLC, or GEODIS, respectively. The warehouse in Las Vegas is a state-of-the-art facility leased by Honest with a focus on automated large scale DTC fulfillment. We manage inventory by forecasting demand tied to consumption and marketing campaigns, as well as analyzing product sell-through, and analyzing our supply chain to ensure sufficient capacity to support demand. As a result of </w:t>
      </w:r>
      <w:r>
        <w:rPr>
          <w:rFonts w:ascii="Times New Roman" w:cs="Times New Roman" w:eastAsia="Times New Roman" w:hAnsi="Times New Roman"/>
          <w:sz w:val="18"/>
          <w:szCs w:val="18"/>
          <w:color w:val="000000"/>
        </w:rPr>
        <w:t>global pandemics or other macroeconomic</w:t>
      </w:r>
      <w:r>
        <w:rPr>
          <w:rFonts w:ascii="Times New Roman" w:cs="Times New Roman" w:eastAsia="Times New Roman" w:hAnsi="Times New Roman"/>
          <w:sz w:val="18"/>
          <w:szCs w:val="18"/>
          <w:color w:val="231F20"/>
        </w:rPr>
        <w:t xml:space="preserve"> trends, we and our distribution partners have in the past experienced and may in the future experience some supply-related disruptions to the operations of our fulfillment centers.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2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rapidly evolving, with many new brands and product offerings emerging in the marketplace. We face significant competition from both established, well-known legacy c</w:t>
      </w:r>
      <w:r>
        <w:rPr>
          <w:rFonts w:ascii="Times New Roman" w:cs="Times New Roman" w:eastAsia="Times New Roman" w:hAnsi="Times New Roman"/>
          <w:sz w:val="18"/>
          <w:szCs w:val="18"/>
          <w:color w:val="000000"/>
        </w:rPr>
        <w:t>onsumer packaged goods, or CPG</w:t>
      </w:r>
      <w:r>
        <w:rPr>
          <w:rFonts w:ascii="Times New Roman" w:cs="Times New Roman" w:eastAsia="Times New Roman" w:hAnsi="Times New Roman"/>
          <w:sz w:val="18"/>
          <w:szCs w:val="18"/>
          <w:color w:val="231F20"/>
        </w:rPr>
        <w:t xml:space="preserve"> players and emerging DTC brands.</w:t>
      </w:r>
    </w:p>
    <w:p>
      <w:pPr>
        <w:spacing w:after="0" w:line="188" w:lineRule="exact"/>
        <w:rPr>
          <w:sz w:val="20"/>
          <w:szCs w:val="20"/>
          <w:color w:val="auto"/>
        </w:rPr>
      </w:pPr>
    </w:p>
    <w:p>
      <w:pPr>
        <w:ind w:left="1220" w:right="420" w:hanging="564"/>
        <w:spacing w:after="0" w:line="268" w:lineRule="auto"/>
        <w:tabs>
          <w:tab w:leader="none" w:pos="896"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Diapers and Wipes. </w:t>
      </w:r>
      <w:r>
        <w:rPr>
          <w:rFonts w:ascii="Times New Roman" w:cs="Times New Roman" w:eastAsia="Times New Roman" w:hAnsi="Times New Roman"/>
          <w:sz w:val="18"/>
          <w:szCs w:val="18"/>
          <w:color w:val="231F20"/>
        </w:rPr>
        <w:t>Select competitors include Kimberly-Clark Corporation (maker of Huggies), Procter &amp; Gamble Company (maker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Pampers, Pampers Pure and Luvs), WaterWipes UC and other private label brands.</w:t>
      </w:r>
    </w:p>
    <w:p>
      <w:pPr>
        <w:spacing w:after="0" w:line="172" w:lineRule="exact"/>
        <w:rPr>
          <w:rFonts w:ascii="Times New Roman" w:cs="Times New Roman" w:eastAsia="Times New Roman" w:hAnsi="Times New Roman"/>
          <w:sz w:val="18"/>
          <w:szCs w:val="18"/>
          <w:color w:val="231F20"/>
        </w:rPr>
      </w:pPr>
    </w:p>
    <w:p>
      <w:pPr>
        <w:ind w:left="1220" w:right="520" w:hanging="564"/>
        <w:spacing w:after="0" w:line="251" w:lineRule="auto"/>
        <w:tabs>
          <w:tab w:leader="none" w:pos="896"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Skin and Personal Care. </w:t>
      </w:r>
      <w:r>
        <w:rPr>
          <w:rFonts w:ascii="Times New Roman" w:cs="Times New Roman" w:eastAsia="Times New Roman" w:hAnsi="Times New Roman"/>
          <w:sz w:val="18"/>
          <w:szCs w:val="18"/>
          <w:color w:val="231F20"/>
        </w:rPr>
        <w:t>Select competitors include Kenvue Inc. (maker of Johnson’s Baby and Aveeno), The Clorox Company (parent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company of Burt’s Bees, Inc.), Unilever PLC (maker of Shea Moisture), LVMH Moët Hennessy Louis Vuitton (maker of Benefit Cosmetics LLC), Estée Lauder Inc., L’Oréal S.A. and Pacifica Beauty LLC.</w:t>
      </w:r>
    </w:p>
    <w:p>
      <w:pPr>
        <w:spacing w:after="0" w:line="187" w:lineRule="exact"/>
        <w:rPr>
          <w:rFonts w:ascii="Times New Roman" w:cs="Times New Roman" w:eastAsia="Times New Roman" w:hAnsi="Times New Roman"/>
          <w:sz w:val="18"/>
          <w:szCs w:val="18"/>
          <w:color w:val="231F20"/>
        </w:rPr>
      </w:pPr>
    </w:p>
    <w:p>
      <w:pPr>
        <w:ind w:left="1220" w:right="240" w:hanging="564"/>
        <w:spacing w:after="0" w:line="268" w:lineRule="auto"/>
        <w:tabs>
          <w:tab w:leader="none" w:pos="896"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Household and Wellness. </w:t>
      </w:r>
      <w:r>
        <w:rPr>
          <w:rFonts w:ascii="Times New Roman" w:cs="Times New Roman" w:eastAsia="Times New Roman" w:hAnsi="Times New Roman"/>
          <w:sz w:val="18"/>
          <w:szCs w:val="18"/>
          <w:color w:val="231F20"/>
        </w:rPr>
        <w:t>Select competitors include Carter's Inc., The Clorox Company, Reckitt Benckiser Group plc (maker of Lysol)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Unilever PLC (maker of Seventh Generation products).</w:t>
      </w:r>
    </w:p>
    <w:p>
      <w:pPr>
        <w:spacing w:after="0" w:line="188" w:lineRule="exact"/>
        <w:rPr>
          <w:sz w:val="20"/>
          <w:szCs w:val="20"/>
          <w:color w:val="auto"/>
        </w:rPr>
      </w:pPr>
    </w:p>
    <w:p>
      <w:pPr>
        <w:ind w:right="280" w:firstLine="648"/>
        <w:spacing w:after="0" w:line="279" w:lineRule="auto"/>
        <w:rPr>
          <w:sz w:val="20"/>
          <w:szCs w:val="20"/>
          <w:color w:val="auto"/>
        </w:rPr>
      </w:pPr>
      <w:r>
        <w:rPr>
          <w:rFonts w:ascii="Times New Roman" w:cs="Times New Roman" w:eastAsia="Times New Roman" w:hAnsi="Times New Roman"/>
          <w:sz w:val="17"/>
          <w:szCs w:val="17"/>
          <w:color w:val="231F20"/>
        </w:rPr>
        <w:t>We compete based on various product attributes including clean formulation, sustainability, effectiveness and design, as well as our ability to establish direct relationships with our consumers through digital channels. We believe that we compete favorably across these factors taken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Industry</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231F20"/>
        </w:rPr>
        <w:t>Our product-level revenue growth in 2023 significantly outpaced the category in wipes, diapers and baby personal care. Based on independent third-party consumption data for the 52 weeks ended December 31, 2023, the dollar amount of sales of the clean and natural products of Honest wipes, diaper and baby personal care grew 39%, 23% and 19%, respectively, significantly outpacing the products in the industry as a whole which grew in wipes, diapers and baby personal care of 6%, 4% and 3%, respectively.</w:t>
      </w:r>
    </w:p>
    <w:p>
      <w:pPr>
        <w:spacing w:after="0" w:line="19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231F20"/>
        </w:rPr>
        <w:t>We believe that consumers' need for clean products will continue to grow in years to come and as consumers become more knowledgeable about clean credentials and our Honest Standard. We believe that certain historical leading brands that have produced products in these categories for decades generally focus on single categories and offer products made with conventional ingredients that are less aligned with increasing consumer preference for clean and natural solutions. We believe that given consumers’ growing focus on their health and wellness, reducing waste and promoting social impact, we are well-positioned to continue to take market share from these legacy brands.</w:t>
      </w:r>
    </w:p>
    <w:p>
      <w:pPr>
        <w:sectPr>
          <w:pgSz w:w="11900" w:h="16838" w:orient="portrait"/>
          <w:cols w:equalWidth="0" w:num="1">
            <w:col w:w="11160"/>
          </w:cols>
          <w:pgMar w:left="320" w:top="126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9" w:right="4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Our Purpose-Driven Organization</w:t>
      </w:r>
    </w:p>
    <w:p>
      <w:pPr>
        <w:spacing w:after="0" w:line="241" w:lineRule="exact"/>
        <w:rPr>
          <w:sz w:val="20"/>
          <w:szCs w:val="20"/>
          <w:color w:val="auto"/>
        </w:rPr>
      </w:pPr>
    </w:p>
    <w:p>
      <w:pPr>
        <w:jc w:val="both"/>
        <w:ind w:right="280" w:firstLine="648"/>
        <w:spacing w:after="0" w:line="243" w:lineRule="auto"/>
        <w:rPr>
          <w:sz w:val="20"/>
          <w:szCs w:val="20"/>
          <w:color w:val="auto"/>
        </w:rPr>
      </w:pPr>
      <w:r>
        <w:rPr>
          <w:rFonts w:ascii="Times New Roman" w:cs="Times New Roman" w:eastAsia="Times New Roman" w:hAnsi="Times New Roman"/>
          <w:sz w:val="18"/>
          <w:szCs w:val="18"/>
          <w:color w:val="auto"/>
        </w:rPr>
        <w:t xml:space="preserve">We are a personal care company on a mission to challenge </w:t>
      </w:r>
      <w:r>
        <w:rPr>
          <w:rFonts w:ascii="Times New Roman" w:cs="Times New Roman" w:eastAsia="Times New Roman" w:hAnsi="Times New Roman"/>
          <w:sz w:val="18"/>
          <w:szCs w:val="18"/>
          <w:i w:val="1"/>
          <w:iCs w:val="1"/>
          <w:color w:val="auto"/>
        </w:rPr>
        <w:t>ingredients, ideals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industries</w:t>
      </w:r>
      <w:r>
        <w:rPr>
          <w:rFonts w:ascii="Times New Roman" w:cs="Times New Roman" w:eastAsia="Times New Roman" w:hAnsi="Times New Roman"/>
          <w:sz w:val="18"/>
          <w:szCs w:val="18"/>
          <w:color w:val="auto"/>
        </w:rPr>
        <w:t xml:space="preserve"> so people can protect more of what they love. We decided the rules for mass personal care were outdated, so we made our own. We call this “The Honest Standard” and it drives our standard for quality across the three dimensions below. Our ingredients, ideals and industries drive our Environmental, Social, Governance ("ESG") strategy.</w:t>
      </w:r>
    </w:p>
    <w:p>
      <w:pPr>
        <w:spacing w:after="0" w:line="210" w:lineRule="exact"/>
        <w:rPr>
          <w:sz w:val="20"/>
          <w:szCs w:val="20"/>
          <w:color w:val="auto"/>
        </w:rPr>
      </w:pPr>
    </w:p>
    <w:p>
      <w:pPr>
        <w:jc w:val="both"/>
        <w:ind w:right="60" w:firstLine="648"/>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overseeing management of risk related to our ESG practices, including risks related to our operations and our supply chain. In 2022, we also formed an ESG Council which comprises certain executive management and various cross-functional leaders across the organization that share oversight of ESG matters. This year, w</w:t>
      </w:r>
      <w:r>
        <w:rPr>
          <w:rFonts w:ascii="Times New Roman" w:cs="Times New Roman" w:eastAsia="Times New Roman" w:hAnsi="Times New Roman"/>
          <w:sz w:val="18"/>
          <w:szCs w:val="18"/>
          <w:color w:val="231F20"/>
        </w:rPr>
        <w:t>e plan to publish our first Corporate Social Responsibility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report for the 2022-2023 period, which will be available on our investor relations website.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INGREDIENTS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believe that consumers should never have to worry about the safety of the products they bring into their home. That’s why we rigorously test and research every product.</w:t>
      </w:r>
    </w:p>
    <w:p>
      <w:pPr>
        <w:spacing w:after="0" w:line="189"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We maintain a NO List™ of over 3,500 chemicals and materials we will not formulate with, including parabens, sulfate surfactants, phthalates, formaldehyde donors and synthetic fragrances. We have an in-house Toxicologist and an Eco-toxicologist with in-depth audit protocols. We review each formula for potential chemical hazards, dose-response, and anticipated exposure to ensure our products are safe not only for single use, but over the consumer’s lifetime.</w:t>
      </w:r>
    </w:p>
    <w:p>
      <w:pPr>
        <w:spacing w:after="0" w:line="198"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Our in-house R&amp;D team selects ingredients with care. For example, we prioritize naturally-derived resources over synthetic, petroleum-derived ingredients in our product formulas and designs. The alcohol used in our alcohol wipes and hand sanitizer spray is plant-derived and our fragrances are naturally derived, never synthetic. Primary components of our diapers are made with responsibly sourced, plant-based fluff pulp and backsheet, and other plant-derived materials. Our Honest Baby Clothing® is made with organic cotton.</w:t>
      </w:r>
    </w:p>
    <w:p>
      <w:pPr>
        <w:spacing w:after="0" w:line="212"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18"/>
          <w:szCs w:val="18"/>
          <w:color w:val="auto"/>
        </w:rPr>
        <w:t>We meet the requirements of many independent organizations or certification authorities for several of our products. This includes the USDA's, National Organic Program, the USDA’s BioPreferred® Program for biobased content, the National Eczema Association’s Seal of Acceptance, Environmental Working Group ("EWG") Verified™, the U.S. EPA’s Safer Choice Program, Green Seal®, the NSF/ANSI 305 standards set by Quality Assurance International and the Global Organic Textile Standard for organic cotton in our Honest Baby Clothing and bedding. We have over 100 EWG Verified™ SKUs across the organization, which are products that do not include EWG's chemicals of concern while also meeting their strict health-based guidelines.</w:t>
      </w:r>
    </w:p>
    <w:p>
      <w:pPr>
        <w:spacing w:after="0" w:line="215" w:lineRule="exact"/>
        <w:rPr>
          <w:sz w:val="20"/>
          <w:szCs w:val="20"/>
          <w:color w:val="auto"/>
        </w:rPr>
      </w:pPr>
    </w:p>
    <w:p>
      <w:pPr>
        <w:ind w:right="500" w:firstLine="648"/>
        <w:spacing w:after="0" w:line="250" w:lineRule="auto"/>
        <w:rPr>
          <w:sz w:val="20"/>
          <w:szCs w:val="20"/>
          <w:color w:val="auto"/>
        </w:rPr>
      </w:pPr>
      <w:r>
        <w:rPr>
          <w:rFonts w:ascii="Times New Roman" w:cs="Times New Roman" w:eastAsia="Times New Roman" w:hAnsi="Times New Roman"/>
          <w:sz w:val="18"/>
          <w:szCs w:val="18"/>
          <w:color w:val="auto"/>
        </w:rPr>
        <w:t>We conduct quality audits of our third-party manufacturing partners. We require our third-party manufacturers to commit to follow our high standards of controlled documentation, cleaning and safety protocols, and laboratory controls.</w:t>
      </w:r>
    </w:p>
    <w:p>
      <w:pPr>
        <w:spacing w:after="0" w:line="20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We partner with trusted science-based industry groups driving change in green chemistry. In 2022, we announced our Co-Design Partnership with ChemFORWARD, a nonprofit value chain collaboration increasing access to data on chemical hazards and safer alternatives. We are also members of the Green Chemistry &amp; Commerce Council (GC3), a multi-stakeholder collaboration driving for commercial adoption of green chemistry by forging meaningful connections across the supply and value chain.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every day is an opportunity to reinvent and break the mold in ways that serve the human spirit.</w:t>
      </w:r>
    </w:p>
    <w:p>
      <w:pPr>
        <w:spacing w:after="0" w:line="239"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18"/>
          <w:szCs w:val="18"/>
          <w:color w:val="auto"/>
        </w:rPr>
        <w:t xml:space="preserve">As a company founded by a woman of color, we have always been passionate about ensuring a diverse and inclusive workforce that reflects our consumers and the communities we serve. Our Chief Executive Officer is one of the only Afro-Latina Chief Executive Officers at a U.S. publicly traded company, bringing a new era of leadership that reflects the diversity of Honest’s consumers. </w:t>
      </w:r>
      <w:r>
        <w:rPr>
          <w:rFonts w:ascii="Times New Roman" w:cs="Times New Roman" w:eastAsia="Times New Roman" w:hAnsi="Times New Roman"/>
          <w:sz w:val="18"/>
          <w:szCs w:val="18"/>
          <w:color w:val="231F20"/>
        </w:rPr>
        <w:t>We are proud to say that as of December 31, 2023, people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color represented more than half of our workforce, and women represented approximately 65% and 60% of our workforce and leadership, which includes director level and above, respectively. As of December 31, 2023, we had a total of 176 full-time employees, as well as a limited number of temporary employees and consultants.</w:t>
      </w:r>
    </w:p>
    <w:p>
      <w:pPr>
        <w:spacing w:after="0" w:line="21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seek to breakdown old standards of what “parenthood” and “beauty” should be, with a commitment to support diversity in how these standards come to life in our marketing.</w:t>
      </w:r>
    </w:p>
    <w:p>
      <w:pPr>
        <w:sectPr>
          <w:pgSz w:w="11900" w:h="16838" w:orient="portrait"/>
          <w:cols w:equalWidth="0" w:num="1">
            <w:col w:w="11220"/>
          </w:cols>
          <w:pgMar w:left="320" w:top="12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type w:val="continuous"/>
        </w:sectPr>
      </w:pPr>
    </w:p>
    <w:bookmarkStart w:id="11" w:name="page12"/>
    <w:bookmarkEnd w:id="11"/>
    <w:p>
      <w:pPr>
        <w:ind w:right="20" w:firstLine="648"/>
        <w:spacing w:after="0" w:line="235" w:lineRule="auto"/>
        <w:rPr>
          <w:sz w:val="20"/>
          <w:szCs w:val="20"/>
          <w:color w:val="auto"/>
        </w:rPr>
      </w:pPr>
      <w:r>
        <w:rPr>
          <w:rFonts w:ascii="Times New Roman" w:cs="Times New Roman" w:eastAsia="Times New Roman" w:hAnsi="Times New Roman"/>
          <w:sz w:val="18"/>
          <w:szCs w:val="18"/>
          <w:color w:val="auto"/>
        </w:rPr>
        <w:t xml:space="preserve">We currently have five Employee Resource Groups ("ERGs"): </w:t>
      </w:r>
      <w:r>
        <w:rPr>
          <w:rFonts w:ascii="Times New Roman" w:cs="Times New Roman" w:eastAsia="Times New Roman" w:hAnsi="Times New Roman"/>
          <w:sz w:val="18"/>
          <w:szCs w:val="18"/>
          <w:i w:val="1"/>
          <w:iCs w:val="1"/>
          <w:color w:val="auto"/>
        </w:rPr>
        <w:t>Women Excelling in Leadership and Living</w:t>
      </w:r>
      <w:r>
        <w:rPr>
          <w:rFonts w:ascii="Times New Roman" w:cs="Times New Roman" w:eastAsia="Times New Roman" w:hAnsi="Times New Roman"/>
          <w:sz w:val="18"/>
          <w:szCs w:val="18"/>
          <w:color w:val="auto"/>
        </w:rPr>
        <w:t xml:space="preserve"> (W.E.L.L), </w:t>
      </w:r>
      <w:r>
        <w:rPr>
          <w:rFonts w:ascii="Times New Roman" w:cs="Times New Roman" w:eastAsia="Times New Roman" w:hAnsi="Times New Roman"/>
          <w:sz w:val="18"/>
          <w:szCs w:val="18"/>
          <w:i w:val="1"/>
          <w:iCs w:val="1"/>
          <w:color w:val="auto"/>
        </w:rPr>
        <w:t>Black Leadership, Allies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(B.L.A.C),</w:t>
      </w:r>
      <w:r>
        <w:rPr>
          <w:rFonts w:ascii="Times New Roman" w:cs="Times New Roman" w:eastAsia="Times New Roman" w:hAnsi="Times New Roman"/>
          <w:sz w:val="18"/>
          <w:szCs w:val="18"/>
          <w:i w:val="1"/>
          <w:iCs w:val="1"/>
          <w:color w:val="auto"/>
        </w:rPr>
        <w:t xml:space="preserve"> Honest Orgulloso Latine &amp; Allies </w:t>
      </w:r>
      <w:r>
        <w:rPr>
          <w:rFonts w:ascii="Times New Roman" w:cs="Times New Roman" w:eastAsia="Times New Roman" w:hAnsi="Times New Roman"/>
          <w:sz w:val="18"/>
          <w:szCs w:val="18"/>
          <w:color w:val="auto"/>
        </w:rPr>
        <w:t>(H.O.L.A),</w:t>
      </w:r>
      <w:r>
        <w:rPr>
          <w:rFonts w:ascii="Times New Roman" w:cs="Times New Roman" w:eastAsia="Times New Roman" w:hAnsi="Times New Roman"/>
          <w:sz w:val="18"/>
          <w:szCs w:val="18"/>
          <w:i w:val="1"/>
          <w:iCs w:val="1"/>
          <w:color w:val="auto"/>
        </w:rPr>
        <w:t xml:space="preserve"> Honest Asian-American Pacific Islanders </w:t>
      </w:r>
      <w:r>
        <w:rPr>
          <w:rFonts w:ascii="Times New Roman" w:cs="Times New Roman" w:eastAsia="Times New Roman" w:hAnsi="Times New Roman"/>
          <w:sz w:val="18"/>
          <w:szCs w:val="18"/>
          <w:color w:val="auto"/>
        </w:rPr>
        <w:t>(H.A.A.P.I) and</w:t>
      </w:r>
      <w:r>
        <w:rPr>
          <w:rFonts w:ascii="Times New Roman" w:cs="Times New Roman" w:eastAsia="Times New Roman" w:hAnsi="Times New Roman"/>
          <w:sz w:val="18"/>
          <w:szCs w:val="18"/>
          <w:i w:val="1"/>
          <w:iCs w:val="1"/>
          <w:color w:val="auto"/>
        </w:rPr>
        <w:t xml:space="preserve"> P.R.I.D.E. Collective </w:t>
      </w:r>
      <w:r>
        <w:rPr>
          <w:rFonts w:ascii="Times New Roman" w:cs="Times New Roman" w:eastAsia="Times New Roman" w:hAnsi="Times New Roman"/>
          <w:sz w:val="18"/>
          <w:szCs w:val="18"/>
          <w:color w:val="auto"/>
        </w:rPr>
        <w:t>(Provide a Respectful, Inclusive, and Diverse Environment for the LGBTQIA+ community within and surrounding the Honest Company). W.E.L.L was the first ERG created to support the personal and professional development of women at Honest. B.L.A.C was created in 2020 to lift, engage and empower Black voices within The Honest Company and across the community. H.A.A.P.I was launched in 2021 to create a supportive and inclusive community for Asian Americans and Pacific Islanders and allies. H.O.L.A and P.R.I.D.E. Collective were launched in 2023 to uplift and support an inclusive community that promotes diversity, professional development and cultural awareness. Each ERG has an executive sponsor.</w:t>
      </w:r>
    </w:p>
    <w:p>
      <w:pPr>
        <w:spacing w:after="0" w:line="217" w:lineRule="exact"/>
        <w:rPr>
          <w:sz w:val="20"/>
          <w:szCs w:val="20"/>
          <w:color w:val="auto"/>
        </w:rPr>
      </w:pPr>
    </w:p>
    <w:p>
      <w:pPr>
        <w:ind w:right="260" w:firstLine="648"/>
        <w:spacing w:after="0" w:line="233" w:lineRule="auto"/>
        <w:rPr>
          <w:sz w:val="20"/>
          <w:szCs w:val="20"/>
          <w:color w:val="auto"/>
        </w:rPr>
      </w:pPr>
      <w:r>
        <w:rPr>
          <w:rFonts w:ascii="Times New Roman" w:cs="Times New Roman" w:eastAsia="Times New Roman" w:hAnsi="Times New Roman"/>
          <w:sz w:val="18"/>
          <w:szCs w:val="18"/>
          <w:color w:val="auto"/>
        </w:rPr>
        <w:t>Community Impact is also very important to us. We work closely with our charity partners, including Baby2Baby, to help provide children and families around the world with the basic essentials and resources they need to live healthy lives. Since the start of our relationship with Baby2Baby and other partners in 2012, we have donated more than 30 million family personal care, feminine care, clean beauty products and other essentials to those in need and our compassionate team has volunteered over 20,000 hours giving back to our communities and providing disaster relief. Our partnership with March of Dimes helps fund research, advocacy and service programs addressing maternal and infant mortality with critical healthcare and support. The partnership will also fund the creation of new advocacy content about environmental justice for moms and babies, helping further spread the important work this organization has set out to do. Through this partnership, in 2023 we have donated more than $0.7 million, reaching more than an estimated 1.2 million mothers with health education and programs to support the organization, including its new Mom and Baby Action Network.</w:t>
      </w:r>
    </w:p>
    <w:p>
      <w:pPr>
        <w:spacing w:after="0" w:line="21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As a values-driven organization, we take a holistic approach to caring for our employees, with benefits and programs designed to support physical, mental, emotional and financial well-being. We offer a competitive compensation and benefits program, and our award-winning learning and development program, Honest University, delivers opportunities for all employees to grow and develop personally, professionally and financially. Our corporate social responsibility efforts provide opportunities for employees to give back to communities in need through volunteerism, donation matching and paid volunteer time off. The Honest Company supports employees’ emotional well-being through our partnership with Thrive Global which offers employees many resources to promote emotional well-being. Additionally, we provide an Employee Assistance Program (EAP) at no cost to employees to support emotional health and a fitness reimbursement through Global Fit Rewards to encourage a healthy lifestyle for Honest employees.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INDUSTRIES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believe small changes in the right direction start ripple effects that have the potential to change entire industries and how products are made.</w:t>
      </w:r>
    </w:p>
    <w:p>
      <w:pPr>
        <w:spacing w:after="0" w:line="239"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18"/>
          <w:szCs w:val="18"/>
          <w:color w:val="231F20"/>
        </w:rPr>
        <w:t>Our commitment to environmental mindfulness shows up through our product development, packaging processes and in many parts of our business on a daily basis. For example, the cartons used in our baby personal care line are environmentally-friendly, Forest Stewardship Council ("FSC")-certified, and made from 100% recycled, PCW (pre/post consumer waste) materials. We have transitioned our Honest.com shipping cartons to 100% PCR cardboard. 100% of our baby personal care and household cleaning bottles are recyclable or include recycled materials and we are regularly looking to increase the amount of post-consumer resin in our components. Our diapers feature an innovative design that uses less material.</w:t>
      </w:r>
    </w:p>
    <w:p>
      <w:pPr>
        <w:spacing w:after="0" w:line="21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231F20"/>
        </w:rPr>
        <w:t>We strive to lessen our environmental footprint—minimizing our impact by offsetting carbon emissions and working to responsibly source materials and packaging. In 2020, we entered into an agreement to participate in a carbon offset program to reduce greenhouse gas emissions resulting from our domestic Honest.com shipments. We also have made a commitment to a 42% reduction in scope 1 and scope 2 emissions for all Honest operated facilities by 2030.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229"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231F20"/>
        </w:rPr>
        <w:t>Substantially all of our products are subject to regulation by the Consumer Product Safety Commission, or the CPSC, the EPA, and the Federal Trade Commission, or the FTC, as well as various other federal, state, local and foreign regulatory authorities. These laws and regulations principally relate to the ingredients or components, proper labeling, advertising, packaging, marketing, manufacture, registration, safety, shipment and disposal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2" w:name="page13"/>
    <w:bookmarkEnd w:id="12"/>
    <w:p>
      <w:pPr>
        <w:ind w:right="20" w:firstLine="648"/>
        <w:spacing w:after="0" w:line="232" w:lineRule="auto"/>
        <w:rPr>
          <w:sz w:val="20"/>
          <w:szCs w:val="20"/>
          <w:color w:val="auto"/>
        </w:rPr>
      </w:pPr>
      <w:r>
        <w:rPr>
          <w:rFonts w:ascii="Times New Roman" w:cs="Times New Roman" w:eastAsia="Times New Roman" w:hAnsi="Times New Roman"/>
          <w:sz w:val="18"/>
          <w:szCs w:val="18"/>
          <w:color w:val="231F20"/>
        </w:rPr>
        <w:t>Our cosmetic, over-the-counter drugs, food (vitamins/dietary supplements) and cleaning products are subject to regulation by the Food and Drug Administration, or the FDA. Under the Federal Food, Drug and Cosmetic Act, or the FDCA, cosmetics are defined as articles or components of articles that are applied to the human body and intended to cleanse, beautify or alter its appearance, with the exception of soap. The labeling of cosmetic products is also subject to the requirements of the FDCA, the Fair Packaging and Labeling Act, the Poison Prevention Packaging Act and other FDA regulations. Cosmetics are not subject to pre-market approval by the FDA, however certain ingredients, such as color additives, must be pre-authorized. If safety of the products or ingredients has not been adequately substantiated, a specific warning label is required. Other warnings may also be mandated pursuant to FDA regulations. The FDA monitors compliance of cosmetic products through market surveillance and inspection of cosmetic manufacturers and distributors to ensure that the products neither contain false nor misleading labeling and that they are not manufactured under unsanitary conditions. Inspections also may arise from consumer or competitor complaints filed with the FDA. In the event the FDA identifies false or misleading labeling or unsanitary conditions or otherwise a failure to comply with FDA requirements, we may be required by a regulatory authority or we may independently decide to conduct a recall or market withdrawal of our product or to make changes to our manufacturing processes or product formulations or labels. In addition, the Modernization of Cosmetics Regulation Act ("MoCRA"), enacted in December 2022, expanded the FDA’s regulatory authority over cosmetic products, including by providing the FDA with new mandatory recall authority over cosmetics and by requiring the registration of cosmetic manufacturing facilities, the reporting of certain adverse events, the issuance of cGMP requirements and the establishment of safety substantiation requirements. The registration and listing requirements became applicable on December 29, 2023, although the FDA has announced its intention not to enforce the registration and listing requirements until July 1, 2024 in order to provide regulated industry additional time to comply with those requirements. The cGMP regulations under MoCRA are to be proposed by December 29, 2024.</w:t>
      </w:r>
    </w:p>
    <w:p>
      <w:pPr>
        <w:spacing w:after="0" w:line="203"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18"/>
          <w:szCs w:val="18"/>
          <w:color w:val="231F20"/>
        </w:rPr>
        <w:t>If a product is intended for use in the diagnosis, cure, mitigation, treatment or prevention of a disease condition or to affect the structure or function of the human body, the FDA will regulate the product as a drug. Our current products that are intended to treat acne and skin care products with sun protection factor, or SPF, are considered over-the-counter, or OTC, drug products by the FDA. Our OTC products are subject to regulation through the FDA’s “monograph” system which specifies, among other things, permitted active drug ingredients and their concentrations. The FDA’s monograph system also provides the permissible product claims and certain product labeling requirements, based on the intended use of the product. Our OTC drug products must be manufactured consistent with the FDA’s current drug good manufacturing practices requirements, and the failure to maintain compliance with these requirements could require us to conduct recalls, market withdrawal, or make changes to our manufacturing practices.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FDA may change the regulations as to any product category, requiring a change in labeling, product formulation or analytical testing.</w:t>
      </w:r>
    </w:p>
    <w:p>
      <w:pPr>
        <w:spacing w:after="0" w:line="22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231F20"/>
        </w:rPr>
        <w:t>We are subject to regulation by the CPSC under the Consumer Product Safety Act, the Flammable Fabrics Act, the Poison Prevention Packaging Act, the Federal Hazardous Substances Act, and other laws enforced by the CPSC. These statutes and the related regulations establish safety standards and bans for consumer products. The CPSC monitors compliance of consumer products under its jurisdiction through market surveillance and has the authority to conduct product safety related inspections of establishments where consumer products are manufactured, held, or transported. The CPSC has the authority to require the recall of noncompliant products or products containing a defect that creates a substantial risk of injury to the public. The CPSC may seek penalties for regulatory noncompliance under certain circumstances. CPSC regulations also require manufacturers of consumer products to report to the CPSC certain types of information regarding products that fail to comply with applicable regulations, that contain a defect which could create a substantial product hazard, or that create an unreasonable risk of serious injury or death. Certain state laws also address the safety of consumer products and mandate reporting requirements, and noncompliance may result in penalties or other regulatory action.</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18"/>
          <w:szCs w:val="18"/>
          <w:color w:val="231F20"/>
        </w:rPr>
        <w:t>Certain of our products are also subject to regulation by the EPA, under the Federal Insecticide, Fungicide, and Rodenticide Act, or FIFRA. FIFRA establishes a system of pesticide, including disinfectant product, regulation to protect applicators, consumers and the environments. Under FIFRA, certain of our cleaning products, including the disinfectant products, may require approval from and registration with the EPA prior to sale. Products subject to FIFRA must comply with specified approval, registration, manufacture, labeling, and reporting requirements, among other requirements. EPA is authorized to take enforcement action to prevent the sale or distribution of non-compliant disinfectant products, including to prevent the sale or distribution of unregistered disinfectants and to prevent the sale or distribution of registered pesticides that are not permitted to make claims permitted by the terms of their registration, among other areas of non-compliance. The EPA may seek penalties for regulatory noncompliance under certain circumstances. Manufacturers subject to FIFRA may also be required to report certain types of information regarding disinfectant products to EPA. Certain state laws may also address requirements applicable to cleaning products, and non-compliance may result in penalties or other regulatory action.</w:t>
      </w:r>
    </w:p>
    <w:p>
      <w:pPr>
        <w:spacing w:after="0" w:line="20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231F20"/>
        </w:rPr>
        <w:t>The USDA enforces federal standards for organic production and use of the term “organic” on product labeling. These laws prohibit a company from selling or labeling products as organic unless they are produced and handled in accordance with the applicable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p>
      <w:pPr>
        <w:ind w:right="80" w:firstLine="648"/>
        <w:spacing w:after="0" w:line="237" w:lineRule="auto"/>
        <w:rPr>
          <w:sz w:val="20"/>
          <w:szCs w:val="20"/>
          <w:color w:val="auto"/>
        </w:rPr>
      </w:pPr>
      <w:r>
        <w:rPr>
          <w:rFonts w:ascii="Times New Roman" w:cs="Times New Roman" w:eastAsia="Times New Roman" w:hAnsi="Times New Roman"/>
          <w:sz w:val="18"/>
          <w:szCs w:val="18"/>
          <w:color w:val="231F20"/>
        </w:rPr>
        <w:t>The FTC, FDA, USDA, EPA, and other government authorities also regulate advertising and product claims regarding the characteristics, quality, safety, performance and benefits of our products. These regulatory authorities typically require a safety assessment of the product and reasonable basis to support any factual marketing claims. What constitutes a reasonable basis for substantiation can vary widely from market to market, and there is no assurance that our efforts to support our claims will be considered sufficient. The most significant area of risk for such activities relates to improper or unsubstantiated claims about the composition, use, efficacy and safety of our products and their environmental impacts. If we cannot adequately support safety or substantiate our product claims, or if our promotional materials make claims that exceed the scope of allowed claims for the classification of the specific product, the FDA, FTC or other regulatory authority could take enforcement action, impose penalties, require us to pay monetary consumer redress, require us to revise our marketing materials or stop selling certain products and require us to accept burdensome injunctions, all of which could harm our business, reputation, financial condition and results of operations.</w:t>
      </w:r>
    </w:p>
    <w:p>
      <w:pPr>
        <w:spacing w:after="0" w:line="21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231F20"/>
        </w:rPr>
        <w:t>In addition, the FTC regulates the use of endorsements and testimonials in advertising as well as relationships between advertisers and social media influencers pursuant to principles described in the FTC’s Guides Concerning the Use of Endorsements and Testimonials in Advertising, or the Endorsement Guides. The Endorsement Guides provide that an endorsement must reflect the honest opinion of the endorser and cannot be used to make a claim about a product that the product’s marketer couldn’t itself legally make. They also say that if there is a connection between an endorser and the marketer that consumers would not expect and it would affect how consumers evaluate the endorsement, that connection should be disclosed. Another principle in the Endorsement Guides applies to ads that feature endorsements from people who achieved exceptional, or even above average, results from using a product. If the advertiser doesn’t have proof that the endorser’s experience represents what people will generally achieve using the product as described in the ad, then an ad featuring that endorser must make clear to the audience what results they can generally expect to achieve and the advertiser must have a reasonable basis for its representations regarding those generally expected results. Although the Endorsement Guides are advisory in nature and do not operate directly with the force of law, they provide guidance about what the FTC staff generally believes the Federal Trade Commission Act, or FTC Act, requires in the context using of endorsements and testimonials in advertising and any practices inconsistent with the Endorsement Guides can result in violations of the FTC Act’s prohibition against unfair and deceptive practices.</w:t>
      </w:r>
    </w:p>
    <w:p>
      <w:pPr>
        <w:spacing w:after="0" w:line="21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To the extent we may rely on endorsements or testimonials, we will review any relevant relationships for compliance with the Endorsement Guides and we will otherwise endeavor to follow the FTC Act and other legal standards applicable to our advertising. However, if our advertising claims or claims made by our social media influencers or by other endorsers with whom we have a material connection do not comply with the Endorsement Guides or any requirement of the FTC Act or similar state requirements, the FTC and state consumer protection authorities could subject us to investigations and enforcement actions, impose penalties, require us to pay monetary consumer redress, require us to revise our marketing materials and require us to accept burdensome injunctions, all of which could harm our business, reputation, financial condition and results of operations.</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are also subject to a number of data privacy and security obligations, including U.S. federal, state, local and foreign laws, regulations guidance, and industry standards related to data privacy, security, and protection that affect companies conducting business on the Internet, including consumer protection regulations that regulate retailers and govern the promotion and sale of merchandise. Many of these laws and regulations are still evolving and being tested in courts, and could be interpreted in ways that could harm our business. These may involve user privacy, data protection, content, intellectual property, distribution, electronic contracts and other communications, automatically renewing product subscriptions, competition, protection of minors, consumer protection, telecommunications, product liability, taxation, economic or other trade prohibitions or sanctions and online payment services. Among other laws and regulations, we are subject to federal, state, local and international laws regarding privacy and protection of people’s data. Foreign data protection, privacy and other laws and regulations can be more restrictive than those in the United States. U.S. federal and state and foreign laws and regulations are constantly evolving and can be subject to significant change. In addition, the application, interpretation and enforcement of these laws and regulations are often uncertain, and may be interpreted and applied inconsistently from country to country and inconsistently with our current policies and practices.</w:t>
      </w:r>
    </w:p>
    <w:p>
      <w:pPr>
        <w:spacing w:after="0" w:line="21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Data privacy and security laws impose significant and complex compliance obligations on entities that are subject to those laws. The General Data Protection Regulation (GDPR) and California Consumer Privacy Act (CCPA) are examples of the increasingly stringent and evolving regulatory frameworks related to personal data processing that may increase our compliance obligations and exposure for any noncompliance. The EU GDPR applies to any company established in the European Economic Area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4" w:name="page15"/>
    <w:bookmarkEnd w:id="14"/>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In the United States,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California Privacy Rights Act of 2020 (“CPRA”), that went into effect on January 1, 2023, expands the CCPA. The CPRA, among other things, gives California residents the ability to limit use of certain sensitive personal data, establishes restrictions on personal data retention, expands the types of data breaches that are subject to the CCPA’s private right of action, and establishes a new California Privacy Protection Agency to implement and enforce the new law. Comprehensive privacy legislation has also been enacted in four other states, imposing similar compliance obligations. There are also a number of legislative proposals pending before the U.S. Congress, various state legislative bodies and foreign governments concerning privacy and data protection which could affect us.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as well as negative publicity and a potential loss of business. See the section titled “Risk Factors – Risks Related to Legal and Governmental Regulation” for additional information about the laws and regulations to which we may become subject and about the risks to our business associated with such laws and regulations.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Trademarks and Other Intellectual Property</w:t>
      </w:r>
    </w:p>
    <w:p>
      <w:pPr>
        <w:spacing w:after="0" w:line="243"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231F20"/>
        </w:rPr>
        <w:t>We protect our intellectual property through a combination of trademarks, domain names, copyrights, trade secrets and patents, as well as contractual provisions and restrictions on access to our proprietary technology. Our principal trademark assets include the trademarks “Honest” and “The Honest Co.,” which are registered in the United States and targeted foreign jurisdictions, our logos and taglines, and multiple product brand names. We have applied to register or registered many of our trademarks in the United States and other jurisdictions, and we will pursue additional trademark registrations to the extent we believe they would be beneficial and cost- effective.</w:t>
      </w:r>
    </w:p>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231F20"/>
        </w:rPr>
        <w:t>We have one patent issued in the United States. Our issued patent will expire in April 2037. We intend to pursue additional patent protection to the extent we believe it would be beneficial and cost-effective.</w:t>
      </w:r>
    </w:p>
    <w:p>
      <w:pPr>
        <w:spacing w:after="0" w:line="189"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231F20"/>
        </w:rPr>
        <w:t>We are the registered holder of multiple domestic and international domain names that include “honest” and similar variations. We also hold domain registrations for many of our product names and other related trade names and slogans. In addition to the protection provided by our intellectual property rights, we enter into confidentiality and proprietary rights agreements with our employees, consultants, contractors and business partners. Our employees are also subject to invention assignment agreements. We further control the use of our proprietary technology and intellectual property through provisions in both our customer terms of use on our website and the terms and conditions governing our agreements with other third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The Company’s Annual Report on Form 10-K, Quarterly Reports on Form 10-Q and Current Reports on Form 8-K and amendments to those reports filed or furnished pursuant to Sections 13(a) or 15(d) of the Exchange Act are available on the Company’s website, free of charge, as soon as reasonably practicable after the reports are electronically filed with or furnished to the SEC. These reports are available at investors.honest.com under Financial Information/SEC Filings.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and public webcasts. These items are available at investors.honest.com under News and Events.</w:t>
      </w:r>
    </w:p>
    <w:p>
      <w:pPr>
        <w:spacing w:after="0" w:line="216"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Information relating to corporate governance at Honest, including the Company’s Code of Business Conduct and Ethics, the Honest Company Corporate Governance Guidelines and Committee charters for the Audit Committee, Compensation Committee and the Nominating and Corporate Governance Committee, is available at investors.honest.com under Corporate Governance or https://investors.honest.com/corporate-governance/douments-charters. The Company will provide any of the foregoing information without charge upon written request to Corporate Communications, The Honest Company, 12130 Millennium Drive, #500, Los Angeles, CA 90094. The information contained on the Company’s website is not included as a part of, or incorporated by reference into, this Report.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following risk factors, as well as the other information in this Form 10-K, including our consolidated financial statements and the related notes and “Management’s Discussion and Analysis of Financial Condition and Results of Operations,” before deciding whether to invest in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prospects could be adversely affected. In this case, the trading price of our common stock could decline and you might lose part or all your investment.</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Our Brand, Our Products and Our Industry</w:t>
      </w:r>
    </w:p>
    <w:p>
      <w:pPr>
        <w:spacing w:after="0" w:line="23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spacing w:after="0" w:line="185" w:lineRule="exact"/>
        <w:rPr>
          <w:sz w:val="20"/>
          <w:szCs w:val="20"/>
          <w:color w:val="auto"/>
        </w:rPr>
      </w:pPr>
    </w:p>
    <w:p>
      <w:pPr>
        <w:ind w:right="560" w:firstLine="648"/>
        <w:spacing w:after="0" w:line="252" w:lineRule="auto"/>
        <w:rPr>
          <w:sz w:val="20"/>
          <w:szCs w:val="20"/>
          <w:color w:val="auto"/>
        </w:rPr>
      </w:pPr>
      <w:r>
        <w:rPr>
          <w:rFonts w:ascii="Times New Roman" w:cs="Times New Roman" w:eastAsia="Times New Roman" w:hAnsi="Times New Roman"/>
          <w:sz w:val="18"/>
          <w:szCs w:val="18"/>
          <w:color w:val="231F20"/>
        </w:rPr>
        <w:t>Past growth has placed demands on our management, financial, operational, technological and other resources. The anticipated growth and expansion of our business depends on a number of factors, including our ability to:</w:t>
      </w:r>
    </w:p>
    <w:p>
      <w:pPr>
        <w:ind w:left="640" w:hanging="308"/>
        <w:spacing w:after="0" w:line="229"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increase awareness of our brand and successfully compete with other companies;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through Honest.com and retail partnerships to increase sales velocity;</w:t>
      </w:r>
    </w:p>
    <w:p>
      <w:pPr>
        <w:spacing w:after="0" w:line="7" w:lineRule="exact"/>
        <w:rPr>
          <w:rFonts w:ascii="Times New Roman" w:cs="Times New Roman" w:eastAsia="Times New Roman" w:hAnsi="Times New Roman"/>
          <w:sz w:val="18"/>
          <w:szCs w:val="18"/>
          <w:color w:val="auto"/>
        </w:rPr>
      </w:pPr>
    </w:p>
    <w:p>
      <w:pPr>
        <w:ind w:left="640" w:hanging="308"/>
        <w:spacing w:after="0" w:line="225"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price our products effectively so that we are able to attract new consumers and expand sales to our existing consumers;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distribution and points of sales (the number of SKUs) with new and existing consumers;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continue to innovate and introduce new products;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maintain and improve our technology platform supporting our Honest.com business;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our supplier and fulfillment capacities;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maintain quality control over our product offerings;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effectively implement our business strategies.</w:t>
      </w:r>
    </w:p>
    <w:p>
      <w:pPr>
        <w:spacing w:after="0" w:line="211"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231F20"/>
        </w:rPr>
        <w:t>Such growth and expansion of our business will place significant demands on our management and operations teams and require significant additional resources, financial and otherwise, to meet our needs, which may not be available in a cost-effective manner, or at all. We expect to continue to expend substantial resources on:</w:t>
      </w:r>
    </w:p>
    <w:p>
      <w:pPr>
        <w:spacing w:after="0" w:line="2" w:lineRule="exact"/>
        <w:rPr>
          <w:sz w:val="20"/>
          <w:szCs w:val="20"/>
          <w:color w:val="auto"/>
        </w:rPr>
      </w:pPr>
    </w:p>
    <w:p>
      <w:pPr>
        <w:ind w:left="660" w:right="320" w:hanging="328"/>
        <w:spacing w:after="0" w:line="237"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sales and marketing efforts to increase brand awareness, further engaging our existing and prospective consumers, and driving sales of our products;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technology platforms to support sales of our products and make our supply chain and operations more efficient;</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product innovation and development;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general administration, including increased finance, legal and accounting expenses associated with being a public company.</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231F20"/>
        </w:rPr>
        <w:t>These investments may not result in the growth of our business. Even if these investments do result in the growth of our business, if we do not effectively manage our growth we may not be able to execute on our business plan, respond to competitive pressures, take advantage of market opportunities, satisfy consumer requirements or maintain high-quality product offerings, any of which could adversely affect our business, financial condition, results of operations and prospects. You should not rely on our historical rate of revenue growth as an indication of our future performance or the rate of growth we may experience in any new category.</w:t>
      </w:r>
    </w:p>
    <w:p>
      <w:pPr>
        <w:spacing w:after="0" w:line="21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In addition, to support continued growth, we must effectively integrate, develop and motivate a large number of new employees while maintaining our corporate culture. For example, in January 2023, we hired a new Chief Executive Officer, in May 2023 we hired a Chief Growth Officer, a newly created role, and in September 2023, we hired a new Chief Financial Officer. We face significant competition for personnel. To attract top talent, we have had to offer, and expect to continue to offer, competitive compensation and benefits packages before we can validate the productivity of new employees. We may also need to increase our employee compensation levels to remain competitive in attracting and retaining talented employees. In the past few years we have also seen heightened demand for labor and escalating labor prices in the market. The risks associated with a rapidly growing workforce will be particularly acute as we expand into new product categories. Additionally, we may not be able to hire new employees quickly enough to meet our needs or retain our existing employees in the face of competitive hiring trends. If we fail to effectively manage our hiring needs, successfully integrate new hires or retain existing employees, our efficiency, ability to meet forecasts and employee morale, productivity and retention could suffer, which could have an adverse effect on our business, financial condition, results of operations and prospects.</w:t>
      </w:r>
    </w:p>
    <w:p>
      <w:pPr>
        <w:spacing w:after="0" w:line="219" w:lineRule="exact"/>
        <w:rPr>
          <w:sz w:val="20"/>
          <w:szCs w:val="20"/>
          <w:color w:val="auto"/>
        </w:rPr>
      </w:pPr>
    </w:p>
    <w:p>
      <w:pPr>
        <w:ind w:right="360" w:firstLine="648"/>
        <w:spacing w:after="0" w:line="245" w:lineRule="auto"/>
        <w:rPr>
          <w:sz w:val="20"/>
          <w:szCs w:val="20"/>
          <w:color w:val="auto"/>
        </w:rPr>
      </w:pPr>
      <w:r>
        <w:rPr>
          <w:rFonts w:ascii="Times New Roman" w:cs="Times New Roman" w:eastAsia="Times New Roman" w:hAnsi="Times New Roman"/>
          <w:sz w:val="18"/>
          <w:szCs w:val="18"/>
          <w:color w:val="231F20"/>
        </w:rPr>
        <w:t>We are also required to manage numerous relationships with various vendors and other third parties. Further growth of our operations, vendor base, fulfillment centers, information technology systems or internal controls and procedures may not be adequate to support our operations. If we are unable to manage the growth of our organization effectively, our business, financial condition, results of operations and prospects may be adversely affected.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quarterly operating results may fluctuate, which could cause our stock price to decline.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Our quarterly operating results may fluctuate for a variety of reasons, many of which are beyond our control, including:</w:t>
      </w:r>
    </w:p>
    <w:p>
      <w:pPr>
        <w:spacing w:after="0" w:line="16" w:lineRule="exact"/>
        <w:rPr>
          <w:sz w:val="20"/>
          <w:szCs w:val="20"/>
          <w:color w:val="auto"/>
        </w:rPr>
      </w:pPr>
    </w:p>
    <w:p>
      <w:pPr>
        <w:ind w:left="660" w:right="120" w:hanging="328"/>
        <w:spacing w:after="0" w:line="22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revenue due to consumer and customer demand, including as a result of adverse economic and market conditions driven by the challenging macroeconomic environment, the seasonality of market transactions and fluctuations in sales through our Retail and Digital channels and inflationary pressures;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inflation in key input costs, including transportation, labor and warehouse costs;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costs of the components and raw materials that go into making our products;</w:t>
      </w:r>
    </w:p>
    <w:p>
      <w:pPr>
        <w:sectPr>
          <w:pgSz w:w="11900" w:h="16838" w:orient="portrait"/>
          <w:cols w:equalWidth="0" w:num="1">
            <w:col w:w="11220"/>
          </w:cols>
          <w:pgMar w:left="320" w:top="1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type w:val="continuous"/>
        </w:sectPr>
      </w:pPr>
    </w:p>
    <w:bookmarkStart w:id="16" w:name="page17"/>
    <w:bookmarkEnd w:id="16"/>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our operating expenses;</w:t>
      </w:r>
    </w:p>
    <w:p>
      <w:pPr>
        <w:spacing w:after="0" w:line="15" w:lineRule="exact"/>
        <w:rPr>
          <w:rFonts w:ascii="Times New Roman" w:cs="Times New Roman" w:eastAsia="Times New Roman" w:hAnsi="Times New Roman"/>
          <w:sz w:val="18"/>
          <w:szCs w:val="18"/>
          <w:color w:val="231F20"/>
        </w:rPr>
      </w:pPr>
    </w:p>
    <w:p>
      <w:pPr>
        <w:ind w:left="660" w:right="20" w:hanging="328"/>
        <w:spacing w:after="0" w:line="234"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success in attracting new and maintaining relationships with existing retail and ecommerce partners, as well as any price concessions they may demand or promotional activities they participate in;</w:t>
      </w:r>
    </w:p>
    <w:p>
      <w:pPr>
        <w:spacing w:after="0" w:line="1" w:lineRule="exact"/>
        <w:rPr>
          <w:rFonts w:ascii="Times New Roman" w:cs="Times New Roman" w:eastAsia="Times New Roman" w:hAnsi="Times New Roman"/>
          <w:sz w:val="18"/>
          <w:szCs w:val="18"/>
          <w:color w:val="231F20"/>
        </w:rPr>
      </w:pPr>
    </w:p>
    <w:p>
      <w:pPr>
        <w:ind w:left="660" w:hanging="328"/>
        <w:spacing w:after="0" w:line="234" w:lineRule="auto"/>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success in executing on our strategy and the impact of any changes in our strategy;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success of product launches, including new products that we may introduce;</w:t>
      </w:r>
    </w:p>
    <w:p>
      <w:pPr>
        <w:spacing w:after="0" w:line="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efficiency of our marketing efforts;</w:t>
      </w:r>
    </w:p>
    <w:p>
      <w:pPr>
        <w:spacing w:after="0" w:line="5" w:lineRule="exact"/>
        <w:rPr>
          <w:rFonts w:ascii="Times New Roman" w:cs="Times New Roman" w:eastAsia="Times New Roman" w:hAnsi="Times New Roman"/>
          <w:sz w:val="20"/>
          <w:szCs w:val="20"/>
          <w:color w:val="auto"/>
        </w:rPr>
      </w:pPr>
    </w:p>
    <w:p>
      <w:pPr>
        <w:ind w:left="660" w:right="340" w:hanging="328"/>
        <w:spacing w:after="0" w:line="226"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disruptions in our supply chain, the ability of our third-party manufacturers to produce our products, ability of our distributors to distribute our products, or disruptions, delays, or increased costs in our shipping arrangements;</w:t>
      </w:r>
    </w:p>
    <w:p>
      <w:pPr>
        <w:spacing w:after="0" w:line="1" w:lineRule="exact"/>
        <w:rPr>
          <w:rFonts w:ascii="Times New Roman" w:cs="Times New Roman" w:eastAsia="Times New Roman" w:hAnsi="Times New Roman"/>
          <w:sz w:val="20"/>
          <w:szCs w:val="20"/>
          <w:color w:val="auto"/>
        </w:rPr>
      </w:pPr>
    </w:p>
    <w:p>
      <w:pPr>
        <w:ind w:left="660" w:right="240" w:hanging="328"/>
        <w:spacing w:after="0" w:line="237"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disruptions or defects in our technology platform, such as privacy or data security breaches, errors in our software or other incidents that impact the availability, reliability, or performance of our platform;</w:t>
      </w: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impact of competitive developments and our response to those developments;</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fluctuations in inventory and working capital;</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manage our business and future growth;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recruit and retain employees.</w:t>
      </w:r>
    </w:p>
    <w:p>
      <w:pPr>
        <w:spacing w:after="0" w:line="21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Fluctuations in our quarterly operating results and the price of our common stock may be particularly pronounced in the current economic environment due to the uncertainty caused by inflation and other macroeconomic factors and consumer and customer spending patterns.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other problems, including, for example, analysts or investors changing their models for valuing our common stock. We could experience short-term liquidity issues, our ability to retain or attract key personnel may diminish, and other unanticipated issues may arise.</w:t>
      </w:r>
    </w:p>
    <w:p>
      <w:pPr>
        <w:spacing w:after="0" w:line="197"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231F20"/>
        </w:rPr>
        <w:t>Our quarterly operating results have varied in the past and we believe that they will continue to vary in the future and that period-to-period comparisons of our operating results may not be meaningful. Any seasonal effects may change or become more pronounced over time, which could also cause our operating results to fluctuate. You should not rely on the results of any given quarter as an indication of future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in part, on our ability to achieve our long-term strategy.</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Achieving our long-term strategy will require investment in new capabilities, employees, products, distribution channels, supply chain facilities and technologies. These investments may result in short-term costs without any current sales and, therefore, may be dilutive to our earnings. In addition, we have in the past and may in the future dispose of or discontinue select products or streamline operations and incur costs or restructuring and other charges in doing so. For example, during the year ended December 31, 2023 we exited certain retail and online stores in unprofitable geographical locations, in Asia and Europe, and we incurred restructuring costs in connection with the Transformation Initiative of approximately $2.2 million. We are currently working on updating our strategic focus, which could impact our business and results of operations. Although we believe that our updated strategy will lead to long-term growth in sales and profitability, we may not realize the anticipated benefits. The failure to realize benefits, which may be due to our inability to execute plans, global or local economic conditions, competition, changes in our industry and the other risks described herein, could have an adverse effect on our business, financial condition, results of operations and prospects.</w:t>
      </w:r>
    </w:p>
    <w:p>
      <w:pPr>
        <w:spacing w:after="0" w:line="201"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spacing w:after="0" w:line="185"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231F20"/>
        </w:rPr>
        <w:t>Our omnichannel strategy includes selling our products through third-party ecommerce and retail customers (including their websites), which have been undergoing consolidation in recent years. This consolidation has produced larger, more sophisticated organizations with increased negotiating and buying power that are able to resist price increases, demand higher levels of marketing and promotional support, operate with lower inventories, decrease the number of brands that they carry and increase their emphasis on private label products, all of which has in the past and could in the future negatively impact our business.</w:t>
      </w:r>
    </w:p>
    <w:p>
      <w:pPr>
        <w:spacing w:after="0" w:line="21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In 2023, we generated 51% and 49% of our total revenue from retail customers (including their websites) and Digital channels, respectively. In 2023, Target, Amazon and Walmart accounted for approximately 31%, 30% and 7% of our total revenue, respectively. We sell products to Target, Amazon and Walmart under each of their standard vendor agreements. Our vendor agreements with Target, Amazon and Walmart do not include a term or duration as sales under each vendor agreement are generally made on a purchase order basis. Our vendor agreement with Amazon provides that either party may terminate the agreement with 60 days’ prior written notice, provided that we are required to fulfill any purchase orders that we accept before the effective date of termination and our vendor agreement with Walmart provides that either party may terminate the agreement with 30 days’ prior written notice. Our vendor agreement with Target does not include any termination provisions. The loss of Target, Amazon and Walmart or any other large customer, the reduction of purchasing levels or the cancellation of any business from Target, Amazon or Walmart or any other large customer for an extended length of time could negatively impact our sales and ability to achieve or maintain profitability. For example, in 2022, Amazon held fewer weeks of inventory supply on hand, which</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231F20"/>
        </w:rPr>
        <w:t>impacted the consumer experience and ultimate consumption, and has and could in the future negatively impact our results of operations.</w:t>
      </w:r>
    </w:p>
    <w:p>
      <w:pPr>
        <w:spacing w:after="0" w:line="239"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231F20"/>
        </w:rPr>
        <w:t>Third-party ecommerce or retail customers may take actions that affect us for reasons that we cannot always anticipate or control, such as their financial condition, changes in their business strategy or operations, the introduction of competing products or the perceived quality of our products. For example, a few of our retail customers filed for bankruptcy over the last year, which has impacted the timing of payment, the ability for us to collect amounts due to us and impacted our gross margin due to markdowns. Despite operating in different channel categories, our third-party ecommerce and retail customers sometimes compete for the same consumers. Because of actual or perceived conflicts resulting from this competition, third-party ecommerce or retail customers may take actions that negatively affect us. Consequently, our financial results may fluctuate significantly from period to period based on the actions of one or more significant third-party ecommerce or retail customers, such as a change in quantity or number of SKUs purchased, store placement of our products, or amount of shelf space.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accurately forecast revenue, gross margin or operating expenses and appropriately plan our expenses in the future.</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231F20"/>
        </w:rPr>
        <w:t>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in particular as we implemented margin-enhancing and cost-cutting programs as part of our Transformation Initiative in 2023 and may in the future implement similar programs. We base our expense levels and investment plans on our estimates of revenue and gross margin. We cannot be sure prior growth rates and trends are meaningful predictors of future growth. For example, in the third quarter of 2022, some of our digital and retail customers reduced inventory on hand and changed their fulfillment schedules, which negatively impacted our fulfillment operations in 2022. 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compete successfully in our highly competitive market.</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rapidly evolving, with many new brands and product offerings emerging in the marketplace. We face significant competition from both established, well-known legacy CPG players and emerging natural brands. Numerous brands and products compete for limited shelf space in the retail channel, and for favorable positioning and promotion among ecommerce channels. We compete based on various product attributes including clean formulation, sustainability, effectiveness and design, as well as our ability to establish direct relationships with our consumers through digital channels.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Select competitors in the Diapers and Wipes market include Kimberly-Clark Corporation (maker of Huggies), Procter &amp; Gamble Company (maker of Pampers, Pampers Pure and Luvs), WaterWipes UC and private label brands. Select competitors in the Skin and Personal Care market include Kenvue Inc. (maker of Johnson’s Baby and Aveeno), The Clorox Company (parent company of Burt’s Bees, Inc.), Unilever PLC (maker of Shea Moisture), LVMH Moët Hennessy Louis Vuitton (maker of Benefit Cosmetics LLC), Estée Lauder Inc., L’Oréal S.A. and Pacifica Beauty LLC. Select competitors in the Household and Wellness market include Carters, Inc., The Clorox Company, Reckitt Benckiser Group plc (maker of Lysol) and Unilever PLC (maker of Seventh Generation products). Many of these competitors have substantially greater financial and other resources than us and some of whose products are well accepted in the marketplace today. Many also have longer operating histories, larger fulfillment infrastructures, greater technical capabilities, faster shipping times, lower-cost shipping, lower operating costs, greater financial, marketing, institutional and other resources and larger consumer bases than we do. These factors may also allow our competitors to derive greater revenue and profits from their existing consumer bases, acquire consumers at lower costs or respond more quickly than we can to new or emerging technologies and changes in product trends and consumer shopping behavior. These competitors may engage in more extensive research and development efforts, enter or expand their presence in any or all of the ecommerce or retail channels where we compete, undertake more far-reaching marketing campaigns, and adopt more aggressive pricing policies, which may allow them to build larger consumer bases or generate revenue from their existing consumer bases more effectively than we do. As a result, these competitors may be able to offer comparable or substitute products to consumers at similar or lower costs. This could put pressure on us to lower our prices, resulting in lower revenue and margins or cause us to lose market share even if we lower prices.</w:t>
      </w:r>
    </w:p>
    <w:p>
      <w:pPr>
        <w:spacing w:after="0" w:line="20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We cannot be certain that we will successfully compete with larger competitors that have greater financial, sales, technical and other resources. Companies with greater resources may acquire our competitors or launch new products, including clean products, and they may be able to use their resources and scale to respond to competitive pressures and changes in consumer preferences by reducing prices or increasing promotional activities, among other things. Retailers also market competitive products under their own private labels, which are generally sold at lower prices, and may change the merchandising of our products so they have less favorable placement. Competitive pressures or other factors could cause us to lose market share, which may require us to lower prices, increase marketing expenditures, or increase the use of discounting or promotional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231F20"/>
        </w:rPr>
        <w:t>each of which would adversely affect our margins and could result in a decrease in our operating results and ability to achieve or maintain profitability.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expect competition in the CPG industry to continue to increase, especially as more companies introduce clean products and enter this market.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believe that our ability to compete successfully in this market depends upon many factors both within and beyond our control, including:</w:t>
      </w:r>
    </w:p>
    <w:p>
      <w:pPr>
        <w:spacing w:after="0" w:line="24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size and composition of our consumer base;</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number of products that we offer and feature across our sales channels;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consumer demand for clean products developed with formulations and ingredients we use;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information technology infrastructure;</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quality and responsiveness of our customer service;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selling and marketing efforts;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quality and price of the products that we offer;</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convenience of the shopping experience that we provide on our website;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distribute our products and manage our operations;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reputation and brand strength.</w:t>
      </w:r>
    </w:p>
    <w:p>
      <w:pPr>
        <w:spacing w:after="0" w:line="21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If we fail to compete successfully in this market, our business, financial condition, results of operations and prospects could be adversely affected.</w:t>
      </w:r>
    </w:p>
    <w:p>
      <w:pPr>
        <w:spacing w:after="0" w:line="239"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231F20"/>
        </w:rPr>
        <w:t xml:space="preserve">Further, competitors with substantially greater operations and resources than us may be less affected by the </w:t>
      </w:r>
      <w:r>
        <w:rPr>
          <w:rFonts w:ascii="Times New Roman" w:cs="Times New Roman" w:eastAsia="Times New Roman" w:hAnsi="Times New Roman"/>
          <w:sz w:val="18"/>
          <w:szCs w:val="18"/>
          <w:color w:val="000000"/>
        </w:rPr>
        <w:t>current macroeconomic conditions</w:t>
      </w:r>
      <w:r>
        <w:rPr>
          <w:rFonts w:ascii="Times New Roman" w:cs="Times New Roman" w:eastAsia="Times New Roman" w:hAnsi="Times New Roman"/>
          <w:sz w:val="18"/>
          <w:szCs w:val="18"/>
          <w:color w:val="231F20"/>
        </w:rPr>
        <w:t>. C</w:t>
      </w:r>
      <w:r>
        <w:rPr>
          <w:rFonts w:ascii="Times New Roman" w:cs="Times New Roman" w:eastAsia="Times New Roman" w:hAnsi="Times New Roman"/>
          <w:sz w:val="18"/>
          <w:szCs w:val="18"/>
          <w:color w:val="000000"/>
        </w:rPr>
        <w:t>urrent macroeconomic conditions, such as inflation, increasing interest rates,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 xml:space="preserve">the health of the U.S. consumer (such as increasing debt and delinquency rates and resumption of student loan repayments), geopolitical events, disruptions in access to bank deposits and lending commitments due to bank failures, increase the risk of a potential recession and can negatively impact consumer discretionary spend for our products. </w:t>
      </w:r>
      <w:r>
        <w:rPr>
          <w:rFonts w:ascii="Times New Roman" w:cs="Times New Roman" w:eastAsia="Times New Roman" w:hAnsi="Times New Roman"/>
          <w:sz w:val="18"/>
          <w:szCs w:val="18"/>
          <w:color w:val="231F20"/>
        </w:rPr>
        <w:t>Although we are monitoring the situation, we cannot predict for how long, or the ultimate extent to which, the</w:t>
      </w:r>
      <w:r>
        <w:rPr>
          <w:rFonts w:ascii="Times New Roman" w:cs="Times New Roman" w:eastAsia="Times New Roman" w:hAnsi="Times New Roman"/>
          <w:sz w:val="18"/>
          <w:szCs w:val="18"/>
          <w:color w:val="auto"/>
        </w:rPr>
        <w:t xml:space="preserve"> current macroeconomic conditions </w:t>
      </w:r>
      <w:r>
        <w:rPr>
          <w:rFonts w:ascii="Times New Roman" w:cs="Times New Roman" w:eastAsia="Times New Roman" w:hAnsi="Times New Roman"/>
          <w:sz w:val="18"/>
          <w:szCs w:val="18"/>
          <w:color w:val="231F20"/>
        </w:rPr>
        <w:t>may disrupt our operations, or our suppliers’ operations, or if we will be required to implement other changes, such as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price increases or cost savings initiatives, in addition to the ones already implemented in 2023. Any significant disruption resulting from global pandemics or similar events on a large scale or over a prolonged period of time could cause significant delays and disruption to our business until we would be able to resume normal business operations or shift to other third-party vendors, negatively affecting our revenue and other financial results, which would adversely affect our business, financial condition, results of operations and prospects. A prolonged disruption of our business could also damage our reputation and brand strength.</w:t>
      </w:r>
    </w:p>
    <w:p>
      <w:pPr>
        <w:spacing w:after="0" w:line="21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Our success, and our ability to increase revenue and achieve profitability, depend in part on our ability to cost-effectively acquire new consumers, retain existing consumers and keep existing consumers engaged so that they continue to purchase our products. Our diaper business is also a strategic consumer acquisition tool that fuels growth for baby wipes, personal care, Honest Baby Clothing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and other products. While we intend to continue to invest significantly in sales and marketing to educate consumers about our brand, our values and our products, there is no assurance that these efforts will generate further demand for our products or expand our consumer base. Our ability to attract new consumers and retain our existing consumers will depend on, among other items, the perceived value and quality of our products, consumer demand for clean, sustainable, thoughtfully designed and effective products at a premium price, competitive offerings, the elasticity of our price increases, our ability to offer new and relevant products and the effectiveness of our marketing efforts. We may also lose loyal consumers to our competitors if we are unable to meet consumer demand in a timely manner. If we are unable to cost-effectively acquire new consumers, retain existing consumers and keep existing consumers engaged, our business, financial condition, results of operations and prospects could be adversely affected.</w:t>
      </w:r>
    </w:p>
    <w:p>
      <w:pPr>
        <w:spacing w:after="0" w:line="2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231F20"/>
        </w:rPr>
        <w:t>Any strategies we employ to pursue this growth are subject to numerous factors outside of our control. Our retail and ecommerce competitors continue to aggressively market their private label or competitive products, which could reduce demand for our products. The expansion of our business also depends on our ability to increase sales through ecommerce channels and increase breadth and depth of distribution at retail customers. Any growth within our existing distribution channels may also affect our existing consumer relationships and present additional challenges, including those related to pricing strategies. For example throughout 2023, we rolled-out mid-single digit price increases across approximately two-thirds of our product portfolio, including in Diapers and Wipes and Skin and Personal Care categories which has in 2023 and may in the future negatively impact consumer demand. We plan to take additional price increases in the future as needed to offset input cost inflation. Our direct connections to our consumers may become more limited as we expand our non-DTC channels. Further in 2023, we exited distribution in low-margin channels which negatively impacted Skin and Personal Care revenue. Additionally, we may need to increase or reallocate spending on marketing and promotional activities, such as temporary price reductions, off-invoice discounts, retailer advertisements, product coupons and other trade activities, and these expenditures are subject to risks, including risks</w:t>
      </w:r>
    </w:p>
    <w:p>
      <w:pPr>
        <w:sectPr>
          <w:pgSz w:w="11900" w:h="16838" w:orient="portrait"/>
          <w:cols w:equalWidth="0" w:num="1">
            <w:col w:w="11200"/>
          </w:cols>
          <w:pgMar w:left="320" w:top="10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type w:val="continuous"/>
        </w:sectPr>
      </w:pPr>
    </w:p>
    <w:bookmarkStart w:id="19" w:name="page20"/>
    <w:bookmarkEnd w:id="19"/>
    <w:p>
      <w:pPr>
        <w:ind w:right="20"/>
        <w:spacing w:after="0" w:line="266" w:lineRule="auto"/>
        <w:rPr>
          <w:sz w:val="20"/>
          <w:szCs w:val="20"/>
          <w:color w:val="auto"/>
        </w:rPr>
      </w:pPr>
      <w:r>
        <w:rPr>
          <w:rFonts w:ascii="Times New Roman" w:cs="Times New Roman" w:eastAsia="Times New Roman" w:hAnsi="Times New Roman"/>
          <w:sz w:val="18"/>
          <w:szCs w:val="18"/>
          <w:color w:val="231F20"/>
        </w:rPr>
        <w:t>related to consumer acceptance of our efforts. Our failure to obtain new consumers, or expand our business with existing consumers, could have an adverse effect on our business, financial condition, results of operations and prospects.</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We also use paid and non-paid advertising. Our paid advertising may include search engine marketing, display, paid social media and product placement and traditional advertising, such as direct mail, television, radio and magazine advertising. Our paid advertising significantly increased the past few years due to industry-wide increases in advertising pricing, which impacted our ability to cost-effectively drive traffic to Honest.com and our digital customers. Our non-paid advertising efforts include search engine optimization, non-paid social media and e-mail marketing. We drive a significant amount of traffic to our website via search engines and, therefore, rely heavily on search engines. Search engines frequently update and change the logic that determines the placement and display of results of a user’s search, such that the purchased or algorithmic placement of links to our website can be negatively affected. Moreover, a search engine could, for competitive or other purposes, alter its search algorithms or results, causing our website to place lower in search query results.</w:t>
      </w:r>
    </w:p>
    <w:p>
      <w:pPr>
        <w:spacing w:after="0" w:line="214" w:lineRule="exact"/>
        <w:rPr>
          <w:sz w:val="20"/>
          <w:szCs w:val="20"/>
          <w:color w:val="auto"/>
        </w:rPr>
      </w:pPr>
    </w:p>
    <w:p>
      <w:pPr>
        <w:ind w:right="240" w:firstLine="648"/>
        <w:spacing w:after="0" w:line="241" w:lineRule="auto"/>
        <w:rPr>
          <w:sz w:val="20"/>
          <w:szCs w:val="20"/>
          <w:color w:val="auto"/>
        </w:rPr>
      </w:pPr>
      <w:r>
        <w:rPr>
          <w:rFonts w:ascii="Times New Roman" w:cs="Times New Roman" w:eastAsia="Times New Roman" w:hAnsi="Times New Roman"/>
          <w:sz w:val="18"/>
          <w:szCs w:val="18"/>
          <w:color w:val="231F20"/>
        </w:rPr>
        <w:t>We also drive a significant amount of traffic to our website via social networking or other ecommerce channels used by our current and prospective consumers. As social networking and ecommerce channels continue to rapidly evolve, we may be unable to develop or maintain a presence within these channels. If we are unable to cost-effectively drive traffic to our website, or if the popularity of our founder, Jessica Warren’s social media, online or offline presence declines, our ability to acquire new consumers could be adversely affected. Additionally, if we fail to increase our revenue per active consumer, generate repeat purchases or maintain high levels of consumer engagement, our business, financial condition, results of operations and prospects could be adversely affected.</w:t>
      </w:r>
    </w:p>
    <w:p>
      <w:pPr>
        <w:spacing w:after="0" w:line="20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Pandemics or disease outbreaks and overall macroeconomic trends have had and may continue to have an adverse effect on our business, financial condition, results of operations and prospects.</w:t>
      </w:r>
    </w:p>
    <w:p>
      <w:pPr>
        <w:spacing w:after="0" w:line="18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Pandemics or disease outbreaks have impacted our business, financial condition, results of operations and prospects, in particular due to the negative impact from supply chain disruptions, i</w:t>
      </w:r>
      <w:r>
        <w:rPr>
          <w:rFonts w:ascii="Times New Roman" w:cs="Times New Roman" w:eastAsia="Times New Roman" w:hAnsi="Times New Roman"/>
          <w:sz w:val="18"/>
          <w:szCs w:val="18"/>
          <w:color w:val="000000"/>
        </w:rPr>
        <w:t>ncreasing commodity costs and shifting consumer demand.</w:t>
      </w:r>
      <w:r>
        <w:rPr>
          <w:rFonts w:ascii="Times New Roman" w:cs="Times New Roman" w:eastAsia="Times New Roman" w:hAnsi="Times New Roman"/>
          <w:sz w:val="18"/>
          <w:szCs w:val="18"/>
          <w:color w:val="231F20"/>
        </w:rPr>
        <w:t xml:space="preserve"> The impact of overall macroeconomic trends on any of our suppliers, manufacturers, retail or ecommerce customers or transportation or logistics providers has and may continue to negatively affect the price and availability of our raw materials and products and impact our supply chain. If the disruptions caused by overall macroeconomic trends continue for an extended period of time, our ability to meet the demands of our consumers may be materially impacted. The conditions caused by macroeconomic conditions may negatively impact collections of accounts receivable (including as a result of retail customer bankruptcies), result in reduced orders from retail or digital partners or cause some of our retail customers to go out of business, all of which could adversely affect our business, financial condition, results of operations and prospects. For example, a few of our retail customers filed for bankruptcy over the last year, which has impacted the timing of payment, the ability for us to collect amounts due to us and impacted our gross margin due to markdowns.</w:t>
      </w:r>
    </w:p>
    <w:p>
      <w:pPr>
        <w:spacing w:after="0" w:line="21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231F20"/>
        </w:rPr>
        <w:t>In addition, any depression or recession resulting from macroeconomic factors could change customer and consumer behavior and demand, including with respect to our products, which could have an adverse effect on our business, financial condition, results of operations and prospects. For example, economic conditions, including inflationary pressures such as price increases in commodity prices, labor costs, input costs and transportation costs have impacted our gross margin and could impact consumer spending decisions to choose lower priced products, particularly as a result of our price increases implemented in 2022 and 2023 intended to offset these input costs. We may not be able to increase our prices or productivity sufficiently enough to offset these costs. For example, as part of our Transformation Initiative, we e</w:t>
      </w:r>
      <w:r>
        <w:rPr>
          <w:rFonts w:ascii="Times New Roman" w:cs="Times New Roman" w:eastAsia="Times New Roman" w:hAnsi="Times New Roman"/>
          <w:sz w:val="18"/>
          <w:szCs w:val="18"/>
          <w:color w:val="000000"/>
        </w:rPr>
        <w:t>xited low-margin elements of the cleaning and sanitization business</w:t>
      </w:r>
      <w:r>
        <w:rPr>
          <w:rFonts w:ascii="Times New Roman" w:cs="Times New Roman" w:eastAsia="Times New Roman" w:hAnsi="Times New Roman"/>
          <w:sz w:val="18"/>
          <w:szCs w:val="18"/>
          <w:color w:val="231F20"/>
        </w:rPr>
        <w:t xml:space="preserve"> as the demand for sanitizing and disinfecting products declined significantly after the COVID-19 pandemic. The current macroeconomic conditions, such as inflation, increasing interest rates, geopolitical events </w:t>
      </w:r>
      <w:r>
        <w:rPr>
          <w:rFonts w:ascii="Times New Roman" w:cs="Times New Roman" w:eastAsia="Times New Roman" w:hAnsi="Times New Roman"/>
          <w:sz w:val="18"/>
          <w:szCs w:val="18"/>
          <w:color w:val="000000"/>
        </w:rPr>
        <w:t>and recent and potential future disruption in access to bank deposits and lending commitments due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bank failures, </w:t>
      </w:r>
      <w:r>
        <w:rPr>
          <w:rFonts w:ascii="Times New Roman" w:cs="Times New Roman" w:eastAsia="Times New Roman" w:hAnsi="Times New Roman"/>
          <w:sz w:val="18"/>
          <w:szCs w:val="18"/>
          <w:color w:val="231F20"/>
        </w:rPr>
        <w:t>increase the risk of a potential recession and these macroeconomic conditions can negatively impact consumer discretionary spend for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products.</w:t>
      </w:r>
    </w:p>
    <w:p>
      <w:pPr>
        <w:spacing w:after="0" w:line="21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Our strategic initiatives, including as part of the Transformation Initiative, to reduce our costs could have long-term adverse effects on our business, financial condition, results of operations and prospects, </w:t>
      </w:r>
      <w:r>
        <w:rPr>
          <w:rFonts w:ascii="Times New Roman" w:cs="Times New Roman" w:eastAsia="Times New Roman" w:hAnsi="Times New Roman"/>
          <w:sz w:val="18"/>
          <w:szCs w:val="18"/>
          <w:b w:val="1"/>
          <w:bCs w:val="1"/>
          <w:i w:val="1"/>
          <w:iCs w:val="1"/>
          <w:color w:val="000000"/>
        </w:rPr>
        <w:t>could result in total costs and expenses that are greater than expected,</w:t>
      </w:r>
      <w:r>
        <w:rPr>
          <w:rFonts w:ascii="Times New Roman" w:cs="Times New Roman" w:eastAsia="Times New Roman" w:hAnsi="Times New Roman"/>
          <w:sz w:val="18"/>
          <w:szCs w:val="18"/>
          <w:b w:val="1"/>
          <w:bCs w:val="1"/>
          <w:i w:val="1"/>
          <w:iCs w:val="1"/>
          <w:color w:val="231F20"/>
        </w:rPr>
        <w:t xml:space="preserve"> and we may not realize the operational or financial benefits from such actions.</w:t>
      </w:r>
    </w:p>
    <w:p>
      <w:pPr>
        <w:spacing w:after="0" w:line="20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This Transformation Initiative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We may not be successful in realizing our anticipated savings and efficiencies, including as a result of factors beyond our control. In addition, any changes we make to reduce our cost structure, including changes to our products, formulations, or packaging, may result in reduced consumer demand for our products and increased carrying costs. Our future financial performance will depend, in part, on our ability to effectively manage any future growth or restructuring, as applicable. We may not realize, in full or in part, the anticipated benefits, savings and improvements in our cost structure from the Transformation Initiative due to unforeseen difficulties, delays or unexpected costs. If we are unable to realize the anticipated savings and efficiencies of our strategic initiatives, or if they result in unintended consequences, then our operating and financial results would be adversely affected and could differ materially from our expectations.</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20" w:name="page21"/>
    <w:bookmarkEnd w:id="20"/>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Additionally, the Transformation Initiative has resulted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we will be successful in executing the Transformation Initiative. The Transformation Initiative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spacing w:after="0" w:line="21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manage our inventory effectively, our business, results of operations, financial condition and liquidity may be materially and adversely affected.</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Our business requires us to manage a large volume of inventory effectively. We depend on our forecasts of demand for various products to make purchase decisions and to manage our inventory. Demand for products, however, can change significantly between the time inventory or package components are ordered and the date of sale. Demand may be affected by new product launches of our competitors, rapid changes in product cycles and pricing, product defects, promotions, changes in consumer spending patterns, changes in consumer tastes with respect to our products and other factors, unseasonable weather conditions, weakening of economic conditions or consumer or customer confidence in future economic conditions, our failure to accurately forecast acceptance for our new products or our consumers not purchasing products in the quantities that we expect and unanticipated changes in general market conditions or other factors. It may be difficult to accurately forecast demand and determine appropriate levels of product. We generally do not have the right to return unsold products to our suppliers. If we fail to manage our inventory effectively or negotiate favorable credit terms with third-party manufacturers and suppliers, we may be subject to a heightened risk of inventory obsolescence, a shortage of product to deliver to our consumers and customers, a decline in inventory values, and significant inventory write-downs or write-offs. If we are required to lower sale prices or fund markdowns in order to reduce inventory level or to pay higher prices to our suppliers, our gross margins might be negatively affected.</w:t>
      </w:r>
    </w:p>
    <w:p>
      <w:pPr>
        <w:spacing w:after="0" w:line="21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Inventory levels in excess of consumer or customer demand have resulted and may result in inventory write-downs or write-offs and the sale of excess inventory at discounted prices or in less preferred distribution channels, which could impair our brand image and harm our business. For example, given the significant decline in consumer demand for sanitizing and disinfecting products following the height of the COVID-19 pandemic, we recorded an inventory write-down of $4.3 million and $5.6 million during the years ended December 31, 2022 and 2021, respectively, relating to certain sanitization and disinfecting products as the amount of inventory was significantly in excess of existing and projected demand, and we may record inventory write-downs in the future. In addition, if we underestimate the demand for our products, our third-party manufacturers may not be able to produce products to meet our consumer or customer requirements, and this could result in delays in the shipment of our products and our ability to recognize revenue, lost sales, as well as damage to our reputation and retailer and distributor relationships. F</w:t>
      </w:r>
      <w:r>
        <w:rPr>
          <w:rFonts w:ascii="Times New Roman" w:cs="Times New Roman" w:eastAsia="Times New Roman" w:hAnsi="Times New Roman"/>
          <w:sz w:val="18"/>
          <w:szCs w:val="18"/>
          <w:color w:val="000000"/>
        </w:rPr>
        <w:t>uture out-of-stock disruptions may negatively impact our results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operations, reputation and distributor relationships.</w:t>
      </w:r>
    </w:p>
    <w:p>
      <w:pPr>
        <w:spacing w:after="0" w:line="218" w:lineRule="exact"/>
        <w:rPr>
          <w:sz w:val="20"/>
          <w:szCs w:val="20"/>
          <w:color w:val="auto"/>
        </w:rPr>
      </w:pPr>
    </w:p>
    <w:p>
      <w:pPr>
        <w:ind w:right="460" w:firstLine="648"/>
        <w:spacing w:after="0" w:line="242" w:lineRule="auto"/>
        <w:rPr>
          <w:sz w:val="20"/>
          <w:szCs w:val="20"/>
          <w:color w:val="auto"/>
        </w:rPr>
      </w:pPr>
      <w:r>
        <w:rPr>
          <w:rFonts w:ascii="Times New Roman" w:cs="Times New Roman" w:eastAsia="Times New Roman" w:hAnsi="Times New Roman"/>
          <w:sz w:val="18"/>
          <w:szCs w:val="18"/>
          <w:color w:val="231F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Failure to introduce new products may adversely affect our ability to continue to grow.</w:t>
      </w:r>
    </w:p>
    <w:p>
      <w:pPr>
        <w:spacing w:after="0" w:line="24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A key element of our growth strategy depends on our ability to develop and market new products that meet our standards for quality and appeal to our consumers. The success of our innovation and product development efforts is affected by our ability to anticipate changes in consumer preferences, the technical capability of our innovation staff, including chemists, a toxicologist and an eco-toxicologist, developing and testing product formulas and prototypes, our ability to comply with applicable governmental regulations, and the success of our management and sales and marketing teams in introducing and marketing new products. Our product offerings have changed since our launch, which makes it difficult to forecast our future results of operations. Demand for certain product offerings can be volatile. There can be no assurance that demand for our products will be maintained or grow after introduction or that we will successfully develop and market new products that appeal to consumers. For example, product formulas we develop may not contain the product attributes desired by our consumers. Any such failure may lead to a decrease in our growth, sales and ability to achieve profitability, which could adversely affect our business, financial condition, results of operations and prospects.</w:t>
      </w:r>
    </w:p>
    <w:p>
      <w:pPr>
        <w:spacing w:after="0" w:line="21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Additionally, the development and introduction of new products requires substantial marketing expenditures, which we may be unable to recoup if new products do not gain widespread market acceptance. If we are unsuccessful in meeting our objectives with respect to new or improved products, our business, financial condition, results of operations and prospects could be adversely affected.</w:t>
      </w:r>
    </w:p>
    <w:p>
      <w:pPr>
        <w:sectPr>
          <w:pgSz w:w="11900" w:h="16838" w:orient="portrait"/>
          <w:cols w:equalWidth="0" w:num="1">
            <w:col w:w="11240"/>
          </w:cols>
          <w:pgMar w:left="320" w:top="1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21" w:name="page22"/>
    <w:bookmarkEnd w:id="21"/>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one of our marketing or advertising partners, which may prove to be unsuccessful. Substantial advertising and promotional expenditures may be required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In addition, in 2022 and 2023 the industry experienced an increased in paid advertising which impacted our ability to cost-effectively drive traffic to Honest.com. Further, social media platforms frequently change the algorithms that determine the ranking and display of results of a user’s search and may make other changes to the way results are displayed, which may negatively affect the placement of our links. Moreover, social media platforms and other digital advertising platforms have increased the costs of digital advertising which has made such marketing less cost effective and partially led us to shift our advertising budget toward our Retail channel, and in turn reduced the number of visits to our website and social media channels. For example, since the second half of 2022, we made a strategic choice to significantly reduce digital media spending in the face of higher advertising costs, which has and may continue to impact our revenue in the digital channel.</w:t>
      </w:r>
    </w:p>
    <w:p>
      <w:pPr>
        <w:spacing w:after="0" w:line="216"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231F20"/>
        </w:rPr>
        <w:t>In addition, social media platforms typically require compliance with their policies and procedures, which may be subject to change or new interpretation with limited ability to negotiate, which could negatively impact our marketing capabilities. We may need to shift our marketing strategy and associated costs and those shifts, including any decrease in marketing spend, may negatively impact our consumer awareness and ultimately our operating results. If we are unable to maintain and promote a favorable perception of our brand and products on a cost-effective basis, our business, financial condition, results of operations and prospects could be adversely affected.</w:t>
      </w:r>
    </w:p>
    <w:p>
      <w:pPr>
        <w:spacing w:after="0" w:line="19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Failure to leverage our brand value propositions to compete against private label products, especially during an economic downturn, may adversely affect our ability to achieve or maintain profitability.</w:t>
      </w:r>
    </w:p>
    <w:p>
      <w:pPr>
        <w:spacing w:after="0" w:line="185"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231F20"/>
        </w:rPr>
        <w:t xml:space="preserve">In many product categories, we compete not only with other widely advertised branded products, but also with private label products that generally are sold at lower prices. Consumers are more likely to purchase our products if they believe that our products provide greater value than less expensive alternatives. If the difference in perceived value between our brand and private label products narrows, or if there is a perception of such a narrowing, consumers may choose not to buy our products at prices that are profitable for us. </w:t>
      </w:r>
      <w:r>
        <w:rPr>
          <w:rFonts w:ascii="Times New Roman" w:cs="Times New Roman" w:eastAsia="Times New Roman" w:hAnsi="Times New Roman"/>
          <w:sz w:val="18"/>
          <w:szCs w:val="18"/>
          <w:color w:val="000000"/>
        </w:rPr>
        <w:t>We believe that in periods of economic uncertainty, such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current economic uncertainty surrounding the </w:t>
      </w:r>
      <w:r>
        <w:rPr>
          <w:rFonts w:ascii="Times New Roman" w:cs="Times New Roman" w:eastAsia="Times New Roman" w:hAnsi="Times New Roman"/>
          <w:sz w:val="18"/>
          <w:szCs w:val="18"/>
          <w:color w:val="231F20"/>
        </w:rPr>
        <w:t>continuing effects of</w:t>
      </w:r>
      <w:r>
        <w:rPr>
          <w:rFonts w:ascii="Times New Roman" w:cs="Times New Roman" w:eastAsia="Times New Roman" w:hAnsi="Times New Roman"/>
          <w:sz w:val="18"/>
          <w:szCs w:val="18"/>
          <w:color w:val="000000"/>
        </w:rPr>
        <w:t xml:space="preserve"> rising inflation, increasing interest rates, </w:t>
      </w:r>
      <w:r>
        <w:rPr>
          <w:rFonts w:ascii="Times New Roman" w:cs="Times New Roman" w:eastAsia="Times New Roman" w:hAnsi="Times New Roman"/>
          <w:sz w:val="18"/>
          <w:szCs w:val="18"/>
          <w:color w:val="231F20"/>
        </w:rPr>
        <w:t>increasing prices of our products</w:t>
      </w:r>
      <w:r>
        <w:rPr>
          <w:rFonts w:ascii="Times New Roman" w:cs="Times New Roman" w:eastAsia="Times New Roman" w:hAnsi="Times New Roman"/>
          <w:sz w:val="18"/>
          <w:szCs w:val="18"/>
          <w:color w:val="000000"/>
        </w:rPr>
        <w:t xml:space="preserve">, and risk of a recession, consumers may purchase more lower-priced private label or other economy brands. </w:t>
      </w:r>
      <w:r>
        <w:rPr>
          <w:rFonts w:ascii="Times New Roman" w:cs="Times New Roman" w:eastAsia="Times New Roman" w:hAnsi="Times New Roman"/>
          <w:sz w:val="18"/>
          <w:szCs w:val="18"/>
          <w:color w:val="231F20"/>
        </w:rPr>
        <w:t>To the extent this occurs, we could experience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reduction in the sales volume of our products or an unfavorable shift in our product mix, which could have an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develop and maintain our brand, our business could suffer.</w:t>
      </w:r>
    </w:p>
    <w:p>
      <w:pPr>
        <w:spacing w:after="0" w:line="24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We have developed a strong and trusted brand that has contributed significantly to the success of our business, and we believe our continued success depends on our ability to maintain and grow the value of The Honest Company brand. Maintaining, promoting and positioning our brand and reputation will depend on, among other factors, the success of our product offerings, product safety, quality assurance, marketing and merchandising efforts, our continued focus on delivering clean, sustainable, well-designed, and effective products to our consumers and our ability to provide a consistent, high-quality consumer experience. If our manufacturers or suppliers fail to comply with their contractual obligations, including our quality standards, our brand could be harmed.</w:t>
      </w:r>
    </w:p>
    <w:p>
      <w:pPr>
        <w:spacing w:after="0" w:line="22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31F20"/>
        </w:rPr>
        <w:t>Any negative publicity, regardless of its accuracy, could have an adverse effect on our business. Brand value is based on perceptions of subjective qualities, and any incident that erodes the loyalty of our consumers, suppliers or manufacturers, including changes to our products or packaging, adverse publicity or a governmental investigation, litigation or regulatory enforcement action, could significantly reduce the value of our brand and adversely affect our business, financial condition, results of operations and prospects.</w:t>
      </w:r>
    </w:p>
    <w:p>
      <w:pPr>
        <w:spacing w:after="0" w:line="18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2" w:name="page23"/>
    <w:bookmarkEnd w:id="22"/>
    <w:p>
      <w:pPr>
        <w:ind w:right="20" w:firstLine="648"/>
        <w:spacing w:after="0"/>
        <w:rPr>
          <w:sz w:val="20"/>
          <w:szCs w:val="20"/>
          <w:color w:val="auto"/>
        </w:rPr>
      </w:pPr>
      <w:r>
        <w:rPr>
          <w:rFonts w:ascii="Times New Roman" w:cs="Times New Roman" w:eastAsia="Times New Roman" w:hAnsi="Times New Roman"/>
          <w:sz w:val="18"/>
          <w:szCs w:val="18"/>
          <w:color w:val="231F20"/>
        </w:rPr>
        <w:t>We believe our consumers rely on us to provide them with clean, sustainable, well-designed, and effective products. Any loss of confidence on the part of consumers in our products or the ingredients used in our products, whether related to product contamination or product safety or quality failures, actual or perceived, environmental impacts, or inclusion of prohibited ingredients, or ingredients that are perceived to be “toxic”, could tarnish the image of our brand and could cause consumers to choose other products. Allegations of contamination or other adverse effects on product safety or efficacy or suitability for use by a particular consumer or on the environment, even if untrue, may require us to expend significant time and resources responding to such allegations and could, from time to time, result in a recall of a product from any or all of the markets in which the affected product was distributed. Any such issues or recalls could negatively affect our ability to achieve or maintain profitability and brand image.</w:t>
      </w:r>
    </w:p>
    <w:p>
      <w:pPr>
        <w:spacing w:after="0" w:line="19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We have also been the subject of litigation claiming our labels contain inaccurate or misleading information. For example, in 2022, a class action lawsuit was filed against us alleging that our plant-based claim on certain wipes products was deceptive to purchasers. In response to similar claims in the past, we have updated the language on certain of our labels. In addition, we voluntarily recalled certain of our baby wipes and baby powder products in 2017 and one of our bubble bath products in January 2021 due to concerns about potential contamination. Despite successfully completing these recalls, these incidents negatively affected our brand image and required significant time and resources to address.</w:t>
      </w:r>
    </w:p>
    <w:p>
      <w:pPr>
        <w:spacing w:after="0" w:line="21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231F20"/>
        </w:rPr>
        <w:t>We also have no control over our products once purchased by consumers. For example, consumers may store or use our products under conditions and for periods of time inconsistent with approved directions for use or the listed “Period After Opening,” or required warnings or other governmental guidelines on our labels, which may adversely affect the quality and safety of our products.</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231F20"/>
        </w:rPr>
        <w:t>If our products are found to be, or perceived to be, defective or unsafe, or if they otherwise fail to meet our consumers’ expectations, our</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231F20"/>
        </w:rPr>
        <w:t>relationships with consumers could suffer, the appeal of our brand could be diminished, we may need to recall some of our products and/or become subject to regulatory action, and we could lose sales or market share or become subject to boycotts or liability claims. In addition, safety or other defects in our competitors’ products or products using the Honest name in other consumer categories, like beverages and pet food in which we do not own the Honest brand, could reduce consumer demand for our own products if consumers view them to be similar. Any such adverse effect could be exacerbated by our market positioning as a purveyor of clean, sustainable, well-designed, and effective products and may significantly reduce our brand value. Issues regarding the safety, efficacy, quality, composition or environmental impact of any of our products, regardless of the cause, may have an adverse effect on our brand, reputation and operating results. Further,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Any loss of confidence on the part of consumers in the quality, safety, efficacy or environmental suitability of our products would be difficult and costly to overcome, even if such concerns were based on inaccurate or misleading information. If we do not maintain the favorable perception of our brand, our business, financial condition, results of operations and prospects could be adversely affected.</w:t>
      </w:r>
    </w:p>
    <w:p>
      <w:pPr>
        <w:spacing w:after="0" w:line="20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Economic downturns or a change in consumer preferences, perception and spending habits in the clean products categories, in particular, could limit consumer demand for our products and negatively affect our business.</w:t>
      </w:r>
    </w:p>
    <w:p>
      <w:pPr>
        <w:spacing w:after="0" w:line="171"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We have positioned our brand to capitalize on growing consumer interest in clean conscious products. The clean conscious consumer product industry is sensitive to national and regional economic conditions and the demand for the products that we distribute may be adversely affected from time to time by economic downturns that impact consumer spending, including discretionary spending. Current macroeconomic conditions, such as inflation, increasing interest rates, geopolitical events </w:t>
      </w:r>
      <w:r>
        <w:rPr>
          <w:rFonts w:ascii="Times New Roman" w:cs="Times New Roman" w:eastAsia="Times New Roman" w:hAnsi="Times New Roman"/>
          <w:sz w:val="18"/>
          <w:szCs w:val="18"/>
          <w:color w:val="000000"/>
        </w:rPr>
        <w:t>and potential future disruption in access to bank deposits and lending commitments due to bank failures,</w:t>
      </w:r>
      <w:r>
        <w:rPr>
          <w:rFonts w:ascii="Times New Roman" w:cs="Times New Roman" w:eastAsia="Times New Roman" w:hAnsi="Times New Roman"/>
          <w:sz w:val="18"/>
          <w:szCs w:val="18"/>
          <w:color w:val="231F20"/>
        </w:rPr>
        <w:t xml:space="preserve"> increase the risk of a potential recession and these macroeconomic conditions can negatively impact consumer discretionary spend for our products. These external economic conditions, including geopolitical uncertainty, have become more challenging and uncertain in recent years. Current and any </w:t>
      </w:r>
      <w:r>
        <w:rPr>
          <w:rFonts w:ascii="Times New Roman" w:cs="Times New Roman" w:eastAsia="Times New Roman" w:hAnsi="Times New Roman"/>
          <w:sz w:val="18"/>
          <w:szCs w:val="18"/>
          <w:color w:val="000000"/>
        </w:rPr>
        <w:t>f</w:t>
      </w:r>
      <w:r>
        <w:rPr>
          <w:rFonts w:ascii="Times New Roman" w:cs="Times New Roman" w:eastAsia="Times New Roman" w:hAnsi="Times New Roman"/>
          <w:sz w:val="18"/>
          <w:szCs w:val="18"/>
          <w:color w:val="231F20"/>
        </w:rPr>
        <w:t xml:space="preserve">uture economic conditions such as employment levels, business conditions, housing starts, market volatility, interest rates, inflation rates, energy and fuel costs and tax rates, or our actions in response to these conditions, such as price increases, </w:t>
      </w:r>
      <w:r>
        <w:rPr>
          <w:rFonts w:ascii="Times New Roman" w:cs="Times New Roman" w:eastAsia="Times New Roman" w:hAnsi="Times New Roman"/>
          <w:sz w:val="18"/>
          <w:szCs w:val="18"/>
          <w:color w:val="000000"/>
        </w:rPr>
        <w:t>including our price increase in 2022 and 2023,</w:t>
      </w:r>
      <w:r>
        <w:rPr>
          <w:rFonts w:ascii="Times New Roman" w:cs="Times New Roman" w:eastAsia="Times New Roman" w:hAnsi="Times New Roman"/>
          <w:sz w:val="18"/>
          <w:szCs w:val="18"/>
          <w:color w:val="231F20"/>
        </w:rPr>
        <w:t xml:space="preserve"> could reduce consumer spending or change consumer purchasing habits. Among these changes could be a reduction in the number of clean conscious consumer products that consumers purchase where there are alternatives, given that many products in this category often have higher retail prices than do their conventional counterparts.</w:t>
      </w:r>
    </w:p>
    <w:p>
      <w:pPr>
        <w:spacing w:after="0" w:line="213"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231F20"/>
        </w:rPr>
        <w:t>Further, the Diapers and Wipes, Skin and Personal Care and Household and Wellness categories in which we operate are subject to changes in consumer preference, perception and spending habits. Our performance depends significantly on factors that may affect the level and pattern of consumer spending in the markets in which we operate. Such factors include consumer preference, consumer confidence, consumer income, consumer perception of the safety and quality of our products and shifts in the perceived value for our products relative to alternatives. The Diapers and Wipes market is also subject to changes in birthrates,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3" w:name="page24"/>
    <w:bookmarkEnd w:id="23"/>
    <w:p>
      <w:pPr>
        <w:ind w:right="40"/>
        <w:spacing w:after="0" w:line="241" w:lineRule="auto"/>
        <w:rPr>
          <w:sz w:val="20"/>
          <w:szCs w:val="20"/>
          <w:color w:val="auto"/>
        </w:rPr>
      </w:pPr>
      <w:r>
        <w:rPr>
          <w:rFonts w:ascii="Times New Roman" w:cs="Times New Roman" w:eastAsia="Times New Roman" w:hAnsi="Times New Roman"/>
          <w:sz w:val="18"/>
          <w:szCs w:val="18"/>
          <w:color w:val="231F20"/>
        </w:rPr>
        <w:t>which have been declining in developed countries like the United States. In addition, media coverage regarding the safety, quality environmental suitability of, our products or the raw materials, ingredients or processes involved in their manufacturing may damage consumer confidence in our products. A general decline in the consumption of our products could occur at any time as a result of change in consumer preference, perception, confidence and spending habits, including an unwillingness to pay a premium or an inability to purchase our products due to financial hardship or increased price sensitivity, inflationary pressures and economic uncertainty. If consumer preferences shift away from clean products, our business, financial condition and results of operations could be adversely affected.</w:t>
      </w:r>
    </w:p>
    <w:p>
      <w:pPr>
        <w:spacing w:after="0" w:line="21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The success of our products depends on a number of factors including our ability to accurately anticipate changes in market demand and consumer preferences, our ability to differentiate the quality of our products from those of our competitors, and the effectiveness of our marketing and advertising campaigns for our products. We may not be successful in identifying trends in consumer preferences and developing products that respond to such trends in a timely manner. We also may not be able to effectively promote our products by our marketing and advertising campaigns and gain market acceptance. If our products fail to gain market acceptance, are restricted by regulatory requirements or have quality problems, we may not be able to fully recover costs and expenses incurred in our operation, and our business, financial condition, results of operations and prospects could be adversely affected.</w:t>
      </w:r>
    </w:p>
    <w:p>
      <w:pPr>
        <w:spacing w:after="0" w:line="209"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cannot maintain our Company culture or focus on our purpose as we grow, our success and our business and competitive position may be harmed.</w:t>
      </w:r>
    </w:p>
    <w:p>
      <w:pPr>
        <w:spacing w:after="0" w:line="18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231F20"/>
        </w:rPr>
        <w:t>We believe our culture and our mission have been key contributors to our success to date and that the critical nature of the platform that we provide promotes a sense of greater purpose and fulfillment in our employees. Any failure to preserve our culture or focus on our mission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values. If we fail to maintain our Company culture or focus on our mission, our competitive position and business, financial condition, results of operations and prospects could be adversely affected.</w:t>
      </w:r>
    </w:p>
    <w:p>
      <w:pPr>
        <w:spacing w:after="0" w:line="2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231F20"/>
        </w:rPr>
        <w:t>Our ability to maintain our competitive position is largely dependent on the services of our senior management and other key personnel, including our founder and Chief Creative Officer, Jessica Warren, and our Chief Executive Officer, Carla Vernón.</w:t>
      </w:r>
    </w:p>
    <w:p>
      <w:pPr>
        <w:spacing w:after="0" w:line="19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231F20"/>
        </w:rPr>
        <w:t>Our ability to maintain our competitive position is largely dependent on the services of our senior management and other key personnel, including our founder and Chief Creative Officer, Jessica Warren, and our Chief Executive Officer, Carla Vernón. The loss of the services of either of these persons could have an adverse effect on our business, financial condition and results of operations.</w:t>
      </w:r>
    </w:p>
    <w:p>
      <w:pPr>
        <w:spacing w:after="0" w:line="204"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231F20"/>
        </w:rPr>
        <w:t>Jessica Warren is a globally recognized Latina business leader, entrepreneur, advocate, actress, and New York Times bestselling author. We believe that the success of our brand is based in part on our affiliation with Jessica Warren. We have an agreement with Jessica Warren, or the Likeness Agreement, which, among other things, includes a license for her likeness and imposes various obligations on us. Ms. Warren has the right to terminate the Likeness Agreement at any time upon prior written notice, and the Likeness Agreement will immediately terminate in the event we become insolvent. Upon termination of the Likeness Agreement, we could, among other things, be required to pay damages to Ms. Warren, lose our ability to associate the brand with Ms. Warren, including the ability to sell existing inventory using the licensed intellectual property, and sustain reputational damage. We are currently discussing the terms of the Likeness Agreement with Ms. Warren and there is no assurance that we will reach agreement on such terms. The termination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depend on Ms. Warren’s social media reach and influence to connect with consumers and provide insight on current trends. If Ms. Warren objects to a proposed use of the licensed property, we may be prevented from implementing our business plan in a timely manner, or at all, outside of previously approved usages or usages consistent with certain pre-approved product guidelines. The loss of the services of Ms. Warren, or the loss of our ability to use Ms. Warren’s likeness, could have an adverse effect on our business, financial condition and results of operations.</w:t>
      </w:r>
    </w:p>
    <w:p>
      <w:pPr>
        <w:spacing w:after="0" w:line="22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231F20"/>
        </w:rPr>
        <w:t>Our brand may also depend on the positive image and public popularity of Ms. Warren to maintain and increase brand recognition. Ms. Warren’s social media presence and approximately 57 million followers as of February 2024 across all of her social media channels combined represent a large social following and potential audience for our social media reach. Consumers may be drawn to our products because of her involvement with us. If Ms. Warren’s image, reputation or popularity is materially and adversely affected, this could negatively affect the marketability and sales of our products and could have an adverse effect on our business, financial condition and results of operations.</w:t>
      </w:r>
    </w:p>
    <w:p>
      <w:pPr>
        <w:spacing w:after="0" w:line="21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31F20"/>
        </w:rPr>
        <w:t>In addition, our future success depends on our continued ability to attract, develop, motivate and retain highly qualified and skilled employees, including Carla Vernón, who became our Chief Executive Officer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4" w:name="page25"/>
    <w:bookmarkEnd w:id="24"/>
    <w:p>
      <w:pPr>
        <w:jc w:val="both"/>
        <w:ind w:right="120"/>
        <w:spacing w:after="0" w:line="250" w:lineRule="auto"/>
        <w:rPr>
          <w:sz w:val="20"/>
          <w:szCs w:val="20"/>
          <w:color w:val="auto"/>
        </w:rPr>
      </w:pPr>
      <w:r>
        <w:rPr>
          <w:rFonts w:ascii="Times New Roman" w:cs="Times New Roman" w:eastAsia="Times New Roman" w:hAnsi="Times New Roman"/>
          <w:sz w:val="18"/>
          <w:szCs w:val="18"/>
          <w:color w:val="231F20"/>
        </w:rPr>
        <w:t>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could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social media and influencers may adversely affect our reputation or subject us to fines or other penalties.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use third-party social media platforms as, among other things, marketing tools. For example, we maintain Instagram, Facebook, Pinterest, X (formerly Twitter) and TikTok accounts. We also maintain relationships with thousands of social media influencers and engage in sponsorship initiatives. As existing ecommerce and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19"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In addition, an increase in the use of social media influencers for product promotion and marketing may cause an increase in the burden on us to monitor compliance of the content they post and increase the risk that such content could contain problematic product or marketing claims in violation of applicable laws and regulations. For example, in some cases, the Federal Trade Commission, or the FTC, has sought enforcement action where an endorsement has failed to clearly and conspicuously disclose a financial relationship or material connection between an influencer and an advertiser. We do not control the content that our influencers post, and if we were held responsible for any false, misleading or otherwise unlawful content of their posts or their actions, we could be fined or subjected to other monetary liabilities or forced to alter our practices, which could have an adverse impact on our business.</w:t>
      </w:r>
    </w:p>
    <w:p>
      <w:pPr>
        <w:spacing w:after="0" w:line="216"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Negative commentary regarding us, our products or influencers and other third parties who are affiliated with us has in the past and may in the future also be posted on social media platforms and may be adverse to our reputation or business. Influencers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this activity may not be effective in all cases.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 litigation and unfavorable publicity could negatively affect our future business.</w:t>
      </w:r>
    </w:p>
    <w:p>
      <w:pPr>
        <w:spacing w:after="0" w:line="243"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231F20"/>
        </w:rPr>
        <w:t>Our employees have in the past, and may in the future, bring employment-related lawsuits against us, including regarding injuries, a hostile workplace, discrimination, wage and hour disputes, sexual harassment, or other employment issues. In recent years there has been an increase in the number of discrimination and harassment claims generally. Coupled with the expansion of social media platforms, employer review websites and similar devices that allow individuals access to a broad audience, these claims have had a significant negative impact on some businesses. Certain companies that have faced employment-or harassment-related claims have had to terminate management or other key personnel and have suffered reputational harm that has negatively impacted their business, including their ability to attract and hire top talent. Any employment-or harassment-related claims against our Company or key personnel could negatively affect us in similar or other ways.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history of net losses and we may not be able to achieve or maintain profitability in the future.</w:t>
      </w:r>
    </w:p>
    <w:p>
      <w:pPr>
        <w:spacing w:after="0" w:line="243"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231F20"/>
        </w:rPr>
        <w:t xml:space="preserve">We have incurred net losses each year since our inception and we may not be able to achieve or maintain profitability in the future. We incurred net losses of $39.2 million, $49.0 million and $38.7 million in the years ended December 31, 2023, 2022 and 2021, respectively. Even as we try to manage our expenses and execute the </w:t>
      </w:r>
      <w:r>
        <w:rPr>
          <w:rFonts w:ascii="Times New Roman" w:cs="Times New Roman" w:eastAsia="Times New Roman" w:hAnsi="Times New Roman"/>
          <w:sz w:val="18"/>
          <w:szCs w:val="18"/>
          <w:color w:val="000000"/>
        </w:rPr>
        <w:t>Transformation Initiative</w:t>
      </w:r>
      <w:r>
        <w:rPr>
          <w:rFonts w:ascii="Times New Roman" w:cs="Times New Roman" w:eastAsia="Times New Roman" w:hAnsi="Times New Roman"/>
          <w:sz w:val="18"/>
          <w:szCs w:val="18"/>
          <w:color w:val="231F20"/>
        </w:rPr>
        <w:t>, these efforts may be more costly than we expect and may not result in increased revenue or growth or margin improvements in our business.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at our current scale, which may make it difficult to evaluate our business and future prospects.</w:t>
      </w:r>
    </w:p>
    <w:p>
      <w:pPr>
        <w:spacing w:after="0" w:line="243" w:lineRule="exact"/>
        <w:rPr>
          <w:sz w:val="20"/>
          <w:szCs w:val="20"/>
          <w:color w:val="auto"/>
        </w:rPr>
      </w:pPr>
    </w:p>
    <w:p>
      <w:pPr>
        <w:ind w:right="180" w:firstLine="648"/>
        <w:spacing w:after="0" w:line="264" w:lineRule="auto"/>
        <w:rPr>
          <w:sz w:val="20"/>
          <w:szCs w:val="20"/>
          <w:color w:val="auto"/>
        </w:rPr>
      </w:pPr>
      <w:r>
        <w:rPr>
          <w:rFonts w:ascii="Times New Roman" w:cs="Times New Roman" w:eastAsia="Times New Roman" w:hAnsi="Times New Roman"/>
          <w:sz w:val="17"/>
          <w:szCs w:val="17"/>
          <w:color w:val="231F20"/>
        </w:rPr>
        <w:t>We began commercial operations in 2012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189"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Certain of the data that we track is subject to inherent challenges in measurement, and any inaccuracies in such data may negatively affect our business.</w:t>
      </w:r>
    </w:p>
    <w:p>
      <w:pPr>
        <w:spacing w:after="0" w:line="18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231F20"/>
        </w:rPr>
        <w:t>We track certain data using internal data analytics tools and we rely on data received from third parties, including third-party platforms, which have certain limitations. Data from these sources may include information relating to fraudulent accounts and interactions with our sites or the social media accounts of our business or of our influencers (including as a result of the use of bots, or other automated or manual mechanisms to generate false impressions that are delivered through our sites or their accounts). We have only a limited ability to verify data from our sites or third parties, and perpetrators of fraudulent impressions may change their tactics and may become more sophisticated, which would make it still more difficult to detect such activity.</w:t>
      </w:r>
    </w:p>
    <w:p>
      <w:pPr>
        <w:spacing w:after="0" w:line="21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231F20"/>
        </w:rPr>
        <w:t>Our methodologies for tracking data may also change over time. If we undercount or overcount performance due to the internal data analytics tools we use or experience issues with the data received from third parties, or if our internal data analytics tools contain algorithmic or other technical errors, the data we track may not be accurate. In addition, limitations, changes or errors with respect to how we measure data may affect our understanding of certain details of our business, which could affect our longer-term strategies. If we are not able to obtain and track accurate data, our business, financial condition, results of operations and prospects could be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rely on independent certification for a number of our products.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We rely on independent third-party certification, such as certifications of some of our products or ingredients as “organic” to differentiate them from others. We must comply with the requirements of independent organizations or certification authorities in order to label our products as certified organic, such as the United States Department of Agriculture’s, or the USDA, National Organic Program, the Global Organic Textile Standard for organic cotton in our baby clothing and bedding, the USDA’s BioPreferred Program for certified biobased products, the National Eczema Association’s NEA Seal of Acceptance, and the NSF/ANSI 305 standards set by Quality Assurance International. For example, we can lose our certifications if we use unapproved raw materials or incorrectly use a certification on product labels or in marketing materials. The loss of any independent certifications could adversely affect our market position and brand reputation as a maker of clean products, and our business, financial condition, results of operations and prospects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may fluctuate as a result of price concessions, promotional activities, credits and other factors.</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231F20"/>
        </w:rPr>
        <w:t>Retailers and third-party ecommerce partners may require price concessions that would negatively impact our margins and our ability to achieve or maintain profitability. If we are not able to lower our cost structure adequately in response to consumer pricing demands, and if we are not able to attract and retain a profitable consumer mix and a profitable product mix, our ability to achieve or maintain profitability could be adversely affected.</w:t>
      </w:r>
    </w:p>
    <w:p>
      <w:pPr>
        <w:spacing w:after="0" w:line="204"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231F20"/>
        </w:rPr>
        <w:t>In addition, we periodically offer credits through various programs to our retail and ecommerce customers, including temporary price reductions, off-invoice discounts, retailer advertisements, product coupons, market development funds, in-store merchandising and product displays and other trade activities. We also periodically provide credits or other accommodations to our retail and ecommerce customers in the event that products do not conform to specifications or meet expected demand. The cost associated with promotions and credits is estimated and recorded as a reduction in revenue. These price concessions and promotional activities could adversely impact our revenue and changes in such activities could adversely impact period-over-period results. If we are not correct in predicting the performance of such promotions, or if we are not correct in estimating credits, our business, financial condition, results of operations and prospects could be adversely affected.</w:t>
      </w:r>
    </w:p>
    <w:p>
      <w:pPr>
        <w:spacing w:after="0" w:line="212"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inability to secure, maintain and increase our presence in retail stores could adversely impact our revenue, and in turn our business, financial condition, results of operations and prospects could be adversely affected.</w:t>
      </w:r>
    </w:p>
    <w:p>
      <w:pPr>
        <w:spacing w:after="0" w:line="18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 xml:space="preserve">Our operations include sales to retail stores and their related websites, which in 2023, accounted for approximately </w:t>
      </w:r>
      <w:r>
        <w:rPr>
          <w:rFonts w:ascii="Times New Roman" w:cs="Times New Roman" w:eastAsia="Times New Roman" w:hAnsi="Times New Roman"/>
          <w:sz w:val="18"/>
          <w:szCs w:val="18"/>
          <w:color w:val="000000"/>
        </w:rPr>
        <w:t>51%</w:t>
      </w:r>
      <w:r>
        <w:rPr>
          <w:rFonts w:ascii="Times New Roman" w:cs="Times New Roman" w:eastAsia="Times New Roman" w:hAnsi="Times New Roman"/>
          <w:sz w:val="18"/>
          <w:szCs w:val="18"/>
          <w:color w:val="231F20"/>
        </w:rPr>
        <w:t xml:space="preserve"> of our revenue. The success of our business is largely dependent on our continuing development of strong relationships with major retail chains. Target and Walmart represented 31% and 7%, respectively, of our retail sales in 2023. The loss of our relationship with Target, Walmart or any other large retail customer could have a significant impact on our revenue. For example, in 2023 our rotational program with Costco was not renewed. We have no assurance of future rotational programs or ongoing revenue with Costco. In addition, we may be unable to secure adequate shelf space in new markets, or any shelf space at all, until we develop relationships with the retailers that operate in such markets. We also may not be successful in executing our launches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6" w:name="page27"/>
    <w:bookmarkEnd w:id="26"/>
    <w:p>
      <w:pPr>
        <w:ind w:right="40"/>
        <w:spacing w:after="0" w:line="250" w:lineRule="auto"/>
        <w:rPr>
          <w:sz w:val="20"/>
          <w:szCs w:val="20"/>
          <w:color w:val="auto"/>
        </w:rPr>
      </w:pPr>
      <w:r>
        <w:rPr>
          <w:rFonts w:ascii="Times New Roman" w:cs="Times New Roman" w:eastAsia="Times New Roman" w:hAnsi="Times New Roman"/>
          <w:sz w:val="18"/>
          <w:szCs w:val="18"/>
          <w:color w:val="231F20"/>
        </w:rPr>
        <w:t xml:space="preserve">with new retailers. Consequently, growth opportunities through our Retail channel may be limited and our revenue, business, financial condition, results of operations and prospects could be adversely affected if we are unable to successfully establish or maintain relationships with other retailers in new or current markets. For example, in 2023 we exited </w:t>
      </w:r>
      <w:r>
        <w:rPr>
          <w:rFonts w:ascii="Times New Roman" w:cs="Times New Roman" w:eastAsia="Times New Roman" w:hAnsi="Times New Roman"/>
          <w:sz w:val="18"/>
          <w:szCs w:val="18"/>
          <w:color w:val="000000"/>
        </w:rPr>
        <w:t>distribution in low-margin channels.</w:t>
      </w:r>
    </w:p>
    <w:p>
      <w:pPr>
        <w:spacing w:after="0" w:line="20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231F20"/>
        </w:rPr>
        <w:t>We also face significant competition to display our products on store shelves and obtain optimal presence on those shelves. Due to the intense competition for limited shelf space, retailers are in a position to negotiate favorable terms of sale, including price discounts, allowances and product return policies. To the extent we elect to increase discounts or allowances in an effort to secure shelf space, our operating results could be adversely affected. We may not be able to increase or sustain our volume of retail shelf space or offer retailers price discounts sufficient to overcome competition and, as a result, our sales and results of operations could be adversely affected. In addition, many of our competitors have significantly greater financial, manufacturing, marketing, management and other resources than we do and may have greater name recognition, a more established distribution network and a larger base of wholesale customers and distributors. Many of our competitors also have well-established relationships with our current and potential consumers who purchase Diapers and Wipes, Skin and Personal Care or Household and Wellness products at retail stores, and have extensive knowledge of our target markets. As a result, these competitors may be able to devote greater resources to the development, promotion and sale of their products and respond more quickly to evolving consumer preferences. If our competitors’ sales surpass ours, retailers may give higher priority to our competitors’ products, causing such retailers to reduce their efforts to sell our products and resulting in the loss of advantageous shelf space.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Significant product returns or refunds could harm our business.</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We allow our DTC consumers to return products and we offer refunds, subject to our return and refunds policy. In addition, some of our agreements with our retail or third-party ecommerce partners provide that we are responsible for the costs of certain returns. If product returns or refunds are significant or higher than anticipated and forecasted, our business, financial condition, results of operations and prospects could be adversely affected. Further, we and our retail and third-party ecommerce partners modify policies relating to returns or refunds from time to time, and may do so in the future, which may result in consumer dissatisfaction and harm to our reputation or brand, or an increase in the number of product returns or the amount of refunds we make. Additionally, from time to time our products are damaged in transit, which can increase return rates and harm our brand.</w:t>
      </w:r>
    </w:p>
    <w:p>
      <w:pPr>
        <w:spacing w:after="0" w:line="1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business may be adversely affected if we are unable to provide our consumers with a technology platform that is able to respond and adapt to rapid changes in technology.</w:t>
      </w:r>
    </w:p>
    <w:p>
      <w:pPr>
        <w:spacing w:after="0" w:line="18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The number of people who access the Internet through devices other than personal computers, including mobile phones, handheld computers such as notebooks and tablets and television set-top devices, has increased dramatically in recent years. The versions of our website and mobile applications developed for these devices may not be compelling to consumers. Our website and platform are also currently not compatible with voice-enabled products. Adapting our services and/or infrastructure to these devices as well as other new Internet, networking or telecommunications technologies could be time-consuming and could require us to incur substantial expenditures, which could have an adverse effect on our business, financial condition, results of operations and prospects.</w:t>
      </w:r>
    </w:p>
    <w:p>
      <w:pPr>
        <w:spacing w:after="0" w:line="21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Additionally, as new mobile devices and platforms are released, it is difficult to predict the problems we may encounter in developing applications for alternative devices and platforms and we may need to devote significant resources to the creation, support and maintenance of such applications. If we or our retail or ecommerce partners are unable to attract consumers to our or their websites or mobile applications through these devices or are slow to develop a version of such websites or mobile applications that are more compatible with alternative devices, we may fail to capture a significant share of consumers in the Diapers and Wipes, Skin and Personal Care or Household and Wellness product categories and could also lose consumers, which could have an adverse effect on our business, financial condition, results of operations and prospects.</w:t>
      </w:r>
    </w:p>
    <w:p>
      <w:pPr>
        <w:spacing w:after="0" w:line="21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231F20"/>
        </w:rPr>
        <w:t>Further, we continually upgrade existing technologies and business applications and we may be required to implement new technologies or business applications in the future. The implementation of upgrades and changes requires significant investments and may cause disruption to our business. Our results of operations may be affected by the timing, effectiveness and costs associated with the successful implementation of any upgrades or changes to our systems and infrastructure. For example, we have not yet integrated honestbabyclothing.com into our systems and our integration efforts for honestbabyclothing.com may not be successful and may negatively impact our consumer growth. In the event that it is more difficult for our consumers to buy products from us on their mobile devices, or if our consumers choose not to buy products from us on their mobile devices or to use mobile products or platforms that do not offer access to our website, we could lose consumers and fail to attract new consumers. As a result, our consumer growth could be harmed and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27" w:name="page28"/>
    <w:bookmarkEnd w:id="2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Severe weather, including hurricanes, earthquakes and natural disasters, could disrupt normal business operations, which could result in increased costs and have an adverse effect on our business, financial condition, results of operations and prospects.</w:t>
      </w:r>
    </w:p>
    <w:p>
      <w:pPr>
        <w:spacing w:after="0" w:line="17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Our services and operations, including several of our fulfillment centers, customer service centers, data centers and corporate offices are located in California, Nevada and Pennsylvania, and other areas and cross dock facilities that are vulnerable to damage or interruption from natural disasters, power losses, telecommunication failures, terrorist attacks, human errors, break-ins and similar events. The occurrence of a natural disaster or other unanticipated problems at our facilities could result in lengthy interruptions in our services as well as higher insurance premiums. We may not be able to efficiently relocate our fulfillment and delivery operations due to disruptions in service if one of these events occurs and our insurance coverage may be insufficient to compensate us for such losses. Because the Los Angeles area, where our corporate offices are located, is in an earthquake fault zone and because the Los Angeles area is subject to the increased risk of wildfires, we are particularly sensitive to the risk of damage to, or total destruction of, our primary offices and one of our key fulfillment and delivery centers. Although we are insured up to certain limits against any certain losses or expenses that may result from a disruption to our business due to earthquakes or wildfires, either of these events, if incurred, could adversely affect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disruption in our operations could have an adverse effect on our business.</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Our operations, including those of our third-party manufacturers, suppliers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or other public health emergencies, border disputes, acts of terrorism and other external factors over which we and our third-party manufacturers, suppliers and delivery service providers have no control. The loss of, or damage to, the manufacturing facilities or fulfillment centers of our third-party manufacturers, suppliers and delivery service providers could have an adverse effect on our business, financial condition, results of operations and prospects.</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depend heavily on ocean container delivery to receive shipments of certain of our products such as wipes from our third-party manufacturers located in China and contracted third-party delivery service providers to deliver our products to our fulfillment centers located in Las Vegas, Nevada and Breinigsville, Pennsylvania, and from there to our consumers and retail customers. Our third-party manufacturers also rely on ocean container delivery to receive shipments of raw materials and components for our products. Further, we rely on parcel carriers for the delivery of products sold directly to consumers through Honest.com and one major carrier for our domestic freight. Interruptions to or failures in these international and domestic transportation and delivery services has in the past prevented and could in the future prevent the timely or successful delivery of our products. These interruptions or failures may also be due to unforeseen events that are beyond our control or the control of our third-party delivery and transportation service providers, such as truck shortages, labor unrest, political turmoil or natural disasters. There is no assurance that these interruptions or failures will not happen again. For example, a labor strike at a port could negatively impact the delivery of our imported wipes, and the escalating trade dispute between the United States and China and the increased demand for shipping containers have and may in the future restrict the flow of the goods, including our components and wipes, from China to the United States. Any failure to provide high-quality delivery services to our consumers may negatively affect the shopping experience of our consumers, damage our reputation and cause us to lose consumers.</w:t>
      </w:r>
    </w:p>
    <w:p>
      <w:pPr>
        <w:spacing w:after="0" w:line="217"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18"/>
          <w:szCs w:val="18"/>
          <w:color w:val="231F20"/>
        </w:rPr>
        <w:t>Our ability to meet the needs of our consumers and retail customers depends on our and our distribution partners’ proper operation of our fulfillment centers in Las Vegas, Nevada and Breinigsville, Pennsylvania, where most of our inventory that is not in transit is housed. Although we currently insure our inventory, our insurance coverage may not be sufficient to cover the full extent of any loss or damage to our inventory or fulfillment centers, and any loss, damage or disruption of this facility, or loss or damage of the inventory stored there, could have an adverse effect on our business, financial condition, results of operations and prospects.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incur significant losses from fraud.</w:t>
      </w:r>
    </w:p>
    <w:p>
      <w:pPr>
        <w:spacing w:after="0" w:line="243"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18"/>
          <w:szCs w:val="18"/>
          <w:color w:val="231F20"/>
        </w:rPr>
        <w:t>We may in the future incur losses from various types of fraud, including stolen credit card numbers, claims that a consumer did not authorize a purchase, merchant fraud and consumers who have closed bank accounts or have insufficient funds in open bank accounts to satisfy payments. Although we have measures in place to detect and reduce the occurrence of fraudulent activity in our marketplace, those measures may not always be effective.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for online purchases on Honest.com. Our failure to adequately prevent fraudulent transactions could damage our reputation, result in litigation or regulatory action and additional expenses and our business, financial condition, results of operations and prospects could be adversely affected.</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28" w:name="page29"/>
    <w:bookmarkEnd w:id="2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raise capital in the future may be limited and our failure to raise capital may limit our ability to invest in strategic priorities and grow our business.</w:t>
      </w:r>
    </w:p>
    <w:p>
      <w:pPr>
        <w:spacing w:after="0" w:line="17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In the future, we could be required to raise capital through public or private financing or other arrangements. Such financing may not be available on acceptable terms, or at all, and our failure to raise capital when needed could harm our business. We may sell common stock, convertible securities and other equity securities in one or more transactions at prices and in a manner as we may determine from time to time. If we sell any such securities in subsequent transactions, investors in our common stock may be materially diluted. New investors in such subsequent transactions could gain rights, preferences and privileges senior to those of holders of our common stock. Debt financing, if available, may involve restrictive covenants and could reduce our operational flexibility or ability to achieve or maintain profitability. </w:t>
      </w:r>
      <w:r>
        <w:rPr>
          <w:rFonts w:ascii="Times New Roman" w:cs="Times New Roman" w:eastAsia="Times New Roman" w:hAnsi="Times New Roman"/>
          <w:sz w:val="18"/>
          <w:szCs w:val="18"/>
          <w:color w:val="000000"/>
        </w:rPr>
        <w:t>Additionally, our ability to raise additional funds may be adversely impacted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potential worsening global economic conditions and the recent disruptions to, and volatility in, the credit and financial markets in the United States and worldwide, resulting from increased volatility in the trading markets, or otherwise. </w:t>
      </w:r>
      <w:r>
        <w:rPr>
          <w:rFonts w:ascii="Times New Roman" w:cs="Times New Roman" w:eastAsia="Times New Roman" w:hAnsi="Times New Roman"/>
          <w:sz w:val="18"/>
          <w:szCs w:val="18"/>
          <w:color w:val="231F20"/>
        </w:rPr>
        <w:t>If we cannot raise funds on acceptable terms, we may be forced to raise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funds on undesirable terms, or our business may contract or we may be unable to grow our business or respond to competitive pressures, any of which could have an adverse effect on our business, financial condition, results of operations and prospects.</w:t>
      </w:r>
    </w:p>
    <w:p>
      <w:pPr>
        <w:spacing w:after="0" w:line="21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The agreements governing our indebtedness require us to meet certain operating and financial covenants and place restrictions on our operating and financial flexibility. If we raise capital through additional debt financing, the terms of any new debt could further restrict our ability to operate our business.</w:t>
      </w:r>
    </w:p>
    <w:p>
      <w:pPr>
        <w:spacing w:after="0" w:line="20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231F20"/>
        </w:rPr>
        <w:t>In January 2023, we entered into a first lien credit agreement, or 2023 Credit Facility, with JPMorgan Chase Bank, N.A., as administrative agent and lender, and the other lenders party thereto, which provides for a $35.0 million revolving credit facility maturing on April 30, 2026. Debt under the 2023 Credit Facility is guaranteed by our material domestic subsidiaries and is secured by our and such subsidiaries’ assets and property</w:t>
      </w:r>
      <w:r>
        <w:rPr>
          <w:rFonts w:ascii="Times New Roman" w:cs="Times New Roman" w:eastAsia="Times New Roman" w:hAnsi="Times New Roman"/>
          <w:sz w:val="18"/>
          <w:szCs w:val="18"/>
          <w:color w:val="000000"/>
        </w:rPr>
        <w:t>.</w:t>
      </w:r>
    </w:p>
    <w:p>
      <w:pPr>
        <w:spacing w:after="0" w:line="204"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231F20"/>
        </w:rPr>
        <w:t>The 2023 Credit Facility also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in each case subject to certain exceptions:</w:t>
      </w:r>
    </w:p>
    <w:p>
      <w:pPr>
        <w:spacing w:after="0" w:line="2"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restricted payments including dividends and distributions on, redemptions of, repurchases or retirement of our capital stock;</w:t>
      </w:r>
    </w:p>
    <w:p>
      <w:pPr>
        <w:spacing w:after="0" w:line="2"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certain intercompany distributions;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incur additional indebtedness and issue certain types of equity;</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sell assets, including capital stock of subsidiaries;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enter into certain transactions with affiliates;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incur liens;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enter into fundamental changes including mergers and consolidations;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investments, acquisitions, loans or advances;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create negative pledges or restrictions on the payment of dividends or payment of other amounts owed from subsidiaries;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prepayments or modify documents governing material debt that is subordinated with respect to right of payment;</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engage in certain sale leaseback transactions;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 our fiscal year;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 our lines of business.</w:t>
      </w:r>
    </w:p>
    <w:p>
      <w:pPr>
        <w:spacing w:after="0" w:line="211"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231F20"/>
        </w:rPr>
        <w:t>The 2023 Credit Facility also contains a financial covenant that requires us to maintain a minimum total fixed charge coverage ratio during the periods set forth in the 2023 Credit Facility. As a result of the restrictions described above, we are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21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Our ability to comply with the covenants and restrictions contained in the 2023 Credit Facility may be affected by economic, financial and industry conditions beyond our control. The restrictions in the 2023 Credit Facility may prevent us from taking actions that we believe would be in the best interests of our business and may have made it difficult for us to execute our business strategy successfully or effectively compete with companies that are not similarly restricted. Even if the 2023 Credit Facility is terminated, any additional debt that we incur in the future could subject us to similar or additional covenants.</w:t>
      </w:r>
    </w:p>
    <w:p>
      <w:pPr>
        <w:spacing w:after="0" w:line="21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231F20"/>
        </w:rPr>
        <w:t>The 2023 Credit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the Employee Retirement Income Security Act of 1974; certain undischarged judgments; material invalidity of guarantees or grant of security interest; and change of control, in certain cases subject to certain thresholds and grace periods.</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29" w:name="page30"/>
    <w:bookmarkEnd w:id="29"/>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2023 Credit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to which a cross-acceleration or cross-default provision applies. If we are unable to repay our indebtedness, lenders having secured obligations, such as the lenders under the 2023 Credit Facility, could proceed against the collateral securing the indebtedness. In any such case, we may be unable to borrow under our credit facilities and may not be able to repay the amounts due under our credit facilities. This could have an adverse effect on our business, financial condition, results of operations and prospects and could cause us to become bankrupt or insolvent.</w:t>
      </w:r>
    </w:p>
    <w:p>
      <w:pPr>
        <w:spacing w:after="0" w:line="20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could be required to collect additional sales taxes or be subject to other tax liabilities that may increase the costs our consumers would have to pay for our products and adversely affect our operating results.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On June 21, 2018, the U.S. Supreme Court held in South Dakota v. Wayfair, Inc. that states could impose sales tax collection obligations on out-of-state retailers even if those retailers lack any physical presence within the states imposing sales taxes. Under the Wayfair decision, a person requires only a “substantial nexus” with the taxing state before the state may subject the person to sales tax collection obligations therein. An increasing number of states, both before and after the Supreme Court’s ruling, have considered or adopted laws that attempt to impose sales tax collection obligations on out-of-state retailers. The Supreme Court’s Wayfair decision has removed a significant impediment to the enactment of these laws, and it is possible that states may seek to tax out-of-state retailers, including for prior tax years. Although we believe that we currently collect sales taxes in all states that have adopted laws imposing sales tax collection obligations on out-of-state retailers since Wayfair was decided, a successful assertion by one or more jurisdictions requiring us to collect sales taxes where we presently do not do so, or to collect more taxes in a jurisdiction in which we currently do collect some sales taxes, could result in substantial tax liabilities, including taxes on past sales, as well as penalties and interest. The imposition by state governments of sales tax collection obligations on out-of-state retailers in jurisdictions where we do not currently collect sales taxes, whether for prior years or prospectively, could also create additional administrative burdens for us, put us at a competitive disadvantage if they do not impose similar obligations on our competitors and decrease our future sales, which could have an adverse effect on our business, financial condition, results of operations and prospects.</w:t>
      </w:r>
    </w:p>
    <w:p>
      <w:pPr>
        <w:spacing w:after="0" w:line="2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may seek to grow our business through acquisitions of, or investments in, new or complementary businesses, facilities, technologies or products, or through strategic alliances, and the failure to manage these acquisitions, investments or alliances, or to integrate them with our existing business, could have an adverse effect on us.</w:t>
      </w:r>
    </w:p>
    <w:p>
      <w:pPr>
        <w:spacing w:after="0" w:line="203"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231F20"/>
        </w:rPr>
        <w:t>From time to time we may consider opportunities to acquire or make investments in new or complementary businesses, facilities, technologies, offerings or products, or enter into strategic alliances, that may enhance our capabilities, expand our outsourcing and supplier network, complement our current products or expand the breadth of our markets.</w:t>
      </w:r>
    </w:p>
    <w:p>
      <w:pPr>
        <w:spacing w:after="0" w:line="204" w:lineRule="exact"/>
        <w:rPr>
          <w:sz w:val="20"/>
          <w:szCs w:val="20"/>
          <w:color w:val="auto"/>
        </w:rPr>
      </w:pPr>
    </w:p>
    <w:p>
      <w:pPr>
        <w:ind w:right="680" w:firstLine="648"/>
        <w:spacing w:after="0" w:line="252" w:lineRule="auto"/>
        <w:rPr>
          <w:sz w:val="20"/>
          <w:szCs w:val="20"/>
          <w:color w:val="auto"/>
        </w:rPr>
      </w:pPr>
      <w:r>
        <w:rPr>
          <w:rFonts w:ascii="Times New Roman" w:cs="Times New Roman" w:eastAsia="Times New Roman" w:hAnsi="Times New Roman"/>
          <w:sz w:val="18"/>
          <w:szCs w:val="18"/>
          <w:color w:val="231F20"/>
        </w:rPr>
        <w:t>Acquisitions, investments and other strategic alliances, including our supplier services agreement with Butterblu, involve numerous risks, including:</w:t>
      </w:r>
    </w:p>
    <w:p>
      <w:pPr>
        <w:spacing w:after="0" w:line="1" w:lineRule="exact"/>
        <w:rPr>
          <w:sz w:val="20"/>
          <w:szCs w:val="20"/>
          <w:color w:val="auto"/>
        </w:rPr>
      </w:pPr>
    </w:p>
    <w:p>
      <w:pPr>
        <w:ind w:left="660" w:right="520" w:hanging="328"/>
        <w:spacing w:after="0" w:line="237"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problems integrating the acquired business, facilities, technologies or products, including issues maintaining uniform standards, procedures, controls and policies;</w:t>
      </w:r>
    </w:p>
    <w:p>
      <w:pPr>
        <w:spacing w:after="0" w:line="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quality control and brand reputation;</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unanticipated costs associated with acquisitions, investments or strategic alliances;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diversion of management’s attention from our existing business;</w:t>
      </w:r>
    </w:p>
    <w:p>
      <w:pPr>
        <w:spacing w:after="0" w:line="6" w:lineRule="exact"/>
        <w:rPr>
          <w:rFonts w:ascii="Times New Roman" w:cs="Times New Roman" w:eastAsia="Times New Roman" w:hAnsi="Times New Roman"/>
          <w:sz w:val="20"/>
          <w:szCs w:val="20"/>
          <w:color w:val="auto"/>
        </w:rPr>
      </w:pPr>
    </w:p>
    <w:p>
      <w:pPr>
        <w:ind w:left="660" w:right="520" w:hanging="328"/>
        <w:spacing w:after="0" w:line="23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adverse effects on existing business relationships with suppliers, outsourced private brand manufacturing partners and retail and ecommerce partners;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any dispute that may arise with respect to such strategic alliance;</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entering new markets in which we may have limited or no experience;</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potential loss of key employees of acquired businesses;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increased legal and accounting compliance costs.</w:t>
      </w:r>
    </w:p>
    <w:p>
      <w:pPr>
        <w:spacing w:after="0" w:line="21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18"/>
          <w:szCs w:val="18"/>
          <w:color w:val="231F20"/>
        </w:rPr>
        <w:t>Our ability to successfully grow through strategic transactions depends upon our ability to identify, negotiate, complete and integrate suitable target businesses, facilities, technologies and products and to obtain any necessary financing. These efforts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our business, financial condition, results of operations and prospects could be adversely affected. Also, while we employ several different methodologies to assess potential business opportunities, the new businesses may not meet or exceed our expectations.</w:t>
      </w:r>
    </w:p>
    <w:p>
      <w:pPr>
        <w:sectPr>
          <w:pgSz w:w="11900" w:h="16838" w:orient="portrait"/>
          <w:cols w:equalWidth="0" w:num="1">
            <w:col w:w="11240"/>
          </w:cols>
          <w:pgMar w:left="320" w:top="1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may be limited.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substantial losses since inception. As of December 31, 2023, we had federal and state net operating loss carryforwards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$311.0 million and $274.0 million, respectively. The federal loss carryforwards, except the federal loss carryforwards arising in tax years beginning after</w:t>
      </w:r>
    </w:p>
    <w:p>
      <w:pPr>
        <w:spacing w:after="0" w:line="234" w:lineRule="auto"/>
        <w:rPr>
          <w:sz w:val="20"/>
          <w:szCs w:val="20"/>
          <w:color w:val="auto"/>
        </w:rPr>
      </w:pPr>
      <w:r>
        <w:rPr>
          <w:rFonts w:ascii="Times New Roman" w:cs="Times New Roman" w:eastAsia="Times New Roman" w:hAnsi="Times New Roman"/>
          <w:sz w:val="18"/>
          <w:szCs w:val="18"/>
          <w:color w:val="auto"/>
        </w:rPr>
        <w:t>December 31, 2017, begin to expire in 2032 unless previously utilized. Federal net operating losses, or NOLs, arising in tax years beginning after</w:t>
      </w:r>
    </w:p>
    <w:p>
      <w:pPr>
        <w:spacing w:after="0" w:line="235" w:lineRule="auto"/>
        <w:rPr>
          <w:sz w:val="20"/>
          <w:szCs w:val="20"/>
          <w:color w:val="auto"/>
        </w:rPr>
      </w:pPr>
      <w:r>
        <w:rPr>
          <w:rFonts w:ascii="Times New Roman" w:cs="Times New Roman" w:eastAsia="Times New Roman" w:hAnsi="Times New Roman"/>
          <w:sz w:val="18"/>
          <w:szCs w:val="18"/>
          <w:color w:val="auto"/>
        </w:rPr>
        <w:t>December 31, 2017 have an indefinite carryforward period and do not expire, but the deduction for these carryforwards is limited to 80% of current-year</w:t>
      </w:r>
    </w:p>
    <w:p>
      <w:pPr>
        <w:spacing w:after="0" w:line="235" w:lineRule="auto"/>
        <w:rPr>
          <w:sz w:val="20"/>
          <w:szCs w:val="20"/>
          <w:color w:val="auto"/>
        </w:rPr>
      </w:pPr>
      <w:r>
        <w:rPr>
          <w:rFonts w:ascii="Times New Roman" w:cs="Times New Roman" w:eastAsia="Times New Roman" w:hAnsi="Times New Roman"/>
          <w:sz w:val="18"/>
          <w:szCs w:val="18"/>
          <w:color w:val="auto"/>
        </w:rPr>
        <w:t>taxable income for taxable years beginning after 2020. In general, under Sections 382 and 383 of the U.S. Internal Revenue Code of 1986, as amended, a</w:t>
      </w:r>
    </w:p>
    <w:p>
      <w:pPr>
        <w:spacing w:after="0" w:line="235" w:lineRule="auto"/>
        <w:rPr>
          <w:sz w:val="20"/>
          <w:szCs w:val="20"/>
          <w:color w:val="auto"/>
        </w:rPr>
      </w:pPr>
      <w:r>
        <w:rPr>
          <w:rFonts w:ascii="Times New Roman" w:cs="Times New Roman" w:eastAsia="Times New Roman" w:hAnsi="Times New Roman"/>
          <w:sz w:val="18"/>
          <w:szCs w:val="18"/>
          <w:color w:val="auto"/>
        </w:rPr>
        <w:t>corporation that undergoes an “ownership change” (generally defined as a greater than 50 percentage point change (by value) in its equity ownership by</w:t>
      </w:r>
    </w:p>
    <w:p>
      <w:pPr>
        <w:spacing w:after="0" w:line="219" w:lineRule="auto"/>
        <w:rPr>
          <w:sz w:val="20"/>
          <w:szCs w:val="20"/>
          <w:color w:val="auto"/>
        </w:rPr>
      </w:pPr>
      <w:r>
        <w:rPr>
          <w:rFonts w:ascii="Times New Roman" w:cs="Times New Roman" w:eastAsia="Times New Roman" w:hAnsi="Times New Roman"/>
          <w:sz w:val="18"/>
          <w:szCs w:val="18"/>
          <w:color w:val="auto"/>
        </w:rPr>
        <w:t>certain stockholders over a rolling three-year period) is subject to limitations on its ability to utilize its pre-change NOLs to offset future taxable income.</w:t>
      </w:r>
    </w:p>
    <w:p>
      <w:pPr>
        <w:spacing w:after="0" w:line="235" w:lineRule="auto"/>
        <w:rPr>
          <w:sz w:val="20"/>
          <w:szCs w:val="20"/>
          <w:color w:val="auto"/>
        </w:rPr>
      </w:pPr>
      <w:r>
        <w:rPr>
          <w:rFonts w:ascii="Times New Roman" w:cs="Times New Roman" w:eastAsia="Times New Roman" w:hAnsi="Times New Roman"/>
          <w:sz w:val="18"/>
          <w:szCs w:val="18"/>
          <w:color w:val="auto"/>
        </w:rPr>
        <w:t xml:space="preserve">We may have experienced ownership changes in the past and may experience ownership changes in the future. </w:t>
      </w:r>
      <w:r>
        <w:rPr>
          <w:rFonts w:ascii="Times New Roman" w:cs="Times New Roman" w:eastAsia="Times New Roman" w:hAnsi="Times New Roman"/>
          <w:sz w:val="18"/>
          <w:szCs w:val="18"/>
          <w:color w:val="231F20"/>
        </w:rPr>
        <w:t>We performed a study to determine whether</w:t>
      </w:r>
    </w:p>
    <w:p>
      <w:pPr>
        <w:spacing w:after="0" w:line="234" w:lineRule="auto"/>
        <w:rPr>
          <w:sz w:val="20"/>
          <w:szCs w:val="20"/>
          <w:color w:val="auto"/>
        </w:rPr>
      </w:pPr>
      <w:r>
        <w:rPr>
          <w:rFonts w:ascii="Times New Roman" w:cs="Times New Roman" w:eastAsia="Times New Roman" w:hAnsi="Times New Roman"/>
          <w:sz w:val="18"/>
          <w:szCs w:val="18"/>
          <w:color w:val="231F20"/>
        </w:rPr>
        <w:t>net operating losses and credit carryover limitations exist under Section 382 as of December 31, 2020, and determined that a portion of the net operating</w:t>
      </w:r>
    </w:p>
    <w:p>
      <w:pPr>
        <w:spacing w:after="0" w:line="235" w:lineRule="auto"/>
        <w:rPr>
          <w:sz w:val="20"/>
          <w:szCs w:val="20"/>
          <w:color w:val="auto"/>
        </w:rPr>
      </w:pPr>
      <w:r>
        <w:rPr>
          <w:rFonts w:ascii="Times New Roman" w:cs="Times New Roman" w:eastAsia="Times New Roman" w:hAnsi="Times New Roman"/>
          <w:sz w:val="18"/>
          <w:szCs w:val="18"/>
          <w:color w:val="231F20"/>
        </w:rPr>
        <w:t>losses that were generated during 2013 and prior are subject to Section 382 annual limitations. As of December 31, 2023 and 2022, these limitations did not</w:t>
      </w:r>
    </w:p>
    <w:p>
      <w:pPr>
        <w:spacing w:after="0" w:line="235" w:lineRule="auto"/>
        <w:rPr>
          <w:sz w:val="20"/>
          <w:szCs w:val="20"/>
          <w:color w:val="auto"/>
        </w:rPr>
      </w:pPr>
      <w:r>
        <w:rPr>
          <w:rFonts w:ascii="Times New Roman" w:cs="Times New Roman" w:eastAsia="Times New Roman" w:hAnsi="Times New Roman"/>
          <w:sz w:val="18"/>
          <w:szCs w:val="18"/>
          <w:color w:val="231F20"/>
        </w:rPr>
        <w:t xml:space="preserve">cause any of the limited net operating losses to be permanently lost. </w:t>
      </w:r>
      <w:r>
        <w:rPr>
          <w:rFonts w:ascii="Times New Roman" w:cs="Times New Roman" w:eastAsia="Times New Roman" w:hAnsi="Times New Roman"/>
          <w:sz w:val="18"/>
          <w:szCs w:val="18"/>
          <w:color w:val="000000"/>
        </w:rPr>
        <w:t>In addition, for state income tax purposes, there may be periods during which the use</w:t>
      </w:r>
    </w:p>
    <w:p>
      <w:pPr>
        <w:spacing w:after="0"/>
        <w:rPr>
          <w:sz w:val="20"/>
          <w:szCs w:val="20"/>
          <w:color w:val="auto"/>
        </w:rPr>
      </w:pPr>
      <w:r>
        <w:rPr>
          <w:rFonts w:ascii="Times New Roman" w:cs="Times New Roman" w:eastAsia="Times New Roman" w:hAnsi="Times New Roman"/>
          <w:sz w:val="18"/>
          <w:szCs w:val="18"/>
          <w:color w:val="auto"/>
        </w:rPr>
        <w:t>of NOLs or tax credits is suspended or otherwise limited, which could accelerate or permanently increase state taxes owed.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239"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We renegotiated and agreed to higher purchase prices in 2022 with two of our third-party manufacturers which has negatively impacted our cost of revenue in our Diapers and Wipes product category and will continue to have a negative impact on our results of operations. We implemented price increases that took effect throughout 2022 and 2023 and plan to implement additional price increases in the future as needed to offset input cost inflation. The implementation of these price increases are dependent on acceptance from our customers and accurate input of these pricing changes into our systems and our customers' systems.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product categories. Failure to incorporate these price increases into our and our customers' systems may negatively impact our revenue and business results. We may also be limited in our ability to pass increased costs on to consumers, and may experience reduced demand from consumers as a result of our price increases,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15"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brand or reputation could be harmed if customers or consumers and potential consumers believe that our products do not meet their expectations, are not properly labeled or are damaged.</w:t>
      </w:r>
    </w:p>
    <w:p>
      <w:pPr>
        <w:spacing w:after="0" w:line="19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In addition, we do not maintain long-term supply contracts with many of our suppliers and these suppliers could discontinue selling to us at any time. We do have a long-term supply agreement with Ontex for the manufacture and supply of certain diaper products that ends on January 1, 2027, which either party may terminate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 In December 2022, we amended our agreement with Ontex to increase pricing on certain items, among other terms, which applied for the balance of our agreement with Ontex through 2023 and increased our cost of revenue in 2023. In January 2024, we amended and restated our agreement with Ontex, which included improved pricing on certain items, among</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31" w:name="page32"/>
    <w:bookmarkEnd w:id="31"/>
    <w:p>
      <w:pPr>
        <w:ind w:right="40"/>
        <w:spacing w:after="0" w:line="266" w:lineRule="auto"/>
        <w:rPr>
          <w:sz w:val="20"/>
          <w:szCs w:val="20"/>
          <w:color w:val="auto"/>
        </w:rPr>
      </w:pPr>
      <w:r>
        <w:rPr>
          <w:rFonts w:ascii="Times New Roman" w:cs="Times New Roman" w:eastAsia="Times New Roman" w:hAnsi="Times New Roman"/>
          <w:sz w:val="18"/>
          <w:szCs w:val="18"/>
          <w:color w:val="auto"/>
        </w:rPr>
        <w:t>other terms, which will be reflected in our results of operations in future periods. If we are not successful in negotiating future renewals or if we are subject to increased pricing terms, our business, financial condition, results of operations and prospects could be adversely affected.</w:t>
      </w:r>
    </w:p>
    <w:p>
      <w:pPr>
        <w:spacing w:after="0" w:line="18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21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principal suppliers and customers currently provide us with certain incentives such as volume rebates, trade discounts, cooperative advertising and market development funds. A reduction or discontinuance of these incentives would increase our costs and could reduce our ability to achieve or maintain profitability. Similarly, if one or more of our suppliers or customers were to offer these incentives, including preferential pricing, to our competitors, our competitive advantage would be reduced, which could have an adverse effect on our business, financial condition, results of operations and prospects.</w:t>
      </w:r>
    </w:p>
    <w:p>
      <w:pPr>
        <w:spacing w:after="0" w:line="21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 xml:space="preserve">In the fourth quarter of 2023, we entered into an agreement with </w:t>
      </w:r>
      <w:r>
        <w:rPr>
          <w:rFonts w:ascii="Times New Roman" w:cs="Times New Roman" w:eastAsia="Times New Roman" w:hAnsi="Times New Roman"/>
          <w:sz w:val="18"/>
          <w:szCs w:val="18"/>
          <w:color w:val="231F20"/>
        </w:rPr>
        <w:t>National Distribution Centers, LLC ("NFI")</w:t>
      </w:r>
      <w:r>
        <w:rPr>
          <w:rFonts w:ascii="Times New Roman" w:cs="Times New Roman" w:eastAsia="Times New Roman" w:hAnsi="Times New Roman"/>
          <w:sz w:val="18"/>
          <w:szCs w:val="18"/>
          <w:color w:val="auto"/>
        </w:rPr>
        <w:t xml:space="preserve"> that replaced GEODIS in providing services at our Las Vegas, Nevada fulfillment center. GEODIS Logistics LLC, or GEODIS still manages our warehouse fulfillment center located in Breinigsville, Pennsylvania. NFI and GEODIS provide warehousing, distribution and fulfillment services to us. Our agreements with NFI or GEODIS may be terminated for any reason by us or by NFI or GEODIS, as applicable, on delivery of prior written notice, and are renewable on an annual basis. If the agreement with NFI or GEODIS is terminated, is not renewed or if one fulfillment center is consolidated into another warehouse fulfillment center or if NFI or GEODIS becomes insolvent, ceases or significantly reduces its operations or experiences financial distress,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If we are not successful negotiating such renewals, our business, financial condition, results of operations and prospects could be adversely affected as we may have to work with a new provider of warehousing, distribution and fulfillment services which could be disruptive to our operations and further increase our costs. For example, as part of the negotiations in connection with the renewal of its contract, GEODIS passed on increased service and inflation related costs to us, which negatively impacted our cost of revenue for the year ended December 31, 2023 and may continue to negatively impact our cost of revenue going forward.</w:t>
      </w:r>
    </w:p>
    <w:p>
      <w:pPr>
        <w:spacing w:after="0" w:line="21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1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231F20"/>
        </w:rPr>
        <w:t>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negatively impacted our cost of revenue in 2022 and 2023.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222"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231F20"/>
        </w:rPr>
        <w:t>In addition, quality control problems, such as the use of materials and delivery of products that do not meet our quality control standards and specifications or comply with applicable laws or regulations, could harm our brand and business or cause consumer dissatisfaction. For example, as disinfecting and sanitization products have faced supply chain challenges, decelerating market demand and aging and slower turning inventory, we have received some product quality complaints from customers and</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32" w:name="page33"/>
    <w:bookmarkEnd w:id="32"/>
    <w:p>
      <w:pPr>
        <w:spacing w:after="0" w:line="246" w:lineRule="auto"/>
        <w:rPr>
          <w:sz w:val="20"/>
          <w:szCs w:val="20"/>
          <w:color w:val="auto"/>
        </w:rPr>
      </w:pPr>
      <w:r>
        <w:rPr>
          <w:rFonts w:ascii="Times New Roman" w:cs="Times New Roman" w:eastAsia="Times New Roman" w:hAnsi="Times New Roman"/>
          <w:sz w:val="18"/>
          <w:szCs w:val="18"/>
          <w:color w:val="231F20"/>
        </w:rPr>
        <w:t>consumers that have resulted and may in the future result in additional refunds, returns, write-offs and remediation costs. Remediation costs would be significant, including the cost to rework a product to be in sellable condition or the cost to destroy a product that cannot be remediated, and while immaterial as of December 31, 2023, it could have an adverse effect on our business, financial condition and results of operations. Quality control problems could result in regulatory action, such as restrictions on importation, products of inferior quality or product stock outages or shortages, harming our sales and creating inventory write-downs for unusable products.</w:t>
      </w:r>
    </w:p>
    <w:p>
      <w:pPr>
        <w:spacing w:after="0" w:line="20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Further, our third-party manufacturers, suppliers and retail and ecommerce customers may:</w:t>
      </w:r>
    </w:p>
    <w:p>
      <w:pPr>
        <w:spacing w:after="0" w:line="23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economic or business interests or goals that are inconsistent with ours;</w:t>
      </w:r>
    </w:p>
    <w:p>
      <w:pPr>
        <w:spacing w:after="0" w:line="23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take actions contrary to our instructions, requests, policies or objectives;</w:t>
      </w:r>
    </w:p>
    <w:p>
      <w:pPr>
        <w:spacing w:after="0" w:line="238" w:lineRule="exact"/>
        <w:rPr>
          <w:rFonts w:ascii="Times New Roman" w:cs="Times New Roman" w:eastAsia="Times New Roman" w:hAnsi="Times New Roman"/>
          <w:sz w:val="18"/>
          <w:szCs w:val="18"/>
          <w:color w:val="231F20"/>
        </w:rPr>
      </w:pPr>
    </w:p>
    <w:p>
      <w:pPr>
        <w:ind w:left="660" w:right="180" w:hanging="328"/>
        <w:spacing w:after="0" w:line="250"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spacing w:after="0" w:line="20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financial difficulties;</w:t>
      </w:r>
    </w:p>
    <w:p>
      <w:pPr>
        <w:spacing w:after="0" w:line="23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raw material or labor shortages;</w:t>
      </w:r>
    </w:p>
    <w:p>
      <w:pPr>
        <w:spacing w:after="0" w:line="22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increases in raw material or labor costs which may affect our procurement costs;</w:t>
      </w:r>
    </w:p>
    <w:p>
      <w:pPr>
        <w:spacing w:after="0" w:line="23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difficulties with proper payment of custom duties or excise taxes;</w:t>
      </w:r>
    </w:p>
    <w:p>
      <w:pPr>
        <w:spacing w:after="0" w:line="23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 our confidential information or intellectual property to competitors or third parties;</w:t>
      </w:r>
    </w:p>
    <w:p>
      <w:pPr>
        <w:spacing w:after="0" w:line="23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engage in activities or employ practices that may harm our reputation; and</w:t>
      </w:r>
    </w:p>
    <w:p>
      <w:pPr>
        <w:spacing w:after="0" w:line="23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 with, be acquired by, or come under control of, our competitors.</w:t>
      </w:r>
    </w:p>
    <w:p>
      <w:pPr>
        <w:spacing w:after="0" w:line="23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our third-party suppliers and manufacturers do not comply with ethical business practices or with applicable laws and regulations, our reputation, business, financial condition, results of operations and prospects could be harmed.</w:t>
      </w:r>
    </w:p>
    <w:p>
      <w:pPr>
        <w:spacing w:after="0" w:line="18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Our reputation and our consumers’ willingness to purchase our products depend in part on our suppliers’, manufacturers’, and retail customers’ compliance with ethical employment practices, such as with respect to child labor, wages and benefits, forced labor, discrimination, safe and healthy working conditions, and with all legal and regulatory requirements relating to the conduct of their businesses. While we require that our suppliers agree to our Supplier Code of Conduct, we do not exercise control over our suppliers, manufacturers, and retail customers and cannot guarantee their compliance with ethical and lawful business practices. If our suppliers, manufacturers, or retail customers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spacing w:after="0" w:line="21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or our distribution partners do not successfully optimize, operate and manage the expansion of the capacity of our warehouse fulfillment centers, our business, financial condition, results of operations and prospects could be adversely affected.</w:t>
      </w:r>
    </w:p>
    <w:p>
      <w:pPr>
        <w:spacing w:after="0" w:line="185"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231F20"/>
        </w:rPr>
        <w:t>We have warehouse fulfillment centers located in Las Vegas, Nevada and Breinigsville, Pennsylvania, which are managed by our distribution partners, NFI and GEODIS, respectively. If we or any distribution partners do not optimize and operate our warehouse fulfillment centers successfully and efficiently, this could result in excess or insufficient fulfillment capacity, an increase in costs or impairment charges or harm our business in other ways. In addition, if we or any distribution partners do not have sufficient fulfillment capacity or experience a problem fulfilling orders in a timely manner, our consumers may experience delays in receiving their purchases, which could harm our reputation and our relationship with our consumers. We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3" w:name="page34"/>
    <w:bookmarkEnd w:id="33"/>
    <w:p>
      <w:pPr>
        <w:ind w:right="40"/>
        <w:spacing w:after="0" w:line="237" w:lineRule="auto"/>
        <w:rPr>
          <w:sz w:val="20"/>
          <w:szCs w:val="20"/>
          <w:color w:val="auto"/>
        </w:rPr>
      </w:pPr>
      <w:r>
        <w:rPr>
          <w:rFonts w:ascii="Times New Roman" w:cs="Times New Roman" w:eastAsia="Times New Roman" w:hAnsi="Times New Roman"/>
          <w:sz w:val="18"/>
          <w:szCs w:val="18"/>
          <w:color w:val="231F20"/>
        </w:rPr>
        <w:t>and our distribution partner may experience disruptions to the operations of our fulfillment centers, which may negatively impact our and our distribution partner’s ability to fulfill orders in a timely manner, which could harm our reputation, relationships with consumers and business, financial condition, results of operations and prospects. We have designed and established our own fulfillment center infrastructure, including customizing inventory and package handling software systems, which is tailored to meet the specific needs of our business. If we continue to add fulfillment and warehouse capabilities, add new businesses or categories with different fulfillment requirements or change the mix in products that we sell, our fulfillment network will become increasingly complex and operating it will become more challenging. Failure to successfully address such challenges in a cost-effective and timely manner could impair our ability to timely deliver purchases to our DTC consumers and merchandise inventory to our retail and ecommerce partners and could have an adverse effect on our reputation and ultimately, our business, financial condition, results of operations and prospects.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Although we currently rely on our distribution partners, we have in the past and may in the future add short-term warehouse fulfillment centers and/or other distribution capacity as our business continues to grow. We cannot assure you that we will be able to locate suitable facilities on commercially acceptable terms in accordance with our expansion plans, nor can we assure you that we will be able to recruit qualified managerial and operational personnel to support our expansion plans. If we are unable to secure new facilities for the expansion of our fulfillment operations, recruit qualified personnel to support any such facilities, or effectively control expansion-related expenses, our business, financial condition, results of operations and prospects could be adversely affected. If we grow faster than we anticipate, we may exceed our fulfillment center capacity sooner than we anticipate, we may experience problems fulfilling orders in a timely manner or our consumers may experience delays in receiving their purchases, which could harm our reputation and our relationships with our consumers, and we would need to increase our capital expenditures more than anticipated and in a shorter time frame than we currently anticipate. Our ability to expand our fulfillment center capacity, including our ability to secure suitable facilities and recruit qualified employees, may be affected by macroeconomic conditions, and there may be delays or increased costs associated with such expansion. Many of the expenses and investments with respect to our fulfillment centers are fixed, and any expansion of such fulfillment centers will require additional investment of capital. We expect to incur higher capital expenditures in the future for our fulfillment center operations as our business continues to grow. We would incur such expenses and make such investments in advance of expected sales, and such expected sales may not occur. Any of these factors could have an adverse effect on our business, financial condition, results of operations and prospects.</w:t>
      </w:r>
    </w:p>
    <w:p>
      <w:pPr>
        <w:spacing w:after="0" w:line="21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Shipping is a critical part of our business and any changes in our shipping arrangements or any interruptions in shipping could adversely affect our operating results.</w:t>
      </w:r>
    </w:p>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We primarily rely on one major vendor for our DTC shipping requirements and one major vendor for our inbound domestic freight. If we are not able to negotiate acceptable pricing and other terms with these vendors or they experience performance problems or other difficulties, this could negatively impact our operating results and our consumer experience. Shipping vendors have and may continue to impose shipping surcharges from time to time. In addition, our ability to receive inbound inventory efficiently and ship products to consumers and retailers may be negatively affected by inclement weather, fire, flood, power loss, earthquakes, labor disputes, acts of war or terrorism, trade embargoes, customs and tax requirements and similar factors. For example, strikes at major international shipping ports have in the past impacted our supply of inventory from our third-party manufacturers, and the escalating trade dispute between the United States and China has and may in the future lead to increased tariffs, and the revocation of current tariff exclusions for certain of our products, which may restrict the flow of goods from China to the United States. We are also subject to risks of damage or loss during delivery by our shipping vendors. If our products are not delivered in a timely fashion or are damaged or lost during the delivery process, our consumers could become dissatisfied and cease shopping on our site or retailer or third-party ecommerce sites, which could have an adverse effect on our business, financial condition, operating results and prospects.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risks related to online payment methods, including third-party payment processing-related risks.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We currently accept payments using a variety of methods, including credit card, debit card, PayPal and gift cards. As we offer new payment options to consumers, we may be subject to additional regulations, compliance requirements, fraud and other risks. We also rely on third parties to provide payment processing services, and for certain payment methods, we pay interchange and other fees, which may increase over time and raise our operating costs and affect our ability to achieve or maintain profitability. We are also subject to payment card association operating rules and certification requirements, including the Payment Card Industry Data Security Standard, or PCI-DSS, and rules governing electronic funds transfers, which could change or be reinterpreted to make it difficult or impossible for us to comply.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goods and services, which could materially impact our operations and financial performance.</w:t>
      </w: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231F20"/>
        </w:rPr>
        <w:t>Furthermore, as our business changes, we may be subject to different rules under existing standards, which may require new assessments that involve costs above what we currently pay for compliance.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w:t>
      </w:r>
    </w:p>
    <w:p>
      <w:pPr>
        <w:sectPr>
          <w:pgSz w:w="11900" w:h="16838" w:orient="portrait"/>
          <w:cols w:equalWidth="0" w:num="1">
            <w:col w:w="11200"/>
          </w:cols>
          <w:pgMar w:left="320" w:top="10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type w:val="continuous"/>
        </w:sectPr>
      </w:pPr>
    </w:p>
    <w:bookmarkStart w:id="34" w:name="page35"/>
    <w:bookmarkEnd w:id="34"/>
    <w:p>
      <w:pPr>
        <w:ind w:right="160"/>
        <w:spacing w:after="0" w:line="250" w:lineRule="auto"/>
        <w:rPr>
          <w:sz w:val="20"/>
          <w:szCs w:val="20"/>
          <w:color w:val="auto"/>
        </w:rPr>
      </w:pPr>
      <w:r>
        <w:rPr>
          <w:rFonts w:ascii="Times New Roman" w:cs="Times New Roman" w:eastAsia="Times New Roman" w:hAnsi="Times New Roman"/>
          <w:sz w:val="18"/>
          <w:szCs w:val="18"/>
          <w:color w:val="231F20"/>
        </w:rPr>
        <w:t>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payments from consumers or facilitate other types of online payments.</w:t>
      </w:r>
    </w:p>
    <w:p>
      <w:pPr>
        <w:spacing w:after="0" w:line="20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We also occasionally receive orders placed with fraudulent data and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 If any of these events were to occur, our business, financial condition, results of operations and prospects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Legal and Governmental Regulation</w:t>
      </w:r>
    </w:p>
    <w:p>
      <w:pPr>
        <w:spacing w:after="0" w:line="2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Selling Diapers and Wipes, Skin and Personal Care and Household and Wellness products and baby clothing and nursery bedding products involves inherent legal and other risks, and there is increasing governmental scrutiny of and public awareness regarding product safety. Illness, injury or death related to allergens, illnesses, foreign material contamination or other product safety incidents caused by our products, or involving our suppliers, could result in the disruption or discontinuance of sales of these products or our relationships with such suppliers, or otherwise result in increased operating costs, regulatory enforcement actions or harm to our reputation. For example, in 2015 multiple class action lawsuits were filed against us claiming that certain of our products, including our sunscreen, were ineffective and were not “natural,” which also resulted in an investigation by the Food and Drug Administration, or the FDA. In 2016 multiple class action lawsuits were filed against us claiming that we misled buyers about ingredients in our laundry detergent, dish soap and multi-surface cleaner. In 2022, a class action lawsuit was filed against us alleging that our plant-based claim on certain wipes products was deceptive to purchasers. In addition, we voluntarily recalled certain of our baby wipes and baby powder products in 2017. We also voluntarily recalled one of our bubble bath products in January 2021 due to concerns about potential contamination. Despite successfully completing these recalls, these incidents negatively affected our brand image and required significant time and resources to address.</w:t>
      </w:r>
    </w:p>
    <w:p>
      <w:pPr>
        <w:spacing w:after="0" w:line="218"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7"/>
          <w:szCs w:val="17"/>
          <w:color w:val="231F20"/>
        </w:rPr>
        <w:t>Shipment of adulterated or misbranded products, even if inadvertent, can result in criminal or civil liability. Such incidents could also expose us to product liability, negligence, breach of warranty, false advertising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9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The occurrence of adverse reactions, ineffectiveness or other safety incidents could also adversely affect the price and availability of affected materials, resulting in higher costs, disruptions in supply and a reduction in our sales. Furthermore, any instances of contamination, defects, or misbranding or other regulatory noncompliance, whether or not caused by our actions, could compel us, our suppliers, our retail or ecommerce customers, or our consumers, depending on the circumstances, to conduct a recall in accordance with FDA, the Consumer Product Safety Commission, or CPSC, the USDA, the U.S. Environmental Protection Agency, or EPA, or other federal regulations and policies, and comparable state laws, regulations and policies. Product recalls could result in significant losses due to their costs, the destruction of product inventory, lost sales due to the unavailability of the product for a period of time and potential loss of existing retail or ecommerce partners or consumers and a potential negative impact on our ability to attract new consumers due to negative consumer experiences or because of an adverse impact on our brand and reputation. The costs of a recall could be outside the scope of our existing or future insurance policy coverage or limits.</w:t>
      </w:r>
    </w:p>
    <w:p>
      <w:pPr>
        <w:spacing w:after="0" w:line="21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231F20"/>
        </w:rPr>
        <w:t>In addition, companies that sell Diapers and Wipes, Skin and Personal Care, Household and Wellness and other products have been subject to targeted, large-scale tampering as well as to opportunistic, individual product tampering, and we, like any such company, could be a target for product tampering. Forms of tampering could include the introduction of foreign material, chemical contaminants and pathological organisms into products, as well as product substitution. Governmental regulations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have an adverse effect on our business, financial condition, results of operations and prospects.</w:t>
      </w:r>
    </w:p>
    <w:p>
      <w:pPr>
        <w:spacing w:after="0" w:line="212"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231F20"/>
        </w:rPr>
        <w:t>Further, many products that we sell carry or are advertised with claims as to their origin, ingredients or health, wellness, environmental or other benefits or attributes, including, by way of example, the use of the terms “natural”, “organic”, “clean”, “clean conscious”, “sustainable”, “plant-based” or “naturally derived,” or similar synonyms or implied statements relating to such benefits or attributes. Although the FDA, FTC, and the USDA each has issued statements regarding the appropriate use of the</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35" w:name="page36"/>
    <w:bookmarkEnd w:id="35"/>
    <w:p>
      <w:pPr>
        <w:ind w:right="20"/>
        <w:spacing w:after="0" w:line="236" w:lineRule="auto"/>
        <w:rPr>
          <w:sz w:val="20"/>
          <w:szCs w:val="20"/>
          <w:color w:val="auto"/>
        </w:rPr>
      </w:pPr>
      <w:r>
        <w:rPr>
          <w:rFonts w:ascii="Times New Roman" w:cs="Times New Roman" w:eastAsia="Times New Roman" w:hAnsi="Times New Roman"/>
          <w:sz w:val="18"/>
          <w:szCs w:val="18"/>
          <w:color w:val="231F20"/>
        </w:rPr>
        <w:t>word “natural,” there is no single, U.S. government regulated definition of the term “natural” or related concepts like “naturally derived” for use in the personal care industry, which is true for many other adjectives common in the clean conscious product industry. The resulting uncertainty has led to legal challenges. Plaintiffs have commenced legal actions against numerous companies that market “natural”, “naturally derived” or “clean” products or ingredients, asserting false, misleading and deceptive advertising and labeling and breach of warranty claims, including claims alleging the presence of genetically modified or synthetic ingredients, including synthetic or highly processed forms of otherwise natural ingredients. In limited circumstances, both the FDA and FTC have taken regulatory action against products labeled or advertised “natural” but that nonetheless contain synthetic ingredients or components. Should we become subject to similar claims, consumers may avoid purchasing products from us or seek alternatives, even if the basis for the claim is unfounded, and the cost of defending against any such claims could be significant. For example, a class action lawsuit was filed against us in 2022 alleging that our plant-based claim on certain wipes products was deceptive to purchasers. While we believe the claim is baseless, the cost of defending the lawsuit has been significant. Any loss of confidence on the part of consumers in the truthfulness of our labeling, advertising or ingredient claims would be difficult and costly to overcome and may significantly reduce our brand value. Any of these events could adversely affect our reputation and brand and decrease our sales, which could have an adverse effect on our business, financial condition, results of operations and prospects.</w:t>
      </w:r>
    </w:p>
    <w:p>
      <w:pPr>
        <w:spacing w:after="0" w:line="217"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231F20"/>
        </w:rPr>
        <w:t>The USDA enforces federal standards for organic production and use of the term “organic” on product labeling for food and other agricultural products. These laws prohibit a company from selling or labeling products as organic unless they are produced and handled in accordance with the applicable federal law. Failure to comply with these requirements may subject us to liability or regulatory enforcement. Consumers may also pursue state law claims challenging use of the organic label as being intentionally mislabeled or misleading or deceptive to consumers.</w:t>
      </w:r>
    </w:p>
    <w:p>
      <w:pPr>
        <w:spacing w:after="0" w:line="208"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In addition, certain of the cleaning products, including the disinfectant products, we sell require approval from and registration with the EPA prior to sale. Products that expressly or impliedly claim to control microorganisms that pose a threat to human health may be subject to additional regulatory scrutiny and need to be supported by additional efficacy data. Should we advertise or market these EPA regulated products with claims that are not permitted by the terms of their registration or are otherwise false or misleading, the EPA may be authorized to take enforcement action to prevent the sale or distribution of disinfectant products. False or misleading marketing claims concerning a product’s EPA registration or its efficacy may also create the risk for challenges under state law at the consumer level.</w:t>
      </w:r>
    </w:p>
    <w:p>
      <w:pPr>
        <w:spacing w:after="0" w:line="209"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extensive governmental regulation and we may incur material liabilities under, or costs in order to comply with, existing or future laws and regulation, and our failure to comply may result in enforcements, recalls, and other adverse actions.</w:t>
      </w:r>
    </w:p>
    <w:p>
      <w:pPr>
        <w:spacing w:after="0" w:line="185"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231F20"/>
        </w:rPr>
        <w:t>We are subject to a broad range of federal, state, local, and foreign laws and regulations intended to protect public and worker health and safety, natural resources, the environment and consumers. Our operations are subject to regulation by the Occupational Safety and Health Administration, or OSHA, the FDA, the CPSC, the USDA, the FTC, EPA, and by various other federal, state, local and foreign authorities regarding the manufacture, processing, packaging, storage, sale, order fulfillment, advertising, labeling, import and export of our products. Certain of the cleaning products, including the disinfectant products, we sell may require EPA registration and approval prior to sale.</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In addition, we and our manufacturing partners are subject to additional regulatory requirements, including environmental, health and safety laws and regulations administered by the EPA,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Violations of or liability under any of these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and we may incur (directly, or indirectly through our manufacturing partners) material costs to comply with current or future laws and regulations or in any required product recalls. Liabilities under, and/or costs of compliance, and the impacts on us of any non-compliance, with any such laws and regulations could have an adverse effect on our business, financial condition, results of operations and prospects. In addition, changes in the laws and regulations to which we are subject, or in the prevailing interpretations of such laws and regulations by courts and enforcement authorities, could impose significant limitations and require changes to our business, which may increase our compliance expenses, make our business more costly and less efficient to conduct, and compromise our growth strategy, which could have an adverse effect on our business, financial condition, results of operations and prospects.</w:t>
      </w:r>
    </w:p>
    <w:p>
      <w:pPr>
        <w:spacing w:after="0" w:line="215"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231F20"/>
        </w:rPr>
        <w:t>Our products are also subject to state laws and regulations, such as California’s Proposition 65, or Prop 65, which requires a specific warning on any product that contains a substance listed by the State of California as having been found to cause cancer or birth defects, unless the level of such substance in the product is below a safe harbor level. We have in the past been subject to lawsuits brought under Prop 65, and if we fail to comply with Prop 65 in the future, it may result in lawsuits and regulatory enforcement that could have a material adverse effect on our reputation, business, financial condition, results of operations and prospects. Further, the inclusion of warnings on our products to comply with Prop 65 could also reduce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6" w:name="page37"/>
    <w:bookmarkEnd w:id="36"/>
    <w:p>
      <w:pPr>
        <w:ind w:right="60"/>
        <w:spacing w:after="0" w:line="250" w:lineRule="auto"/>
        <w:rPr>
          <w:sz w:val="20"/>
          <w:szCs w:val="20"/>
          <w:color w:val="auto"/>
        </w:rPr>
      </w:pPr>
      <w:r>
        <w:rPr>
          <w:rFonts w:ascii="Times New Roman" w:cs="Times New Roman" w:eastAsia="Times New Roman" w:hAnsi="Times New Roman"/>
          <w:sz w:val="18"/>
          <w:szCs w:val="18"/>
          <w:color w:val="231F20"/>
        </w:rPr>
        <w:t>consumption of our products or leave consumers with the perception (whether or not valid) that our products do not meet their health and wellness needs, all of which could adversely affect our reputation, business, financial condition, results of operations and prospects. These developments, depending on the outcome, could have an adverse effect on our reputation, business, financial condition, results of operations and prospects.</w:t>
      </w:r>
    </w:p>
    <w:p>
      <w:pPr>
        <w:spacing w:after="0" w:line="20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Changes in existing laws or regulations or related official guidance, or the adoption of new laws or regulations or guidance, may increase our costs and otherwise adversely affect our business, financial condition, results of operations and prospects.</w:t>
      </w:r>
    </w:p>
    <w:p>
      <w:pPr>
        <w:spacing w:after="0" w:line="18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231F20"/>
        </w:rPr>
        <w:t>The manufacture and marketing of Diapers and Wipes, Skin and Personal Care and Household and Wellness products is highly regulated. We and our suppliers and manufacturers are subject to a variety of laws and regulations. These laws and regulations apply to many aspects of our business, including the manufacture, packaging, labeling, import, distribution and order fulfillment, advertising, sale, quality and safety of our products, as well as the health and safety of our employees and the protection of the environment.</w:t>
      </w:r>
    </w:p>
    <w:p>
      <w:pPr>
        <w:spacing w:after="0" w:line="21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231F20"/>
        </w:rPr>
        <w:t>In the United States, we are subject to regulation by various government agencies, including OHSA, the FDA, the USDA, the FTC, the CPSC, and the EPA, the California Air Resources Board, or CARB, as well as various other federal, state and local agencies. We are also regulated outside the United States by various international regulatory bodies. In addition, we are subject to certain standards, such as the Global Food Safety Initiative, standards and review by voluntary organizations, such as BBB National Programs'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21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231F20"/>
        </w:rPr>
        <w:t>The regulatory environment in which we operate has changed in the past could change significantly and adversely in the future. For example, in December 2009, the FTC substantially revised its Guides Concerning the Use of Endorsements and Testimonials in Advertising, or “Endorsement Guides,” to eliminate a safe harbor principle that formerly recognized that advertisers could publish consumer testimonials that conveyed truthful but extraordinary results from using the advertiser’s product as long as the advertiser clearly and conspicuously disclosed that the endorser’s results were not typical. Similarly, in 2012, the FTC announced revisions to its Guides For The Use Of Environmental Marketing Claims, or the “Green Guides,” that assist advertisers in avoiding the dissemination of false or deceptive environmental claims for their products. The Green Guides revisions introduced new and proscriptive guidance regarding advertisers’ use of product certifications and seals of approval, “recyclable” claims, “renewable materials” claims, “carbon offset” claims and other environmental benefit claims. Although we strive to adapt our marketing efforts to evolving regulatory requirements and related guidance, we may not always anticipate or timely identify changes in regulation or official guidance that could impact our business, with the result that we could be subjected to litigation and enforcement actions that could adversely affect our business, financial condition, results of operations and prospects. Future changes in regulations and related official guidance, including the Endorsement Guides and Green Guides, could also introduce new restrictions that impair our ability to market our products effectively and place us at a competitive disadvantage with competitors who depend less than we do on environmental marketing claims and social media influencer relationships.</w:t>
      </w:r>
    </w:p>
    <w:p>
      <w:pPr>
        <w:spacing w:after="0" w:line="21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231F20"/>
        </w:rPr>
        <w:t>Moreover, any change in manufacturing, advertising, labeling or packaging requirements for our products may lead to an increase in costs or interruptions in production, either of which could adversely affect our business, financial condition, results of operations and prospects. New or revised government laws, regulations or guidelines could result in additional compliance costs and, in the event of non-compliance, civil remedies, including fines, injunctions, withdrawals, recalls or seizures and confiscations, as well as potential criminal sanctions, any of which could have an adverse effect on our business, financial condition, results of operations and prospects.</w:t>
      </w:r>
    </w:p>
    <w:p>
      <w:pPr>
        <w:spacing w:after="0" w:line="20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Failure by our network of retail and ecommerce partners, suppliers or manufacturers to comply with product safety, environmental or other laws and regulations, or with the specifications and requirements of our products, may disrupt our supply of products and adversely affect our business.</w:t>
      </w:r>
    </w:p>
    <w:p>
      <w:pPr>
        <w:spacing w:after="0" w:line="18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If our network of retail and ecommerce partners, suppliers or manufacturers fail to comply with environmental, health and safety or other laws and regulations, or face allegations of non-compliance, their operations may be disrupted and our reputation could be harmed. Additionally, our retail and ecommerce partners, suppliers and manufacturers are required to maintain the quality of our products and to comply with our standards and specifications. In the event of actual or alleged non-compliance, we might be forced to find alternative retail or ecommerce partners, suppliers or manufacturers and we may be subject to lawsuits and/or regulatory enforcement actions related to such non-compliance by the suppliers and manufacturers. As a result, our supply of Diapers and Wipes, Skin and Personal Care and Household and Wellness products could be disrupted or our costs could increase, which could adversely affect our business, financial condition, results of operations and prospects. The failure of any partner or manufacturer to produce products that conform to our standards could adversely affect our reputation in the marketplace and result in product recalls, product liability claims, government or third-party actions and economic loss. For example, a manufacturer’s failure to meet cGMPs, could result in the delivery of product that is subject to a product recall, product liability litigation, or government investigations. Additionally, actions we may take to mitigate the impact of any disruption or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7" w:name="page38"/>
    <w:bookmarkEnd w:id="37"/>
    <w:p>
      <w:pPr>
        <w:ind w:right="220"/>
        <w:spacing w:after="0" w:line="266" w:lineRule="auto"/>
        <w:rPr>
          <w:sz w:val="20"/>
          <w:szCs w:val="20"/>
          <w:color w:val="auto"/>
        </w:rPr>
      </w:pPr>
      <w:r>
        <w:rPr>
          <w:rFonts w:ascii="Times New Roman" w:cs="Times New Roman" w:eastAsia="Times New Roman" w:hAnsi="Times New Roman"/>
          <w:sz w:val="18"/>
          <w:szCs w:val="18"/>
          <w:color w:val="231F20"/>
        </w:rPr>
        <w:t>disruption in our supply of materials or finished inventory, including increasing inventory in anticipation of a potential supply or production interruption, could have an adverse effect on our business, financial condition, results of operations and prospects.</w:t>
      </w:r>
    </w:p>
    <w:p>
      <w:pPr>
        <w:spacing w:after="0" w:line="185"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Class action litigation, other legal claims and regulatory enforcement actions could subject us to liability for damages, civil and criminal penalties and other monetary and non-monetary liability and could otherwise adversely affect our reputation, business, financial condition, results of operations and prospects.</w:t>
      </w:r>
    </w:p>
    <w:p>
      <w:pPr>
        <w:spacing w:after="0" w:line="20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operate in a highly regulated environment with constantly evolving legal and regulatory frameworks. Consequently, we are subject to a heightened risk of consumer class action litigation, other legal claims, government investigations or other regulatory enforcement actions. The product marketing and labeling practices of companies operating in the Diapers and Wipes, Skin and Personal Care, Household and Wellness and clean conscious products segments of the marketplace receive close scrutiny from the private plaintiff’s class action bar and from public consumer protection agencies. Accordingly, there is risk that consumers will bring class action lawsuits and that the FTC and/or state attorneys general or other consumer protection law enforcement authorities will bring legal actions concerning the truth and accuracy of our product marketing and labeling claims. Examples of causes of action that may be asserted in a consumer class action lawsuit include fraud, false advertising, unfair and deceptive practices, negligent misrepresentation, unjust enrichment, breach of warranty and breach of state consumer protection statutes. We have been targeted with such litigation in the past. 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In 2022, a class action lawsuit was filed against us alleging that our plant-based claim on certain wipes products was deceptive to purchasers. While we believe the claim is baseless, the cost of defending the lawsuit has been significant.</w:t>
      </w:r>
    </w:p>
    <w:p>
      <w:pPr>
        <w:spacing w:after="0" w:line="21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have also been the subject of litigation claiming our labels contain inaccurate or misleading information. In response, we have updated the language on certain of our labels. Changes in our labels could reduce overall consumption of our products or leave consumers with the perception (whether or not valid) that our products do not meet their safety, efficacy or clean conscious needs, which could adversely affect our reputation, business, financial condition, results of operations and prospects. Although we have implemented policies and procedures designed to ensure compliance with existing laws and regulations, there can be no assurance that our employees, consultants, independent contractors, suppliers, manufacturers or retail or ecommerce partners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and liabilities that could adversely affect our product sales, reputation, financial condition and operating results. These liabilities could include obligations to reformulate products or remove them from the marketplace, as well as obligations to disgorge revenue and to accept burdensome injunctions that limit our freedom to market our products. In addition, the costs and other effects of defending potential and pending litigation and administrative actions against us may be difficult to determine and could adversely affect our reputation, business, brand image, financial condition, results of operations and prospects.</w:t>
      </w:r>
    </w:p>
    <w:p>
      <w:pPr>
        <w:spacing w:after="0" w:line="21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Furthermore, although we believe that the extent of our insurance coverage is consistent with industry practice, any claim under our insurance policies may be subject to certain exceptions, may not be honored fully, in a timely manner, or at all, and we may not have purchased sufficient insurance to cover all losses incurred. If we were to incur substantial liabilities, as a result of civil or criminal penalties or otherwise, or if our business operations were interrupted for a substantial period of time, we could incur costs and suffer losses. Such liabilities, including inventory and business interruption losses, may not be covered by our insurance policies.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 Additionally, in the future, insurance coverage may not be available to us at commercially acceptable premiums, or at all.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Litigation or legal proceedings could expose us to significant liabilities and have a negative impact on our reputation or business.</w:t>
      </w:r>
    </w:p>
    <w:p>
      <w:pPr>
        <w:spacing w:after="0" w:line="24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We are, and may in the future become,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a description of our material pending legal proceedings, please see Note 11, </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to the consolidated financial statements included elsewhere in this Annual Report on Form 10-K.</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38" w:name="page39"/>
    <w:bookmarkEnd w:id="38"/>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an adverse effect on our business, financial condition, results of operations and prospects. Any claims or litigation, even if fully indemnified or insured, could damage our reputation and make it more difficult to compete effectively or to obtain adequate insurance in the future.</w:t>
      </w:r>
    </w:p>
    <w:p>
      <w:pPr>
        <w:spacing w:after="0" w:line="212" w:lineRule="exact"/>
        <w:rPr>
          <w:sz w:val="20"/>
          <w:szCs w:val="20"/>
          <w:color w:val="auto"/>
        </w:rPr>
      </w:pPr>
    </w:p>
    <w:p>
      <w:pPr>
        <w:ind w:right="180" w:firstLine="648"/>
        <w:spacing w:after="0" w:line="264" w:lineRule="auto"/>
        <w:rPr>
          <w:sz w:val="20"/>
          <w:szCs w:val="20"/>
          <w:color w:val="auto"/>
        </w:rPr>
      </w:pPr>
      <w:r>
        <w:rPr>
          <w:rFonts w:ascii="Times New Roman" w:cs="Times New Roman" w:eastAsia="Times New Roman" w:hAnsi="Times New Roman"/>
          <w:sz w:val="17"/>
          <w:szCs w:val="17"/>
          <w:color w:val="231F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8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stakeholders with respect to our ESG practices, performance, commitments and disclosures may impact our reputation, increase our costs and impact our access to capital.</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Stakeholder scrutiny related to our ESG practices, commitments, performance and disclosures continues to increase. We have adopted certain policies and programs, including with respect to responsible ingredients and sustainability, safety and health, human capital management, social performance and community relations, diversity and inclusion and supply chain code of conduct. Our stakeholders might not be satisfied with our ESG practices, commitments, performance and/or disclosures, or the speed of their adoption, implementation and measurable success. Investor advocacy groups, certain institutional investors, investment funds, creditors and other influential investors are increasingly focused on our ESG practices and in recent years have placed increasing importance on the ESG implications of their investments and lending decisions. If we do not meet our stakeholders’ evolving expectations, our reputation, access to and cost of capital, stock price, and ability to attract and retain customers, consumers and talent could be negatively impacted.</w:t>
      </w:r>
    </w:p>
    <w:p>
      <w:pPr>
        <w:spacing w:after="0" w:line="21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Organizations that provide information to investors and financial institutions on ESG performance and related matters have developed quantitative and qualitative data collection processes and ratings processes for evaluating companies on their approach to ESG matters. Such ratings are used by some investors to inform their investment and voting decisions. In addition, many investors have created their own proprietary ratings that inform their investment and voting decisions. Unfavorable ratings or assessment of our ESG practices, including our compliance with certain disclosure standards and frameworks, may lead to negative investor sentiment toward us, which could have a negative impact on our stock price and our access to and cost of capital.</w:t>
      </w:r>
    </w:p>
    <w:p>
      <w:pPr>
        <w:spacing w:after="0" w:line="213"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17"/>
          <w:szCs w:val="17"/>
          <w:color w:val="auto"/>
        </w:rPr>
        <w:t>As we continue to focus on our ESG practices, commitments, performance and disclosures, and as ESG-related regulations and disclosure standards and frameworks continue to evolve, we have expanded our public disclosures in these areas. For example, in 2022, we published our first ESG Investor Tear Sheet. Such disclosures may reflect goals, aspirations, commitments, cost estimates and other expectations and assumptions, including over long timeframes, which are based on available data and estimates, necessarily uncertain, may be refined or expanded over time, and may not be realized.</w:t>
      </w:r>
    </w:p>
    <w:p>
      <w:pPr>
        <w:spacing w:after="0" w:line="19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Climate and other ESG disclosure regulations, as well as pressure from customers, investors, and other stakeholders to provide ESG-related data or adopt certain ESG policies, may impose additional financial and administrative burdens and increase liability risk. In addition, our climate or other ESG claims or goals could result in additional regulatory disclosure obligations, or expose the Company to regulatory, customer, or other stakeholder scrutiny. Further, the voluntary disclosure standards or frameworks we choose to align with are evolving and may change over time and our interpretation of such disclosure standards and frameworks may differ from those of others, either of which may result in a lack of consistent or meaningful comparative data from period to period and/or significant revisions to our goals and aspirations or reported progress in achieving such goals and aspirations.</w:t>
      </w:r>
    </w:p>
    <w:p>
      <w:pPr>
        <w:spacing w:after="0" w:line="21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Ensuring that there are adequate systems and processes in place to comply with the various ESG tracking and disclosure obligations will require management’s time and expense. If we do not adapt to or comply with government regulations, investor or stakeholder expectations, including with respect to evolving disclosure standards and frameworks, or if we are perceived to have not responded appropriately, regardless of whether there is a legal requirement to do so, we may suffer from reputational damage and our business, financial condition, cost of capital and/or stock price could be adversely affected.</w:t>
      </w:r>
    </w:p>
    <w:p>
      <w:pPr>
        <w:spacing w:after="0" w:line="212"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Further, being associated with activities by suppliers, contractors or other affiliates that have or are perceived to have individual or cumulative adverse impacts on the environment, climate, biodiversity and land management, water access and management, human rights or cultural heritage could negatively affect our reputation and impose additional costs.</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39" w:name="page40"/>
    <w:bookmarkEnd w:id="39"/>
    <w:p>
      <w:pPr>
        <w:ind w:right="120"/>
        <w:spacing w:after="0" w:line="243" w:lineRule="auto"/>
        <w:rPr>
          <w:sz w:val="20"/>
          <w:szCs w:val="20"/>
          <w:color w:val="auto"/>
        </w:rPr>
      </w:pPr>
      <w:r>
        <w:rPr>
          <w:rFonts w:ascii="Times New Roman" w:cs="Times New Roman" w:eastAsia="Times New Roman" w:hAnsi="Times New Roman"/>
          <w:sz w:val="18"/>
          <w:szCs w:val="18"/>
          <w:b w:val="1"/>
          <w:bCs w:val="1"/>
          <w:i w:val="1"/>
          <w:iCs w:val="1"/>
          <w:color w:val="231F20"/>
        </w:rPr>
        <w:t>We (and our third parties) are subject to stringent and changing domestic and foreign laws, regulations, and rules, contractual data privacy and security obligations, industry standards, policies and other obligations related to data privacy and security. The actual or perceived failure by us, our consumers, partners or vendors to comply with obligations could lead to regulatory investigations or actions; litigation; fines and penalties; have an adverse effect on our business, financial condition, results of operations and prospects disruptions of our business operations; reputational harm; loss of revenue or profits; loss of customers or sales; and other adverse business consequences.</w:t>
      </w:r>
    </w:p>
    <w:p>
      <w:pPr>
        <w:spacing w:after="0" w:line="212"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231F20"/>
        </w:rPr>
        <w:t>In the ordinary course of business we process, and our vendors process on our behalf, personal information and other sensitive information, including proprietary and confidential business information, trade secrets, intellectual property, sensitive third-party information, and other information necessary to provide and deliver our products through our DTC channel to operate our business, for legal and marketing purposes, and for other business-</w:t>
      </w:r>
    </w:p>
    <w:p>
      <w:pPr>
        <w:spacing w:after="0" w:line="8"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231F20"/>
        </w:rPr>
        <w:t>related purposes. Our data Processing activities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spacing w:after="0" w:line="20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Data privacy and information security has become a significant issue in the United States, countries in Europe, and in many other countries in which we operate and where we offer our products and services. The legal and regulatory framework for privacy and security issues is rapidly evolving and is expected to increase our compliance costs and exposure to liability. There are numerous federal, state, local, and foreign laws, orders, codes, regulations and regulatory guidance regarding privacy, information security and processing (which we collectively refer to as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consumers for processing is obtained, could increase our costs and require us to modify our operations, possibly in a material manner, which we may be unable to complete and may limit our ability to store and process consumer information and operate our business.</w:t>
      </w:r>
    </w:p>
    <w:p>
      <w:pPr>
        <w:spacing w:after="0" w:line="21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231F20"/>
        </w:rPr>
        <w:t>We are also subject to the terms of our external and internal privacy and security policies, codes, representations, certifications, industry standards, publications and frameworks (which we collectively refer to as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(which we collectively refer to as Data Protection Obligations).</w:t>
      </w:r>
    </w:p>
    <w:p>
      <w:pPr>
        <w:spacing w:after="0" w:line="22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231F20"/>
        </w:rPr>
        <w:t>In the United States, these include rules and regulations promulgated under the authority of the Federal Trade Commission, the Electronic Communications Privacy Act, the Computer Fraud and Abuse Act, the California Consumer Privacy Act, or CCPA, the Telephone Consumer Protection Act, or TCPA, the Controlling the Assault of Non-Solicited Pornography And Marketing Act, or CAN-SPAM, other state and federal laws relating to privacy and data security, and other similar laws (e.g., wiretapping laws). The TCPA imposes various consumer consent requirements and other restrictions on certain telemarketing activity and other communications with consumers using technology such as telephones, mobile devices, and text messages. TCPA violations can result in significant financial penalties, as businesses can incur penalties or criminal fines imposed by the Federal Communications Commission or be fined up to $1,500 per violation through private litigation or state attorneys general or other state actor enforcement. Class action suits are the most common method for private enforcement. Many states have enacted telemarketing laws and regulations that are even more proscriptive than the TCPA and that pose additional litigation and regulatory enforcement risks.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(as amended by the California Privacy Rights Act of 2020) applies to personal information of consumers, business representatives, and employees who are California residents, and requires businesses to make specific disclosures in privacy notices and honor requests of such individuals to exercise certain privacy rights, such as those noted below. The CCPA provides for administrative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If and as we become subject to new data privacy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and these developments further complicate compliance efforts, and increase legal risk and compliance costs for us, and the third parties upon whom we rely. Additionally, under various Data Protection Laws and Data Protection Obligations, we may be required to obtain certain consents to process personal information. For example, some of our data processing practices may be challenged under wiretapping laws, if we obtain</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40" w:name="page41"/>
    <w:bookmarkEnd w:id="40"/>
    <w:p>
      <w:pPr>
        <w:ind w:right="80"/>
        <w:spacing w:after="0" w:line="266" w:lineRule="auto"/>
        <w:rPr>
          <w:sz w:val="20"/>
          <w:szCs w:val="20"/>
          <w:color w:val="auto"/>
        </w:rPr>
      </w:pPr>
      <w:r>
        <w:rPr>
          <w:rFonts w:ascii="Times New Roman" w:cs="Times New Roman" w:eastAsia="Times New Roman" w:hAnsi="Times New Roman"/>
          <w:sz w:val="18"/>
          <w:szCs w:val="18"/>
          <w:color w:val="231F20"/>
        </w:rPr>
        <w:t>consumer information from third parties through various methods, including chatbot providers, or via third-party marketing pixels. These practices may be subject to increased challenges by class action plaintiffs. Our inability or failure to do so could result in adverse consequences, including class action litigation and mass arbitration demands.</w:t>
      </w:r>
    </w:p>
    <w:p>
      <w:pPr>
        <w:spacing w:after="0" w:line="189"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31F20"/>
        </w:rPr>
        <w:t>In addition, we are also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211"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18"/>
          <w:szCs w:val="18"/>
          <w:color w:val="231F20"/>
        </w:rPr>
        <w:t>Outside the United States, an increasing number of laws, regulations, and industry standards apply to data privacy and security. For example, in Canada, the Personal Information Protection and Electronic Documents Act (“PIPEDA”) and various related provincial laws, as well as Canada’s Anti-Spam Legislation (“CASL”), may apply to our operations and the European Union’s General Data Protection Regulation, or GDPR, and the United Kingdom’s GDPR, or UK GDPR, imposes strict requirements for processing the personal data of individuals. For example, the GDPR introduced strict requirements for processing the personal data of European Union data subjects. Companies that must comply with the GDPR face increased compliance obligations and risk, including more robust regulatory enforcement of data protection requirements, an order prohibiting processing of European data subject personal data and potential fines for noncompliance of up to €20 million or 4% of the annual global revenues of the noncompliant company, whichever is greater. European data protection laws including the GDPR also generally prohibit the transfer of personal data from Europe, including the European Economic Area, or EEA, the United Kingdom, and Switzerland, to the United States and most other countries unless the parties to the transfer have established a legal basis for the transfer and implemented specific safeguards to protect the transferred personal data. Also, following the expiry of the post-Brexit transitional arrangements, the United Kingdom Information Commissioner’s Office is not able to be our “lead supervisory authority” in respect of any “cross border processing” for the purposes of the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 Other countries have also passed or are considering passing laws requiring local data residency and/or restricting the international transfer of data.</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231F20"/>
        </w:rPr>
        <w:t>The European Commission released a set of Standard Contractual Clauses (SCCs),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Additional regulatory guidance has been released that seeks to imposes additional obligations on companies seeking to rely on SCCs,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As such, any transfers by us or our vendors of personal information from Europe may not comply with European data protection law; may increase our exposure to the GDPR’s heightened sanctions for violations of its cross-border data transfer restrictions; may increase exposure to regulatory actions, substantial fines, and injunctions against processing or transferring personal data from Europe or elsewhere; and may reduce demand for our products from companies subject to European data protection laws.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The inability to import personal data to the United States could significantly and negatively impact our business operations, limiting our ability to collaborate with parties that are subject to European and other data privacy and security laws; or requiring us to increase our personal data processing capabilities and infrastructure in Europe and/or elsewhere at significant expense. Additionally, other countries outside of Europe have enacted or are considering enacting similar cross-border data transfer restrictions and laws requiring local data residency, which could increase the cost and complexity of delivering our products and operating our business.</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Additionally, individuals are increasingly resistant to the collection, use, and sharing of personal data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For example, in 2021, Apple began allowing users to more easily opt-out of activity tracking across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1" w:name="page42"/>
    <w:bookmarkEnd w:id="41"/>
    <w:p>
      <w:pPr>
        <w:ind w:right="40"/>
        <w:spacing w:after="0" w:line="268" w:lineRule="auto"/>
        <w:rPr>
          <w:sz w:val="20"/>
          <w:szCs w:val="20"/>
          <w:color w:val="auto"/>
        </w:rPr>
      </w:pPr>
      <w:r>
        <w:rPr>
          <w:rFonts w:ascii="Times New Roman" w:cs="Times New Roman" w:eastAsia="Times New Roman" w:hAnsi="Times New Roman"/>
          <w:sz w:val="17"/>
          <w:szCs w:val="17"/>
          <w:color w:val="231F20"/>
        </w:rPr>
        <w:t>devices, which has impacted and may continue to impact our business.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19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We are also bound by contractual data privacy and security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1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Our obligations related to data privacy and security (and consumers’ data privacy expectations) are quickly changing, becoming increasingly stringent and creating regulatory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Our business model materially depends on our ability to process personal data, so we are particularly exposed to the risks associated with the rapidly changing legal landscape. For example, we may be at heightened risk of regulatory scrutiny, and any changes in the regulatory framework could require us to fundamentally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data privacy and security obligations could result in adverse effects, including inability to operate our business and proceedings against us by governmental entities or others.</w:t>
      </w:r>
    </w:p>
    <w:p>
      <w:pPr>
        <w:spacing w:after="0" w:line="21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strive to comply with applicable Data Protection Laws, Privacy Policies and Data Protection Obligations to the extent possible, but we may at times fail to do so, or may be perceived to have failed to do so. If we fail, or are perceived to have failed, to address or comply with data privacy and security obligations, we could face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operations. Moreover, despite our efforts, we may not be successful in achieving compliance if our employees, partners or vendors do not comply with applicable Data Protection Laws, Privacy Policies and Data Protection Obligations. If we or our vendors fail (or are perceived to have failed) to comply with applicable Data Protection Laws, Privacy Policies and Data Protection Obligations, or if our Privacy Policies are, in whole or part, found to be inaccurate, incomplete, deceptive, unfair, or misrepresentative of our actual practices, our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2" w:name="page43"/>
    <w:bookmarkEnd w:id="4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Government regulation of the Internet and ecommerce is evolving, and unfavorable changes or failure by us to comply with these regulations could have an adverse effect on our business, financial condition, results of operations and prospects.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consumer protection, sales practices and Internet neutrality. It is not clear how some existing laws governing issues such as property ownership, sales and other taxes and consumer privacy apply to the Internet as many of these laws were adopted prior to the advent of the Internet and do not contemplate or address the unique issues raised by the Internet or ecommerce. Our subscription programs are also subject to a complex and evolving body of domestic and international consumer protection laws and regulations that govern automatically renewing purchase agreements and that vary from jurisdiction to jurisdiction. It is possible that general business regulations and laws, laws specifically governing the Internet or ecommerce, and automatic renewal laws governing product subscription programs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and mobile applications by customers and suppliers and may result in the imposition of monetary liabilities and burdensome injunctions. We may also be contractually liable to indemnify and hold harmless third parties from the costs or consequences of non-compliance with any such laws or regulations. As a result, adverse developments with respect to these laws and regulations could have an adverse effect on our business, financial condition, results of operations and prospects.</w:t>
      </w:r>
    </w:p>
    <w:p>
      <w:pPr>
        <w:spacing w:after="0" w:line="21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We rely on a variety of marketing techniques and practices, including email and social media marketing, online targeted advertising, cookie-based processing, and postal mail to sell our products and services and to attract new consumers, and we, and our vendors, are subject to various current and future Data Protection Laws and Data Protection Obligations that govern marketing and advertising practices.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w:t>
      </w:r>
    </w:p>
    <w:p>
      <w:pPr>
        <w:spacing w:after="0" w:line="20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Developments in labor and employment law and any unionizing efforts by employees could have an adverse effect on our business, financial condition, results of operations and prospects.</w:t>
      </w:r>
    </w:p>
    <w:p>
      <w:pPr>
        <w:spacing w:after="0" w:line="18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231F20"/>
        </w:rPr>
        <w:t>We face the risk that Congress, federal agencies or one or more states could approve legislation or regulations significantly affecting our businesses and our relationship with our employees and other individuals providing valuable services to us, such as our influencers. For example, the previously proposed federal legislation referred to as the Employee Free Choice Act would have substantially liberalized the procedures for union organization. None of our employees are currently covered by a collective bargaining agreement, but any attempt by our employees to organize a labor union could result in increased legal and other associated costs. Additionally, given the National Labor Relations Board’s “speedy election” rule, our ability to timely and effectively address any unionizing efforts would be difficult. If we enter into a collective bargaining agreement with our employees, the terms could have an adverse effect on our costs, efficiency and ability to generate acceptable returns on the affected operations.</w:t>
      </w:r>
    </w:p>
    <w:p>
      <w:pPr>
        <w:spacing w:after="0" w:line="212"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231F20"/>
        </w:rPr>
        <w:t>Federal and state wage and hour rules establish minimum salary requirements for employees to be exempt from overtime payments. For example, among other requirements, California law requires employers to pay employees who are classified as exempt from overtime a minimum salary of at least twice the minimum wage, which is currently $58,240 per year for executive, administrative and professional employees with employers that have 26 or more employees. Minimum salary requirements impact the way we classify certain employees, increases our payment of overtime wages and provision of meal or rest breaks, and increases the overall salaries we are required to pay to currently exempt employees to maintain their exempt status. As such, these requirements could have an adverse effect on our business, financial condition, results of operations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 and Information Technology</w:t>
      </w:r>
    </w:p>
    <w:p>
      <w:pPr>
        <w:spacing w:after="0" w:line="23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b w:val="1"/>
          <w:bCs w:val="1"/>
          <w:i w:val="1"/>
          <w:iCs w:val="1"/>
          <w:color w:val="231F20"/>
        </w:rPr>
        <w:t>We are increasingly dependent on information technology and our ability to process data in order to operate and sell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43" w:name="page44"/>
    <w:bookmarkEnd w:id="43"/>
    <w:p>
      <w:pPr>
        <w:ind w:right="260" w:firstLine="648"/>
        <w:spacing w:after="0" w:line="241" w:lineRule="auto"/>
        <w:rPr>
          <w:sz w:val="20"/>
          <w:szCs w:val="20"/>
          <w:color w:val="auto"/>
        </w:rPr>
      </w:pPr>
      <w:r>
        <w:rPr>
          <w:rFonts w:ascii="Times New Roman" w:cs="Times New Roman" w:eastAsia="Times New Roman" w:hAnsi="Times New Roman"/>
          <w:sz w:val="18"/>
          <w:szCs w:val="18"/>
          <w:color w:val="231F20"/>
        </w:rPr>
        <w:t>We rely on information technology networks and systems and data processing (some of which are managed by third-parties) to market, sell and deliver our products and services, to fulfill orders, to collect, receive, store, process, generate, use, transfer, disclose, make accessible, protect, secure, dispose of and share (which we collectively refer to as Process or Processing) personal information, sensitive, confidential or proprietary information, financial information and other information (which we collectively refer to as sensitive information), to manage a variety of business processes and activities, for financial reporting purposes, to operate our business, process orders and to comply with regulatory, legal and tax requirements (which we collectively refer to as Business Functions).</w:t>
      </w:r>
    </w:p>
    <w:p>
      <w:pPr>
        <w:spacing w:after="0" w:line="21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231F20"/>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fundamentally change our business model. The risk of unauthorized circumvention of our security measures or those of our third parties has been heightened by advances in computer and software capabilities and the increasing sophistication of hackers, threat actors, personnel (such as through theft or misuse), sophisticated nation-states, and nation-state-supported actors who now engage and are expected to engage in cyber-attacks.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our third parties may be subject to a variety of evolving threats, including without limitation, the theft or misuse of personal and financial information, counterfeiting, “phishing” or social engineering attacks, ransomware, extortion, publicly announcing security breaches, account takeover attacks, denial or degradation of service attacks (such as credential stuffing), malicious code (such as viruses and worms), supply-chain attacks, software bugs, server malfunctions, software or hardware failures, loss of data or other information technology assets, adware, telecommunications failures, malware (including as a result of advanced persistent threat intrusion), fraudulent payment and identity theft, earthquakes, fires, floods, and other similar threats. Because the techniques used by hackers change frequently, we may be unable to anticipate these techniques or implement adequate preventive measures. Our applications, systems, networks, software and physical facilities could have material vulnerabilities, be breached or personal or confidential information could be otherwise compromised due to employee error or malfeasance. Third parties may also exploit vulnerabilities in, or obtain unauthorized access to, platforms, software, applications, systems, networks, sensitive information, and/or physical facilities utilized by our vendors. Improper access to our systems or databases could result in the theft, publication, deletion or modification of personal information, confidential or proprietary information, financial information and other information.</w:t>
      </w:r>
    </w:p>
    <w:p>
      <w:pPr>
        <w:spacing w:after="0" w:line="21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231F20"/>
        </w:rPr>
        <w:t>Ransomware attacks, including those perpetrated by organized criminal threat actors, nation-states, and nation-state-supported actors, are becoming increasingly prevalent and severe and can lead to significant interruptions in our operations, loss of information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 parties’ supply chains have not been compromised or that they do not contain exploitable defects or bugs that could result in a breach of or disruption to our information technology systems (including our products and services) or the third-party information technology systems that support us and our services.</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231F20"/>
        </w:rPr>
        <w:t>As outlined above, 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cybersecurity practices is limited outside of standard system and organizational</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231F20"/>
        </w:rPr>
        <w:t>control reports review procedures, and these third parties may not have adequate information security measures in place. If our third-party service providers experience a security incident or other interruption, we could experience adverse consequences. And,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4" w:name="page45"/>
    <w:bookmarkEnd w:id="44"/>
    <w:p>
      <w:pPr>
        <w:ind w:firstLine="648"/>
        <w:spacing w:after="0" w:line="236" w:lineRule="auto"/>
        <w:rPr>
          <w:sz w:val="20"/>
          <w:szCs w:val="20"/>
          <w:color w:val="auto"/>
        </w:rPr>
      </w:pPr>
      <w:r>
        <w:rPr>
          <w:rFonts w:ascii="Times New Roman" w:cs="Times New Roman" w:eastAsia="Times New Roman" w:hAnsi="Times New Roman"/>
          <w:sz w:val="18"/>
          <w:szCs w:val="18"/>
          <w:color w:val="231F20"/>
        </w:rPr>
        <w:t>While we have implemented security measures designed to protect against security incidents, there can be no assurance that these measures will be effective. We may also expend significant resources or modify our business activities in an effort to protect against security incidents in the future. Certain data privacy and security obligations may require us to implement and maintain specific security measures, industry-standard or reasonable security measures to protect our information technology systems and data. Despite our efforts to ensure the security, privacy, integrity, confidentiality, availability, and authenticity of information technology networks and systems, Processing and information, there can be no assurance that these measures will be effective. The recovery systems, security protocols, network protection mechanisms and other security measures that we have integrated into our systems, networks and physical facilities, which are designed to protect against, detect and minimize security breaches, may not be adequate to prevent or detect service interruption, system failure data loss or theft, or other material adverse consequences. No security solution, strategy, or measures can address all possible security threats or block all methods of penetrating a network or otherwise perpetrating a security breach because such threats and techniques change frequently, are often sophisticated in nature, and may not be detected until after a security breach has occurred. We also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21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Any of the previously identified or similar threats could cause a security breach or other interruption. Any material disruption of our networks, systems or data processing activities, or those of our third parties, could disrupt our ability to provide our products and services, and to undertake, and cause a material adverse impact to, our Business Functions and our business, reputation and financial condition. If we (or a third party upon whom we rely) experience a security incident or are perceived to have experienced a security incident, or otherwise suffers damage, security breaches, vulnerabilities, disruption or shutdown, and we do not effectively resolve the issues in a timely manner, we may experience adverse consequences, to our Business Functions and our business, </w:t>
      </w:r>
      <w:r>
        <w:rPr>
          <w:rFonts w:ascii="Times New Roman" w:cs="Times New Roman" w:eastAsia="Times New Roman" w:hAnsi="Times New Roman"/>
          <w:sz w:val="18"/>
          <w:szCs w:val="18"/>
          <w:color w:val="000000"/>
        </w:rPr>
        <w:t>such as government enforcement actions (for example, investigations, fines, penalties, audits, and inspections); additional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w:t>
      </w:r>
      <w:r>
        <w:rPr>
          <w:rFonts w:ascii="Times New Roman" w:cs="Times New Roman" w:eastAsia="Times New Roman" w:hAnsi="Times New Roman"/>
          <w:sz w:val="18"/>
          <w:szCs w:val="18"/>
          <w:color w:val="231F20"/>
        </w:rPr>
        <w:t>For example, a security breach or other interruption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could result in unauthorized, unlawful, or accidental acquisition, modification, destruction, loss, alteration, encryption, disclosure of, or access to information. Our DTC and ecommerce operations are critical to our business and our financial performance. Our website serves as an effective extension of our marketing strategies by exposing potential new consumers to our brand, product offerings and enhanced content. Due to the importance of our website and DTC operations, any material disruption of our networks, systems or data processing activities related to our websites and DTC operations could reduce DTC sales and financial performance, damage our brand’s reputation and materially adversely impact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1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231F20"/>
        </w:rPr>
        <w:t>We have not always been able in the past and may be unable in the future to detect, anticipate, measure or prevent threats or techniques used to detect or exploit vulnerabilities in our (or our third parties’) information technology, services, Processing, communications systems, or software. In addition, security researchers and other individuals have in the past and will continue in the future to actively search for and exploit actual and potential vulnerabilities in our (or our third parties’) information technology, services, communications or software. We expect similar issues to arise in the future as our products and services are more widely adopted, and as we continue to expand the features and functionality of existing products and services and introduce new products and services. Despite our efforts to identify and remediate vulnerabilities, if any, in our information technology systems (including our products), our efforts may not be successful. 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5" w:name="page46"/>
    <w:bookmarkEnd w:id="45"/>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may have contractual and other legal obligations to notify relevant stakeholders of any security breaches. Most jurisdictions have enacted laws requiring companies to notify relevant stakeholders, including affected individuals, customers, regulatory authorities, investors, and others of security breaches involving certain types of data. In addition, our agreements with certain consumers and partners may require us to notify them in the event of a security breach. Such mandatory disclosures are costly, and the disclosures or the failure to comply with such requirements could lead to adverse consequences. Further, the SEC has adopted new rules that require us to provide greater disclosures around our cybersecurity risk management, strategy, and governance and reactive issues (e.g., security incidents). Complying with these obligations, including making any such disclosures, can be costly, and the disclosures we make to comply with, or the failure to comply with, such requirements could lead to adverse consequences. If we (or our third parties) experience a security breach or are perceived to have experienced a security breach,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interruptions in our operations (including availability of information); financial loss; and other similar harms. Security breaches and attendant consequences may cause customers to stop using our products or services, deter new customers from using our products or services, and negatively impact our ability to grow and operate our business.</w:t>
      </w:r>
    </w:p>
    <w:p>
      <w:pPr>
        <w:spacing w:after="0" w:line="216"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231F20"/>
        </w:rPr>
        <w:t>Our contracts may not contain limitations of liability, and even where they do, there can be no assurance that any limitations of liability in our contracts would be enforceable or adequate or would otherwise protect us from liabilities, damages, or claims related to our data privacy and security obligations. We may not have adequate or sufficient insurance coverage to protect us from or to mitigate liabilities arising out of our privacy and security practices. In addition, we cannot be sure that such coverage will continue to be available on acceptable terms or at all, or that such coverage will pay any future claims or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obtain, maintain, protect and enforce our intellectual property rights.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231F20"/>
        </w:rPr>
        <w:t>We regard our brand, consumer lists, trademarks, trade dress, domain names, trade secrets, proprietary technology and similar intellectual property as critical to our success. We rely on trademark, copyright and patent law, trade secret protection, and confidentiality agreements with our employees and others to protect our proprietary rights.</w:t>
      </w:r>
    </w:p>
    <w:p>
      <w:pPr>
        <w:spacing w:after="0" w:line="21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231F20"/>
        </w:rPr>
        <w:t>Effective intellectual property protection may not be available in every country in which our products are, or may be made, available.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misappropriating or otherwise violating our proprietary rights, and we may be unable to broadly enforce all of our intellectual property rights. Any of our intellectual property rights may be challenged by others or invalidated through administrative process or litigation.</w:t>
      </w:r>
    </w:p>
    <w:p>
      <w:pPr>
        <w:spacing w:after="0" w:line="212"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18"/>
          <w:szCs w:val="18"/>
          <w:color w:val="231F20"/>
        </w:rPr>
        <w:t>Our pending and future patent and trademark applications may never be granted. Additionally, the process of obtaining patent and trademark protection is expensive and time-consuming, and we may be unable to prosecute all necessary or desirable patent and trademark applications at a reasonable cost or in a timely manner. There can be no assurance that our issued patents and registered trademarks or pending applications, if issued or registered, will adequately protect our intellectual property, as the legal standards relating to the validity, enforceability and scope of protection of patent, trademark and other intellectual property rights are constantly evolving and vary by jurisdiction. We also cannot be certain that others will not independently develop or otherwise acquire equivalent or superior technology or intellectual property rights.</w:t>
      </w:r>
    </w:p>
    <w:p>
      <w:pPr>
        <w:spacing w:after="0" w:line="19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further rely on confidentiality agreements to protect our intellectual property rights. 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 The effectiveness of these agreements are important as some of our formulations have been developed by or with our suppliers and manufacturers. However, we may fail to enter into confidentiality agreements with all parties who have access to our trade secrets or other confidential information. In addition,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Even if we are successful in prosecuting such claims, any remedy awarded may be insufficient to fully compensate us for the improper disclosure or misappropriation. In addition, 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1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231F20"/>
        </w:rPr>
        <w:t>We might be required to spend significant resources to monitor and protect our intellectual property rights. For example, we may initiate claims or litigation against others for infringement, misappropriation or violation of our intellectual property rights or other proprietary rights or to establish the validity of such rights.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litigation, whether or not it is resolved in our favor, could result in significant expense to us and divert the efforts of our technical and management personnel, which could have an adverse effect on our business, financial condition, results of operations and prospects.</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any registered trademark or other intellectual property could enable other companies to compete more effectively with us.</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231F20"/>
        </w:rPr>
        <w:t>We consider our trademarks to be valuable assets that reinforce our brand and consumers’ perception of our products. We have invested a significant amount of time and money in establishing and promoting our brands. Our continued success depends, to a significant degree, upon our ability to protect and preserve our registered trademarks and to successfully obtain additional trademark registrations in the future.</w:t>
      </w:r>
    </w:p>
    <w:p>
      <w:pPr>
        <w:spacing w:after="0" w:line="20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231F20"/>
        </w:rPr>
        <w:t>We may not be able to obtain trademark protection in all territories that we consider to be important to our business. In addition, we cannot assure you that the steps we have taken to protect our trademarks are adequate, that our trademarks can be successfully defended and asserted in the future or that third parties will not infringe upon any such rights. Our trademark rights and related registrations may be challenged, opposed, infringed, cancelled, circumvented or declared generic, or determined to be infringing on other marks, as applicable. Failure to protect our trademark rights could prevent us in the future from challenging third parties who use names and logos similar to our trademarks, which may in turn cause consumer confusion or negatively affect consumers’ perception of our brand and products. Moreover, any trademark disputes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could have an adverse effect on our business, financial condition, results of operations and prospects.</w:t>
      </w:r>
    </w:p>
    <w:p>
      <w:pPr>
        <w:spacing w:after="0" w:line="21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our existing license agreements or cannot license rights to use technologies on reasonable terms or at all, we may be unable to license rights that are critical to our business.</w:t>
      </w:r>
    </w:p>
    <w:p>
      <w:pPr>
        <w:spacing w:after="0" w:line="18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We license certain intellectual property which is critical to our business, including pursuant to the Likeness Agreement with Jessica Warren. If we fail to comply with any of the obligations under our license agreements, we may be required to pay damages and the licensor may have the right to terminate the license. Termination by the licensor would cause us to lose valuable rights, and could inhibit our ability to commercialize our products. If any contract interpretation disagreement were to arise, the resolution could narrow what we 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spacing w:after="0" w:line="21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231F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spacing w:after="0" w:line="20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or other allegations that we infringe, misappropriate or otherwise violate the intellectual property rights of third parties, which could result in substantial damages and diversion of management’s efforts and attention.</w:t>
      </w:r>
    </w:p>
    <w:p>
      <w:pPr>
        <w:spacing w:after="0" w:line="185"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231F20"/>
        </w:rPr>
        <w:t>Third parties have from time to time claimed, and may claim in the future, that we have infringed, misappropriated or otherwise violated their intellectual property rights. These claims, whether meritorious or not, could be time-consuming, result in considerable litigation costs, result in injunctions against us or the payment of damages by us, require significant amounts of management time or result in the diversion of significant operational resources and expensive changes to our business model, result in the payment of substantial damages or injunctions against us, or require us to enter into costly royalty or licensing agreements, if available. As a result of a third-party claim, we have agreed to certain restrictions regarding the goods and services that may be offered under our trademarks.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Any payments we are required to make and any injunctions we are required to comply with as a result of these claims could have an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reliance on software-as-a-service, or SaaS, technologies from third parties may adversely affect our business and results of operations.</w:t>
      </w:r>
    </w:p>
    <w:p>
      <w:pPr>
        <w:spacing w:after="0" w:line="243"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18"/>
          <w:szCs w:val="18"/>
          <w:color w:val="231F20"/>
        </w:rPr>
        <w:t>We rely on SaaS technologies from third parties, including Salesforce, in order to operate critical functions of our business, including financial management services, customer relationship management services, supply chain services and data storage services. If these services become unavailable due to extended outages or interruptions or because they are no longer available on commercially reasonable terms or prices, or for any other reason, our expenses could increase, our ability to manage our finances could be interrupted, our processes for managing sales of our offerings and supporting our consumers could be</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47" w:name="page48"/>
    <w:bookmarkEnd w:id="47"/>
    <w:p>
      <w:pPr>
        <w:ind w:right="100"/>
        <w:spacing w:after="0" w:line="250" w:lineRule="auto"/>
        <w:rPr>
          <w:sz w:val="20"/>
          <w:szCs w:val="20"/>
          <w:color w:val="auto"/>
        </w:rPr>
      </w:pPr>
      <w:r>
        <w:rPr>
          <w:rFonts w:ascii="Times New Roman" w:cs="Times New Roman" w:eastAsia="Times New Roman" w:hAnsi="Times New Roman"/>
          <w:sz w:val="18"/>
          <w:szCs w:val="18"/>
          <w:color w:val="231F20"/>
        </w:rPr>
        <w:t>impaired, our ability to communicate with our suppliers could be weakened and our ability to access or save data stored to the cloud may be impaired until equivalent services, if available, are identified, obtained and implemented, all of which could have an adverse effect on our business, financial condition, results of operations and prospects.</w:t>
      </w:r>
    </w:p>
    <w:p>
      <w:pPr>
        <w:spacing w:after="0" w:line="200"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must successfully maintain, scale and upgrade our information technology systems, and our failure to do so could have an adverse effect on our business, financial condition, results of operations and prospects.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We have identified the need to significantly expand, scale and improve our information technology systems and personnel to support recent and expected future growth. As such, we are in the process of implementing, and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leverage our Retail channel or fulfill customer orders, potential disruption of our internal control structure, substantial capital expenditures, additional administration and operating expenses, the need to acquire and retain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could have an adverse effect on our business, financial condition, results of operations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Conducting Business Internationally</w:t>
      </w:r>
    </w:p>
    <w:p>
      <w:pPr>
        <w:spacing w:after="0" w:line="23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20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We derive a significant portion of our products from third-party manufacturing and supply partners in foreign countries and territories, including countries and territories perceived to carry an increased risk of corrupt business practices. The U.S. Foreign Corrupt Practices Act, or the FCPA, prohibits U.S. corporations and their employees and representatives from, directly or indirectly, offering, promising, making, giving, or authorizing others to give anything of value to any foreign government official, political party or official thereof, or political candidate to influence official action or otherwise in an attempt to obtain or retain business. In addition, the FCPA also requires that we make and keep accurate books and records that accurately and fairly reflect the transactions of the corporation and to devise and maintain an adequate system of internal accounting controls and compliance procedures designed to prevent violations of anti-corruption laws. We may be held liable for the corrupt or other illegal activities of our employees and representatives, even if we do not explicitly authorize such activities. We cannot assure you that all of our employees and representatives will not take actions in violation of anti-corruption laws for which we may be ultimately held responsible.</w:t>
      </w:r>
    </w:p>
    <w:p>
      <w:pPr>
        <w:spacing w:after="0" w:line="218" w:lineRule="exact"/>
        <w:rPr>
          <w:sz w:val="20"/>
          <w:szCs w:val="20"/>
          <w:color w:val="auto"/>
        </w:rPr>
      </w:pPr>
    </w:p>
    <w:p>
      <w:pPr>
        <w:ind w:right="280" w:firstLine="648"/>
        <w:spacing w:after="0" w:line="238"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213"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231F20"/>
        </w:rPr>
        <w:t>If we or our employees or representatives are determined to have violated the FCPA, U.S. export control laws and economic sanctions, or any of the anti-corruption, anti-bribery, export control, and sanctions laws in the countries and territories where we and our representatives do business, we could suffer severe fines and penalties, profit disgorgement, injunctions on future conduct, securities litigation, bans on transacting certain business, and other consequences that may have an adverse effect on our business, financial condition, results of operations and prospects. In addition, the costs we may incur in defending against any investigations stemming from our or our employees’ or representatives’ improper actions could be significant. Moreover, any actual or alleged corruption or sanctions concerns in our supply chain could carry significant reputational harm, including negative publicity, loss of goodwill, and decline in share price.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trade disputes and the U.S. government’s trade policy could adversely affect our business.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231F20"/>
        </w:rPr>
        <w:t>International trade disputes could result in tariffs and other protectionist measures that could adversely affect our business. Tariffs could increase the cost of our products and the components and raw materials that go into making them. These</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8" w:name="page49"/>
    <w:bookmarkEnd w:id="48"/>
    <w:p>
      <w:pPr>
        <w:ind w:right="340"/>
        <w:spacing w:after="0" w:line="266" w:lineRule="auto"/>
        <w:rPr>
          <w:sz w:val="20"/>
          <w:szCs w:val="20"/>
          <w:color w:val="auto"/>
        </w:rPr>
      </w:pPr>
      <w:r>
        <w:rPr>
          <w:rFonts w:ascii="Times New Roman" w:cs="Times New Roman" w:eastAsia="Times New Roman" w:hAnsi="Times New Roman"/>
          <w:sz w:val="18"/>
          <w:szCs w:val="18"/>
          <w:color w:val="231F20"/>
        </w:rPr>
        <w:t>increased costs could adversely impact the gross margin that we earn on our products. Countries may also adopt other protectionist measures that could limit our ability to offer our products.</w:t>
      </w:r>
    </w:p>
    <w:p>
      <w:pPr>
        <w:spacing w:after="0" w:line="189"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231F20"/>
        </w:rPr>
        <w:t>The U.S. government has indicated its intent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to date have not had a material impact on our operating results, to the extent that significant additional tariffs are imposed, depending on the extent of such tariffs, they could have a material impact on our operating results.</w:t>
      </w:r>
    </w:p>
    <w:p>
      <w:pPr>
        <w:spacing w:after="0" w:line="198"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231F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has the potential to adversely impact demand for our products, our costs, our consumers, our suppliers, and the U.S. economy, which in turn could have an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Fluctuations in currency exchange rates may negatively affect our financial condition and results of operations.</w:t>
      </w:r>
    </w:p>
    <w:p>
      <w:pPr>
        <w:spacing w:after="0" w:line="243"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231F20"/>
        </w:rPr>
        <w:t>Exchange rate fluctuations may affect the costs that we incur in our operations. The main currencies to which we are exposed are the Canadian Dollar, the Euro and the British Pound.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an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international business uncertainties.</w:t>
      </w:r>
    </w:p>
    <w:p>
      <w:pPr>
        <w:spacing w:after="0" w:line="24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231F20"/>
        </w:rPr>
        <w:t>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Increased international operations may be subject to risks such as:</w:t>
      </w:r>
    </w:p>
    <w:p>
      <w:pPr>
        <w:spacing w:after="0" w:line="2" w:lineRule="exact"/>
        <w:rPr>
          <w:sz w:val="20"/>
          <w:szCs w:val="20"/>
          <w:color w:val="auto"/>
        </w:rPr>
      </w:pPr>
    </w:p>
    <w:p>
      <w:pPr>
        <w:ind w:left="660" w:right="500" w:hanging="328"/>
        <w:spacing w:after="0" w:line="231"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burdens of complying with a wide variety of laws and regulations, including more stringent regulations relating to data privacy and security, particularly in the European Union;</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tax effects and foreign exchange controls making it difficult to repatriate earnings and cash;</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and economic instability;</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terrorist activities and natural disasters;</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trade restrictions;</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employment practices and laws and labor disruptions;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government controls;</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use or to obtain adequate intellectual property protection for our brand and key products;</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 enforcing contracts and legal decisions;</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tariffs and customs duties and the classifications of our goods by applicable governmental bodies;</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legal system subject to undue influence or corruption;</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business culture in which illegal sales practices may be prevalent;</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logistics and sourcing;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military conflicts.</w:t>
      </w:r>
    </w:p>
    <w:p>
      <w:pPr>
        <w:spacing w:after="0" w:line="2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231F20"/>
        </w:rPr>
        <w:t>The occurrence of any of these risks could have an adverse effect on our international business and consequently our overall business, financial condition, results of operations and prospects.</w:t>
      </w:r>
    </w:p>
    <w:p>
      <w:pPr>
        <w:spacing w:after="0" w:line="18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NATO deployed additional military forces to Eastern Europe, and the United States, European Union, and other nations announced various sanctions against Russia and Belarus.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consumption, the suppliers we do source oil from could pass on price increases to us, as a result of the overall increase in oil prices.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stock price has been volatile, and the value of our common stock has declined.</w:t>
      </w:r>
    </w:p>
    <w:p>
      <w:pPr>
        <w:spacing w:after="0" w:line="243" w:lineRule="exact"/>
        <w:rPr>
          <w:sz w:val="20"/>
          <w:szCs w:val="20"/>
          <w:color w:val="auto"/>
        </w:rPr>
      </w:pPr>
    </w:p>
    <w:p>
      <w:pPr>
        <w:ind w:right="460" w:firstLine="648"/>
        <w:spacing w:after="0" w:line="252" w:lineRule="auto"/>
        <w:rPr>
          <w:sz w:val="20"/>
          <w:szCs w:val="20"/>
          <w:color w:val="auto"/>
        </w:rPr>
      </w:pPr>
      <w:r>
        <w:rPr>
          <w:rFonts w:ascii="Times New Roman" w:cs="Times New Roman" w:eastAsia="Times New Roman" w:hAnsi="Times New Roman"/>
          <w:sz w:val="18"/>
          <w:szCs w:val="18"/>
          <w:color w:val="231F20"/>
        </w:rPr>
        <w:t>The market price of our common stock has been highly volatile and has fluctuated and declined substantially since our initial public offering ("IPO") and may continue to fluctuate or decline as a result of a variety of factors, some of which are beyond our control, including:</w:t>
      </w:r>
    </w:p>
    <w:p>
      <w:pPr>
        <w:spacing w:after="0" w:line="1"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actual or anticipated fluctuations in our financial condition or results of operations;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variance in our financial performance from expectations of securities analysts;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our projected operating and financial results;</w:t>
      </w:r>
    </w:p>
    <w:p>
      <w:pPr>
        <w:spacing w:after="0" w:line="1" w:lineRule="exact"/>
        <w:rPr>
          <w:rFonts w:ascii="Times New Roman" w:cs="Times New Roman" w:eastAsia="Times New Roman" w:hAnsi="Times New Roman"/>
          <w:sz w:val="20"/>
          <w:szCs w:val="20"/>
          <w:color w:val="auto"/>
        </w:rPr>
      </w:pPr>
    </w:p>
    <w:p>
      <w:pPr>
        <w:ind w:left="640" w:hanging="308"/>
        <w:spacing w:after="0" w:line="22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announcements by us or our competitors of significant business developments, acquisitions or new offerings;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announcements or concerns regarding real or perceived quality or health issues with our products or similar products of our competitors;</w:t>
      </w:r>
    </w:p>
    <w:p>
      <w:pPr>
        <w:spacing w:after="0" w:line="6" w:lineRule="exact"/>
        <w:rPr>
          <w:rFonts w:ascii="Times New Roman" w:cs="Times New Roman" w:eastAsia="Times New Roman" w:hAnsi="Times New Roman"/>
          <w:sz w:val="20"/>
          <w:szCs w:val="20"/>
          <w:color w:val="auto"/>
        </w:rPr>
      </w:pPr>
    </w:p>
    <w:p>
      <w:pPr>
        <w:ind w:left="660" w:right="840" w:hanging="328"/>
        <w:spacing w:after="0" w:line="23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adoption of new regulations applicable to the Diapers and Wipes, Skin and Personal Care and Household and Wellness industries or the expectations concerning future regulatory developments;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involvement in litigation;</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future sales of our common stock by us or our stockholders;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senior management or key personnel;</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trading volume of our common stock; and</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the anticipated future size and growth rate of our market.</w:t>
      </w:r>
    </w:p>
    <w:p>
      <w:pPr>
        <w:spacing w:after="0" w:line="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Broad market and industry fluctuations, as well as general economic, political, regulatory and market conditions, may also negatively impact the market price of our common stock, particularly in light of </w:t>
      </w:r>
      <w:r>
        <w:rPr>
          <w:rFonts w:ascii="Times New Roman" w:cs="Times New Roman" w:eastAsia="Times New Roman" w:hAnsi="Times New Roman"/>
          <w:sz w:val="18"/>
          <w:szCs w:val="18"/>
          <w:color w:val="000000"/>
        </w:rPr>
        <w:t>the challenging macroeconomic environment</w:t>
      </w:r>
      <w:r>
        <w:rPr>
          <w:rFonts w:ascii="Times New Roman" w:cs="Times New Roman" w:eastAsia="Times New Roman" w:hAnsi="Times New Roman"/>
          <w:sz w:val="18"/>
          <w:szCs w:val="18"/>
          <w:color w:val="231F20"/>
        </w:rPr>
        <w:t xml:space="preserve"> and the related impacts.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27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Nasdaq requires listing issuers to comply with certain standards in order to remain listed on its exchange. If we fail to satisfy the continued listing requirements of Nasdaq, such as the minimum closing bid price requirement, Nasdaq may take steps to delist our common stock.</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For example, if at any time the bid price of our common stock closes at below $1.00 per share for more than 30 consecutive trading days, we may be subject to delisting from the Nasdaq Capital Market. If we receive a delisting notice, we would have 180 calendar days to regain compliance (subject to any additional 180-day compliance period which may be available to us), which would mean having a bid price above the minimum of $1.00 for at least 10 consecutive days in the 180-day period. During this 180-day period, we would anticipate reviewing our options to regain compliance with the minimum bid requirements, including conducting a reverse stock split. To the extent that we are unable to resolve any listing deficiency, there is a risk that our common stock may be delisted from Nasdaq, which would adversely impact liquidity of our common stock and potentially result in even lower bid prices for our common stock. On March 5, 2024, the closing price of our common stock was $2.99 per share.</w:t>
      </w:r>
    </w:p>
    <w:p>
      <w:pPr>
        <w:spacing w:after="0" w:line="21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If, for any reason, Nasdaq should delist our securities from trading on its exchange and we are unable to obtain listing on another reputable national securities exchange,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each of which could materially adversely affect our stockholders.</w:t>
      </w:r>
    </w:p>
    <w:p>
      <w:pPr>
        <w:spacing w:after="0" w:line="20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5" w:lineRule="exact"/>
        <w:rPr>
          <w:sz w:val="20"/>
          <w:szCs w:val="20"/>
          <w:color w:val="auto"/>
        </w:rPr>
      </w:pPr>
    </w:p>
    <w:p>
      <w:pPr>
        <w:ind w:right="380" w:firstLine="648"/>
        <w:spacing w:after="0" w:line="246"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2" w:lineRule="exact"/>
        <w:rPr>
          <w:sz w:val="20"/>
          <w:szCs w:val="20"/>
          <w:color w:val="auto"/>
        </w:rPr>
      </w:pPr>
    </w:p>
    <w:p>
      <w:pPr>
        <w:ind w:left="660" w:right="160" w:hanging="328"/>
        <w:spacing w:after="0" w:line="237"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require that any action to be taken by our stockholders be effected at a duly called annual or special meeting and not by written consent;</w:t>
      </w:r>
    </w:p>
    <w:p>
      <w:pPr>
        <w:spacing w:after="0" w:line="5" w:lineRule="exact"/>
        <w:rPr>
          <w:rFonts w:ascii="Times New Roman" w:cs="Times New Roman" w:eastAsia="Times New Roman" w:hAnsi="Times New Roman"/>
          <w:sz w:val="20"/>
          <w:szCs w:val="20"/>
          <w:color w:val="auto"/>
        </w:rPr>
      </w:pPr>
    </w:p>
    <w:p>
      <w:pPr>
        <w:ind w:left="660" w:right="380" w:hanging="328"/>
        <w:spacing w:after="0" w:line="23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specify that special meetings of our stockholders can be called only by our board of directors, the chairperson of our board of directors, or our chief executive officer;</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50" w:name="page51"/>
    <w:bookmarkEnd w:id="50"/>
    <w:p>
      <w:pPr>
        <w:ind w:left="660" w:right="500" w:hanging="328"/>
        <w:spacing w:after="0" w:line="239"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establish an advance notice procedure for stockholder proposals to be brought before an annual meeting, including proposed nominations of persons for election to our board of directors;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establish that our board of directors is divided into three classes, with each class serving three-year staggered terms;</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prohibit cumulative voting in the election of directors;</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 xml:space="preserve">provide that our directors may be removed for cause only upon the vote of at least 66 </w:t>
      </w:r>
      <w:r>
        <w:rPr>
          <w:rFonts w:ascii="Times New Roman" w:cs="Times New Roman" w:eastAsia="Times New Roman" w:hAnsi="Times New Roman"/>
          <w:sz w:val="11"/>
          <w:szCs w:val="11"/>
          <w:color w:val="231F20"/>
        </w:rPr>
        <w:t>2/3</w:t>
      </w:r>
      <w:r>
        <w:rPr>
          <w:rFonts w:ascii="Times New Roman" w:cs="Times New Roman" w:eastAsia="Times New Roman" w:hAnsi="Times New Roman"/>
          <w:sz w:val="18"/>
          <w:szCs w:val="18"/>
          <w:color w:val="231F20"/>
        </w:rPr>
        <w:t>% of our outstanding shares of voting stock;</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provide that vacancies on our board of directors may be filled only by a majority of directors then in office, even though less than a quorum; and</w:t>
      </w:r>
    </w:p>
    <w:p>
      <w:pPr>
        <w:spacing w:after="0" w:line="6" w:lineRule="exact"/>
        <w:rPr>
          <w:rFonts w:ascii="Times New Roman" w:cs="Times New Roman" w:eastAsia="Times New Roman" w:hAnsi="Times New Roman"/>
          <w:sz w:val="20"/>
          <w:szCs w:val="20"/>
          <w:color w:val="auto"/>
        </w:rPr>
      </w:pPr>
    </w:p>
    <w:p>
      <w:pPr>
        <w:ind w:left="660" w:right="140" w:hanging="328"/>
        <w:spacing w:after="0" w:line="226"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 xml:space="preserve">require the approval of our board of directors or the holders of at least 66 </w:t>
      </w:r>
      <w:r>
        <w:rPr>
          <w:rFonts w:ascii="Times New Roman" w:cs="Times New Roman" w:eastAsia="Times New Roman" w:hAnsi="Times New Roman"/>
          <w:sz w:val="11"/>
          <w:szCs w:val="11"/>
          <w:color w:val="231F20"/>
        </w:rPr>
        <w:t>2/3</w:t>
      </w:r>
      <w:r>
        <w:rPr>
          <w:rFonts w:ascii="Times New Roman" w:cs="Times New Roman" w:eastAsia="Times New Roman" w:hAnsi="Times New Roman"/>
          <w:sz w:val="18"/>
          <w:szCs w:val="18"/>
          <w:color w:val="231F20"/>
        </w:rPr>
        <w:t>% of our outstanding shares of voting stock to amend our bylaws and certain provisions of our certificate of incorporation.</w:t>
      </w:r>
    </w:p>
    <w:p>
      <w:pPr>
        <w:spacing w:after="0" w:line="212"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231F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spacing w:after="0" w:line="212"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231F20"/>
        </w:rPr>
        <w:t>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0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the Court of Chancery of the State of Delaware is the exclusive forum for the following types of actions or proceedings under Delaware statutory or common law:</w:t>
      </w:r>
    </w:p>
    <w:p>
      <w:pPr>
        <w:spacing w:after="0" w:line="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derivative action or proceeding brought on our behalf;</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of breach of fiduciary duty;</w:t>
      </w:r>
    </w:p>
    <w:p>
      <w:pPr>
        <w:spacing w:after="0" w:line="6" w:lineRule="exact"/>
        <w:rPr>
          <w:rFonts w:ascii="Times New Roman" w:cs="Times New Roman" w:eastAsia="Times New Roman" w:hAnsi="Times New Roman"/>
          <w:sz w:val="20"/>
          <w:szCs w:val="20"/>
          <w:color w:val="auto"/>
        </w:rPr>
      </w:pPr>
    </w:p>
    <w:p>
      <w:pPr>
        <w:ind w:left="660" w:right="280" w:hanging="328"/>
        <w:spacing w:after="0" w:line="23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against us arising under the Delaware General Corporation Law, or DGCL, our amended and restated certificate of incorporation or our amended and restated bylaws;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against us that is governed by the internal-affairs doctrine or otherwise related to our internal affairs.</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5"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litigating Securities Act claims in state court, or both state and federal court, of which could seriously harm our business, financial condition, results of operations and prospects.</w:t>
      </w:r>
    </w:p>
    <w:p>
      <w:pPr>
        <w:sectPr>
          <w:pgSz w:w="11900" w:h="16838" w:orient="portrait"/>
          <w:cols w:equalWidth="0" w:num="1">
            <w:col w:w="11220"/>
          </w:cols>
          <w:pgMar w:left="320" w:top="10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51" w:name="page52"/>
    <w:bookmarkEnd w:id="51"/>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Other than the 2021 Dividend </w:t>
      </w:r>
      <w:r>
        <w:rPr>
          <w:rFonts w:ascii="Times New Roman" w:cs="Times New Roman" w:eastAsia="Times New Roman" w:hAnsi="Times New Roman"/>
          <w:sz w:val="18"/>
          <w:szCs w:val="18"/>
          <w:b w:val="1"/>
          <w:bCs w:val="1"/>
          <w:i w:val="1"/>
          <w:iCs w:val="1"/>
          <w:color w:val="000000"/>
        </w:rPr>
        <w:t>paid on June 29, 2021</w:t>
      </w:r>
      <w:r>
        <w:rPr>
          <w:rFonts w:ascii="Times New Roman" w:cs="Times New Roman" w:eastAsia="Times New Roman" w:hAnsi="Times New Roman"/>
          <w:sz w:val="18"/>
          <w:szCs w:val="18"/>
          <w:b w:val="1"/>
          <w:bCs w:val="1"/>
          <w:i w:val="1"/>
          <w:iCs w:val="1"/>
          <w:color w:val="231F20"/>
        </w:rPr>
        <w:t>, we do not intend to pay dividends for the foreseeable future and, as a result, your ability to achieve a return on your investment will depend on appreciation in the price of our common stock.</w:t>
      </w:r>
    </w:p>
    <w:p>
      <w:pPr>
        <w:spacing w:after="0" w:line="172"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31F20"/>
        </w:rPr>
        <w:t>In April 2021, our board of directors declared a cash dividend of $35.0 million to the holders of record of our common stock and our redeemable convertible preferred stock as of May 3, 2021 that was contingent upon the closing of the IPO and was paid on June 29, 2021, or the 2021 Dividend. Other than the 2021 Dividend, we have never declared or paid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 In addition, the 2023 Credit Facility contains restrictions on our ability to pay dividends.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 active public trading market may not be sustained.</w:t>
      </w:r>
    </w:p>
    <w:p>
      <w:pPr>
        <w:spacing w:after="0" w:line="229"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231F20"/>
        </w:rPr>
        <w:t>An active public trading market for our common stock may not be sustained. The market value of our common stock has decreased substantially from the initial public offering price. As a result of these and other factors, you may be unable to resell your shares of our common stock at or above the price you paid.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by using our shares as consideration.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Principal stockholders have substantial control over us and will be able to influence corporate matters.</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231F20"/>
        </w:rPr>
        <w:t>Based on the number of shares outstanding as of December 31, 2023, our directors, executive officers and stockholders holding more than 5% of our outstanding capital stock, together with their respective affiliates, beneficially owned, in the aggregate, approximately 40.2%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Future sales of our common stock in the public market could cause the market price of our common stock to decline.</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common stock.</w:t>
      </w:r>
    </w:p>
    <w:p>
      <w:pPr>
        <w:spacing w:after="0" w:line="20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issuance of additional capital stock in connection with financings, acquisitions, investments, our equity incentive plans or otherwise will dilute all other stockholders.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231F20"/>
        </w:rPr>
        <w:t>We expect to issue additional capital stock in the future that will result in dilution to all other stockholders. We grant equity awards to employees, directors and consultants under our equity incentive plans. The market value of our common stock has decreased substantially since it began trading in May 2021, and because the number of shares subject to such awards is typically based on dollar values, the number of shares increases as our stock price decreases. We may also raise capital through equity financings in the future. As part of our business strategy, we may acquire or make investments in companies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9"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do not publish research or publish unfavorable or inaccurate research about our business, the market price and trading volume of our common stock could decline.</w:t>
      </w:r>
    </w:p>
    <w:p>
      <w:pPr>
        <w:spacing w:after="0" w:line="18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31F20"/>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could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52" w:name="page53"/>
    <w:bookmarkEnd w:id="52"/>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we cannot be certain if the reduced reporting and disclosure requirements applicable to emerging growth companies will make our common stock less attractive to investors.</w:t>
      </w:r>
    </w:p>
    <w:p>
      <w:pPr>
        <w:spacing w:after="0" w:line="185" w:lineRule="exact"/>
        <w:rPr>
          <w:sz w:val="20"/>
          <w:szCs w:val="20"/>
          <w:color w:val="auto"/>
        </w:rPr>
      </w:pPr>
    </w:p>
    <w:p>
      <w:pPr>
        <w:jc w:val="both"/>
        <w:ind w:right="120" w:firstLine="648"/>
        <w:spacing w:after="0" w:line="246"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 w:lineRule="exact"/>
        <w:rPr>
          <w:sz w:val="20"/>
          <w:szCs w:val="20"/>
          <w:color w:val="auto"/>
        </w:rPr>
      </w:pPr>
    </w:p>
    <w:p>
      <w:pPr>
        <w:ind w:left="660" w:right="200" w:hanging="328"/>
        <w:spacing w:after="0" w:line="237"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not being required to comply with the auditor attestation requirements of Section 404 of the Sarbanes-Oxley Act of 2002, or the Sarbanes-Oxley Act;</w:t>
      </w:r>
    </w:p>
    <w:p>
      <w:pPr>
        <w:spacing w:after="0" w:line="1" w:lineRule="exact"/>
        <w:rPr>
          <w:rFonts w:ascii="Times New Roman" w:cs="Times New Roman" w:eastAsia="Times New Roman" w:hAnsi="Times New Roman"/>
          <w:sz w:val="20"/>
          <w:szCs w:val="20"/>
          <w:color w:val="auto"/>
        </w:rPr>
      </w:pPr>
    </w:p>
    <w:p>
      <w:pPr>
        <w:ind w:left="660" w:right="20" w:hanging="328"/>
        <w:spacing w:after="0" w:line="229"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reduced disclosure obligations regarding executive compensation in our periodic reports and proxy statements; and</w:t>
      </w:r>
    </w:p>
    <w:p>
      <w:pPr>
        <w:spacing w:after="0" w:line="5" w:lineRule="exact"/>
        <w:rPr>
          <w:rFonts w:ascii="Times New Roman" w:cs="Times New Roman" w:eastAsia="Times New Roman" w:hAnsi="Times New Roman"/>
          <w:sz w:val="20"/>
          <w:szCs w:val="20"/>
          <w:color w:val="auto"/>
        </w:rPr>
      </w:pPr>
    </w:p>
    <w:p>
      <w:pPr>
        <w:ind w:left="660" w:right="120" w:hanging="328"/>
        <w:spacing w:after="0" w:line="23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exemptions from the requirements of holding nonbinding advisory stockholder votes on executive compensation and stockholder approval of any golden parachute payments not previously approved.</w:t>
      </w:r>
    </w:p>
    <w:p>
      <w:pPr>
        <w:spacing w:after="0" w:line="21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231F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211"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231F20"/>
        </w:rPr>
        <w:t>We will remain an emerging growth company until the earliest of: (1) December 31, 2026;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common stock held by non-affiliates exceeded $700 million as of June 30 of such fiscal year.</w:t>
      </w:r>
    </w:p>
    <w:p>
      <w:pPr>
        <w:spacing w:after="0" w:line="212" w:lineRule="exact"/>
        <w:rPr>
          <w:sz w:val="20"/>
          <w:szCs w:val="20"/>
          <w:color w:val="auto"/>
        </w:rPr>
      </w:pPr>
    </w:p>
    <w:p>
      <w:pPr>
        <w:ind w:right="420" w:firstLine="648"/>
        <w:spacing w:after="0" w:line="245" w:lineRule="auto"/>
        <w:rPr>
          <w:sz w:val="20"/>
          <w:szCs w:val="20"/>
          <w:color w:val="auto"/>
        </w:rPr>
      </w:pPr>
      <w:r>
        <w:rPr>
          <w:rFonts w:ascii="Times New Roman" w:cs="Times New Roman" w:eastAsia="Times New Roman" w:hAnsi="Times New Roman"/>
          <w:sz w:val="18"/>
          <w:szCs w:val="18"/>
          <w:color w:val="231F20"/>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0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face increased costs as a result of operating as a public company, and our management is required to devote substantial time to compliance with our public company responsibilities and corporate governance practices.</w:t>
      </w:r>
    </w:p>
    <w:p>
      <w:pPr>
        <w:spacing w:after="0" w:line="185"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231F20"/>
        </w:rPr>
        <w:t>As a public company, we incur significant finance, legal, accounting and other expenses, including director and officer liability insurance, that we did not incur as a private company, which we expect to further increase after we are no longer an “emerging growth company.” The Sarbanes-Oxley Act, the Dodd-Frank Wall Street Reform and Consumer Protection Act, the listing requirements of The Nasdaq Stock Market LLC, and other applicable securities rules and regulations impose various requirements on public companies. Our management and other personnel devote a substantial amount of time to compliance with these requirements and we may not be able to close our books on time, meet filing deadlines, or meet other public company requirements.</w:t>
      </w:r>
    </w:p>
    <w:p>
      <w:pPr>
        <w:spacing w:after="0" w:line="21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Moreover, these rules and regulations have increased our legal and financial compliance costs and made some activities more time-consuming and costly. We cannot predict or estimate the amount of additional costs we will incur as a public company or the specific timing of such costs.</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Pursuant to Section 404 of the Sarbanes-Oxley Act, or Section 404, we are required to furnish a report by management on, among other things, the effectiveness of our internal control over financial reporting. This assessment must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Securities and Exchange Commission, or SEC, following the date we are no longer an emerging growth company. If we are unable to in any such annual report assert that our internal control over financial reporting is effective, investors may lose confidence in the accuracy and completeness of our financial reports, we may face restricted access to the capital markets or other sources of funds and our stock price may be adversely affected. To comply with Section 404, we have engaged in and will continue to engage in a costly and challenging process of compiling the system and processing documentation necessary to perform the evaluation needed to comply with Section 404. Our compliance with Section 404 requires that we incur substantial expenses and expend significant management efforts. We currently do not have an internal audit group, and we have hired and may need to hire additional accounting and financial staff with appropriate public company experience and technical accounting knowledge and compile the system and process documentation necessary to perform the evaluation needed to comply with Section 404.</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53" w:name="page54"/>
    <w:bookmarkEnd w:id="53"/>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Failure to maintain internal control over financial reporting, including historical or future control deficiencies,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231F20"/>
        </w:rPr>
        <w:t>Risk management and strategy</w:t>
      </w:r>
    </w:p>
    <w:p>
      <w:pPr>
        <w:spacing w:after="0" w:line="229"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231F20"/>
        </w:rPr>
        <w:t>The protection of our systems containing customer information, our brand, and its intellectual property and data is very important to us. 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customer information, our brand, and confidential information that is proprietary, strategic or competitive in nature (“Information Systems and Data”).</w:t>
      </w:r>
    </w:p>
    <w:p>
      <w:pPr>
        <w:spacing w:after="0" w:line="21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231F20"/>
        </w:rPr>
        <w:t>Our Information Security function is overseen by our Vice President of Technology and is supported by our information security team, legal, and various third-party service providers. In doing so, they administer our Enterprise Risk Management Program that identifies and assesses risks from cybersecurity threats by monitoring and evaluating our threat environment and the Company’s and industry’s risk profile using various methods including, for example, manual and automated tools, subscribing to reports and services that identify cybersecurity threats, conducting scans of potential threat environments, and conducting vulnerability assessments in order to identify vulnerabilities in our systems. We have developed a Cybersecurity Program that allows us to continuously assess and improve the governance, identification, detection, and response of our critical systems; staying up-to-date with the most innovative technologies.</w:t>
      </w:r>
    </w:p>
    <w:p>
      <w:pPr>
        <w:spacing w:after="0" w:line="21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231F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maintaining a comprehensive incident response plan, conducting risk assessments, encrypting data, maintaining network security controls, access controls, physical security measures, and system monitoring tools, conducting employee training, performing periodic penetration testing, and maintaining cybersecurity insurance.</w:t>
      </w:r>
    </w:p>
    <w:p>
      <w:pPr>
        <w:spacing w:after="0" w:line="211"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231F20"/>
        </w:rPr>
        <w:t>Our assessment and management of material risks from cybersecurity threats are integrated into the Company’s overall risk management processes. For example, cybersecurity risk is addressed as a component of the Company’s Enterprise Risk Management Program with our Board of Directors, through the Audit Committee, maintaining oversight of cybersecurity risk management. Our internal security team, in conjunction with our IT Systems and Cybersecurity Manager works with a third-party risk management company to perform an annual security risk assessment across our organization's systems and processes. This consists of an assessment against the latest National Institute of Standards and Technology ("NIST") Cybersecurity Framework ("CSF") 2.0, and its 200+ controls. There is also a business impact analysis involving all the critical business units, and their systems; not limited to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4" w:name="page55"/>
    <w:bookmarkEnd w:id="54"/>
    <w:p>
      <w:pPr>
        <w:ind w:right="20" w:firstLine="648"/>
        <w:spacing w:after="0" w:line="236" w:lineRule="auto"/>
        <w:rPr>
          <w:sz w:val="20"/>
          <w:szCs w:val="20"/>
          <w:color w:val="auto"/>
        </w:rPr>
      </w:pPr>
      <w:r>
        <w:rPr>
          <w:rFonts w:ascii="Times New Roman" w:cs="Times New Roman" w:eastAsia="Times New Roman" w:hAnsi="Times New Roman"/>
          <w:sz w:val="18"/>
          <w:szCs w:val="18"/>
          <w:color w:val="231F20"/>
        </w:rPr>
        <w:t>We use third-party service providers to assist us from time to time to identify, assess, and manage material risks from cybersecurity threats, including, for example, third-party cybersecurity software providers, managed service providers and penetration testing firms. Additionally, we use third-party service providers to perform a variety of functions throughout our business, such as application providers and hosting companies. We have a vendor management program to manage cybersecurity risks associated with our use of these providers, which includes collecting a security questionnaire and relevant reports from such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For a description of the risks from cybersecurity threats that may materially affect the Company and how they may do so, see our risk factors under Part 1. Item 1A. Risk Factors in this Annual Report on Form 10-K, including the risk factor titled, “We are increasingly dependent on information technology and our ability to process data in order to operate and sell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231F20"/>
        </w:rPr>
        <w:t>Governance</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231F20"/>
        </w:rPr>
        <w:t>Our board of directors addresses the Company’s cybersecurity risk management as part of its general oversight function and the board of directors is responsible for overseeing the Company’s cybersecurity risk management processes, including oversight of mitigation of risks from cybersecurity threats. The Audit Committee of the board of directors is responsible for reviewing the Company's financial reporting of cybersecurity risks and incidents in accordance with SEC rules.</w:t>
      </w:r>
    </w:p>
    <w:p>
      <w:pPr>
        <w:spacing w:after="0" w:line="208"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231F20"/>
        </w:rPr>
        <w:t>Our cybersecurity risk assessment and management processes are implemented and maintained by certain Company management, including our Vice President of Technology who has over fifteen years of experience in leading and operating a variety of technology functions including Systems, Infrastructure, Security and Software Engineering and our IT Systems and Cyber Security Manager who has over eight years of experience in designing and implementing secure systems and networks, focused on information and data security.</w:t>
      </w:r>
    </w:p>
    <w:p>
      <w:pPr>
        <w:spacing w:after="0" w:line="212"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231F20"/>
        </w:rPr>
        <w:t>Our Vice President of Technology and CFO are responsible for hiring appropriate personnel, helping to integrate cybersecurity risk considerations into the Company’s overall risk management strategy, and communicating key priorities to relevant personnel. Our Vice President of Technology and CFO are responsible for approving budgets, helping prepare for cybersecurity incidents, approving cybersecurity processes, and reviewing security assessments and other security-related reports.</w:t>
      </w:r>
    </w:p>
    <w:p>
      <w:pPr>
        <w:spacing w:after="0" w:line="208"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231F20"/>
        </w:rPr>
        <w:t>Our cybersecurity incident response processes are designed to escalate certain cybersecurity incidents to members of management depending on the circumstances, including our CFO and Vice President of Technology. The CFO and Vice President of Technology work with the IT Systems &amp; Cyber Security Manager to help the Company mitigate and remediate cybersecurity incidents of which they are notified. In addition, the Company’s incident response processes include reporting to the board of directors certain cybersecurity incidents.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231F20"/>
        </w:rPr>
        <w:t>The Audit Committee of the board of directors receives regular reports from the Vice President of Technology concerning the Company’s</w:t>
      </w:r>
    </w:p>
    <w:p>
      <w:pPr>
        <w:spacing w:after="0" w:line="1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231F20"/>
        </w:rPr>
        <w:t>significant cybersecurity threats and risk and the processes the Company has implemented to address them. The Audit Committee also has access to various reports, summaries or presentations related to cybersecurity threats, risk and mitigation.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231F20"/>
        </w:rPr>
        <w:t>We lease our corporate headquarters located at 12130 Millennium Drive #500, Los Angeles, California, in a LEED certified building where we occupy approximately 46,518 square feet of office space pursuant to a lease that expires in February 2027. This lease provides us with an option to extend it for up to two consecutive periods of five years each. We also lease a warehouse and distribution facility located in Las Vegas, Nevada where we occupy approximately 570,810 square feet pursuant to a lease that expires in December 2027, with an option to extend this lease for up to two consecutive periods of five years each. From time to time we also utilize outside storage on a short-term basis. We have two distribution partners that operate our facilities on our behalf: National Distribution Centers, LLC ("NFI") and GEODIS Logistics LLC ("GEODIS"). Our Las Vegas, Nevada facility is operated by NFI and our Breinigsville, Pennsylvania facility is operated by GEODIS. In total, we have approximately 930,000 square feet of facility space that we leverage to fulfill DTC and retail orders. We believe that our current facilities are suitable and adequate to meet our current needs.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55" w:name="page56"/>
    <w:bookmarkEnd w:id="55"/>
    <w:p>
      <w:pPr>
        <w:ind w:firstLine="648"/>
        <w:spacing w:after="0" w:line="261" w:lineRule="auto"/>
        <w:rPr>
          <w:sz w:val="20"/>
          <w:szCs w:val="20"/>
          <w:color w:val="auto"/>
        </w:rPr>
      </w:pPr>
      <w:r>
        <w:rPr>
          <w:rFonts w:ascii="Times New Roman" w:cs="Times New Roman" w:eastAsia="Times New Roman" w:hAnsi="Times New Roman"/>
          <w:sz w:val="18"/>
          <w:szCs w:val="18"/>
          <w:color w:val="231F20"/>
        </w:rPr>
        <w:t>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See Note 11, "</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xml:space="preserve"> to the financial statements contained in this report for a discussion of legal proceedings that are incorporated by reference into this Item 3.</w:t>
      </w:r>
    </w:p>
    <w:p>
      <w:pPr>
        <w:spacing w:after="0" w:line="203"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82" w:right="47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Nasdaq Global Select Market on May 5, 2021, under the symbol “HNST.” Prior to that time, there was no public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4, 2024, we had approximately 108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related notes included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in this Annual Report on Form 10-K for a discussion of important factors that could cause our actual results to differ materially from those anticipated in these forward-looking statements. Unless the context otherwise requires, all references in this Annual Report on Form 10-K to “we,” “us,” “our,” “our company,” "the Company" and “Honest” refer to The Honest Company, Inc. and its consolidated subsidiaries.</w:t>
      </w:r>
    </w:p>
    <w:p>
      <w:pPr>
        <w:spacing w:after="0" w:line="21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year ended December 31, 2023 compared to the year ended December 31, 2022 is presented below. A discussion regarding our financial condition and results of operations for the year ended December 31, 2022 compared to the year ended December 31, 2021 can be found in Item 7. “Management’s Discussion and Analysis of Financial Condition and Results of Operations” in our Annual Report on Form 10-K for the year ended December 31, 2022 filed with the Securities and Exchange Commission (“SEC”) on March 16, 2023.</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personal care company dedicated to creating clean- and sustainably-designed products.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and omnichannel accessibility.</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63%, 26%, and 11%, respectively, of our revenue for the year ended December 31, 2023, compared to 64%, 28%, and 8%, respectively, of our revenue for the year ended December 31, 2022. Our integrated multi-category product architecture is designed to drive loyalty, increase our consumer wallet share and generate attractive consumer lifetime value.</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("CPG") peers.</w:t>
      </w:r>
    </w:p>
    <w:p>
      <w:pPr>
        <w:spacing w:after="0" w:line="21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omnichannel approach seeks to meet consumers wherever they want to shop, balancing deep consumer connection with broad convenience and accessibility. Since our launch, we have built a well-integrated omnichannel presence by expanding our product accessibility across both Digital and Retail channels, including the launch of strategic partnerships with Target, Amazon and Walmart in 2014, 2017 and 2022, respectively. For the year ended December 31, 2023, we generated 49% and 51% of our revenue from our Digital and Retail channels, respectively, compared to 45% and 55%, respectively, for the year ended December 31, 2022.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w:t>
      </w:r>
      <w:r>
        <w:rPr>
          <w:rFonts w:ascii="Times New Roman" w:cs="Times New Roman" w:eastAsia="Times New Roman" w:hAnsi="Times New Roman"/>
          <w:sz w:val="18"/>
          <w:szCs w:val="18"/>
          <w:color w:val="231F20"/>
        </w:rPr>
        <w:t>As of December 31, 2023, o</w:t>
      </w:r>
      <w:r>
        <w:rPr>
          <w:rFonts w:ascii="Times New Roman" w:cs="Times New Roman" w:eastAsia="Times New Roman" w:hAnsi="Times New Roman"/>
          <w:sz w:val="18"/>
          <w:szCs w:val="18"/>
          <w:color w:val="auto"/>
        </w:rPr>
        <w:t>ur products can be found in approximately 51,000 retail locations across the United States and Canada. In 2023, as part of the Transformation Initiative we announced that we plan to focus on our North American customers and are actively reducing the portfolio of products we will offer for sale in certain regions, including retail locations in Europe. Our integrated omnichannel presence provides meaningful benefits to our consumers which we believe are not easily replicated by our competitors. This</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58" w:name="page59"/>
    <w:bookmarkEnd w:id="58"/>
    <w:p>
      <w:pPr>
        <w:ind w:right="480"/>
        <w:spacing w:after="0" w:line="282" w:lineRule="auto"/>
        <w:rPr>
          <w:sz w:val="20"/>
          <w:szCs w:val="20"/>
          <w:color w:val="auto"/>
        </w:rPr>
      </w:pPr>
      <w:r>
        <w:rPr>
          <w:rFonts w:ascii="Times New Roman" w:cs="Times New Roman" w:eastAsia="Times New Roman" w:hAnsi="Times New Roman"/>
          <w:sz w:val="18"/>
          <w:szCs w:val="18"/>
          <w:color w:val="auto"/>
        </w:rPr>
        <w:t>distinctive business model has allowed us to efficiently scale our business while remaining agnostic as to the channel where consumers purchase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May 7, 2021, we completed our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Initiative</w:t>
      </w:r>
    </w:p>
    <w:p>
      <w:pPr>
        <w:spacing w:after="0" w:line="243"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Transformation Initiative resulted in the following:</w:t>
      </w:r>
    </w:p>
    <w:p>
      <w:pPr>
        <w:spacing w:after="0" w:line="239" w:lineRule="exact"/>
        <w:rPr>
          <w:sz w:val="20"/>
          <w:szCs w:val="20"/>
          <w:color w:val="auto"/>
        </w:rPr>
      </w:pPr>
    </w:p>
    <w:p>
      <w:pPr>
        <w:ind w:left="1060" w:right="300" w:hanging="323"/>
        <w:spacing w:after="0" w:line="238" w:lineRule="auto"/>
        <w:tabs>
          <w:tab w:leader="none" w:pos="10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Transformation Initiative, including restructuring costs described below, were $10.8 million for the year ended December 31, 2023. Refer to discussion under "Results of Operations" below.</w:t>
      </w:r>
    </w:p>
    <w:p>
      <w:pPr>
        <w:ind w:left="1060" w:right="80" w:hanging="323"/>
        <w:spacing w:after="0" w:line="234" w:lineRule="auto"/>
        <w:tabs>
          <w:tab w:leader="none" w:pos="10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which include employee-related costs, asset-related costs and contract terminations related to exiting retail and online stores in unprofitable geographical locations in Asia and Europe, were $2.2 million for the year ended December 31, 2023 and are reflected in Restructuring on the consolidated statements of comprehensive loss. The restructuring element of the Transformation Initiative was substantially completed by December 31, 2023.</w:t>
      </w:r>
    </w:p>
    <w:p>
      <w:pPr>
        <w:spacing w:after="0" w:line="2" w:lineRule="exact"/>
        <w:rPr>
          <w:rFonts w:ascii="Times New Roman" w:cs="Times New Roman" w:eastAsia="Times New Roman" w:hAnsi="Times New Roman"/>
          <w:sz w:val="18"/>
          <w:szCs w:val="18"/>
          <w:color w:val="auto"/>
        </w:rPr>
      </w:pPr>
    </w:p>
    <w:p>
      <w:pPr>
        <w:jc w:val="both"/>
        <w:ind w:left="1060" w:right="20" w:hanging="323"/>
        <w:spacing w:after="0" w:line="214" w:lineRule="auto"/>
        <w:tabs>
          <w:tab w:leader="none" w:pos="10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Transformation Initiative to result in annualized benefits to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the range of $15.0 million to $20.0 million beginning in 2024, and we started to see benefits in late 2023. These benefits include reductions in costs of revenue, reductions in operating expenses and increases in revenue.</w:t>
      </w:r>
    </w:p>
    <w:p>
      <w:pPr>
        <w:spacing w:after="0" w:line="2"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impact of costs related to the Transformation Initiative was $3.5 million for the year ended December 31,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w:t>
      </w:r>
    </w:p>
    <w:p>
      <w:pPr>
        <w:spacing w:after="0" w:line="147" w:lineRule="exact"/>
        <w:rPr>
          <w:sz w:val="20"/>
          <w:szCs w:val="20"/>
          <w:color w:val="auto"/>
        </w:rPr>
      </w:pPr>
    </w:p>
    <w:p>
      <w:pPr>
        <w:ind w:right="80" w:firstLine="8"/>
        <w:spacing w:after="0" w:line="235" w:lineRule="auto"/>
        <w:tabs>
          <w:tab w:leader="none" w:pos="165"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provide guidance for the most directly comparable GAAP measure, net loss, and similarly cannot provide a reconciliation between our adjusted EBITDA outlook and net loss without unreasonable effort due to the unavailability of reliable estimates for certain components of net loss, including interest and other (income) expense, net, and the respective reconciliations. These items are not within our control and may vary greatly between periods and could significantly impact our financial results calculated in accordance with GAAP.</w:t>
      </w:r>
    </w:p>
    <w:p>
      <w:pPr>
        <w:spacing w:after="0" w:line="286" w:lineRule="exact"/>
        <w:rPr>
          <w:sz w:val="20"/>
          <w:szCs w:val="20"/>
          <w:color w:val="auto"/>
        </w:rPr>
      </w:pPr>
    </w:p>
    <w:p>
      <w:pPr>
        <w:ind w:right="1080" w:firstLine="648"/>
        <w:spacing w:after="0" w:line="266" w:lineRule="auto"/>
        <w:rPr>
          <w:sz w:val="20"/>
          <w:szCs w:val="20"/>
          <w:color w:val="auto"/>
        </w:rPr>
      </w:pPr>
      <w:r>
        <w:rPr>
          <w:rFonts w:ascii="Times New Roman" w:cs="Times New Roman" w:eastAsia="Times New Roman" w:hAnsi="Times New Roman"/>
          <w:sz w:val="18"/>
          <w:szCs w:val="18"/>
          <w:color w:val="auto"/>
        </w:rPr>
        <w:t>We may incur other charges or cash expenditures not currently contemplated that may occur as a result of or in connection with the Transformation Initiative.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specific value drivers of the Transformation Initiative pillars include:</w:t>
      </w:r>
    </w:p>
    <w:p>
      <w:pPr>
        <w:spacing w:after="0" w:line="239" w:lineRule="exact"/>
        <w:rPr>
          <w:sz w:val="20"/>
          <w:szCs w:val="20"/>
          <w:color w:val="auto"/>
        </w:rPr>
      </w:pPr>
    </w:p>
    <w:p>
      <w:pPr>
        <w:ind w:left="600" w:hanging="187"/>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Maximization</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Leveraging the strength of the Honest brand to drive growth through innovation, margin-accretive products, and marketing effectiveness.</w:t>
      </w:r>
    </w:p>
    <w:p>
      <w:pPr>
        <w:spacing w:after="0" w:line="1" w:lineRule="exact"/>
        <w:rPr>
          <w:rFonts w:ascii="Arial" w:cs="Arial" w:eastAsia="Arial" w:hAnsi="Arial"/>
          <w:sz w:val="18"/>
          <w:szCs w:val="18"/>
          <w:color w:val="auto"/>
        </w:rPr>
      </w:pPr>
    </w:p>
    <w:p>
      <w:pPr>
        <w:ind w:left="1060" w:right="40" w:hanging="323"/>
        <w:spacing w:after="0" w:line="242" w:lineRule="auto"/>
        <w:tabs>
          <w:tab w:leader="none" w:pos="1055"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additional pricing increases across the majority of our product portfolio throughout 2023, following pricing increases in 2022 that resulted in revenue growth driven by both volume and pricing.</w:t>
      </w:r>
    </w:p>
    <w:p>
      <w:pPr>
        <w:spacing w:after="0" w:line="209" w:lineRule="exact"/>
        <w:rPr>
          <w:rFonts w:ascii="Arial" w:cs="Arial" w:eastAsia="Arial" w:hAnsi="Arial"/>
          <w:sz w:val="18"/>
          <w:szCs w:val="18"/>
          <w:color w:val="auto"/>
        </w:rPr>
      </w:pPr>
    </w:p>
    <w:p>
      <w:pPr>
        <w:ind w:left="600" w:hanging="187"/>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Enhancement</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Focusing our resources on North America, which includes exiting our low-margin business in Europe and Asia.</w:t>
      </w:r>
    </w:p>
    <w:p>
      <w:pPr>
        <w:spacing w:after="0" w:line="14" w:lineRule="exact"/>
        <w:rPr>
          <w:rFonts w:ascii="Arial" w:cs="Arial" w:eastAsia="Arial" w:hAnsi="Arial"/>
          <w:sz w:val="18"/>
          <w:szCs w:val="18"/>
          <w:color w:val="auto"/>
        </w:rPr>
      </w:pPr>
    </w:p>
    <w:p>
      <w:pPr>
        <w:ind w:left="1060" w:hanging="323"/>
        <w:spacing w:after="0" w:line="233" w:lineRule="auto"/>
        <w:tabs>
          <w:tab w:leader="none" w:pos="1060"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Exiting low-margin elements of the cleaning and sanitization business in 2023 (included in Household and Wellness product category).</w:t>
      </w:r>
    </w:p>
    <w:p>
      <w:pPr>
        <w:ind w:left="1040" w:hanging="303"/>
        <w:spacing w:after="0" w:line="183" w:lineRule="auto"/>
        <w:tabs>
          <w:tab w:leader="none" w:pos="1040" w:val="left"/>
        </w:tabs>
        <w:numPr>
          <w:ilvl w:val="1"/>
          <w:numId w:val="27"/>
        </w:numPr>
        <w:rPr>
          <w:rFonts w:ascii="Times New Roman" w:cs="Times New Roman" w:eastAsia="Times New Roman" w:hAnsi="Times New Roman"/>
          <w:sz w:val="23"/>
          <w:szCs w:val="23"/>
          <w:b w:val="1"/>
          <w:bCs w:val="1"/>
          <w:u w:val="single" w:color="auto"/>
          <w:color w:val="1D1C1D"/>
          <w:vertAlign w:val="superscript"/>
        </w:rPr>
      </w:pPr>
      <w:r>
        <w:rPr>
          <w:rFonts w:ascii="Times New Roman" w:cs="Times New Roman" w:eastAsia="Times New Roman" w:hAnsi="Times New Roman"/>
          <w:sz w:val="18"/>
          <w:szCs w:val="18"/>
          <w:color w:val="auto"/>
        </w:rPr>
        <w:t>Executing an inventory, or stock-keeping unit (“SKU”), rationalization program in 2023.</w:t>
      </w:r>
    </w:p>
    <w:p>
      <w:pPr>
        <w:ind w:left="1060" w:right="360" w:hanging="323"/>
        <w:spacing w:after="0" w:line="234" w:lineRule="auto"/>
        <w:tabs>
          <w:tab w:leader="none" w:pos="1055"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Re-directing resources to accelerate cost savings, including optimization of our contract manufacturing strategies, reduced shipping and logistic costs, and product costs.</w:t>
      </w:r>
    </w:p>
    <w:p>
      <w:pPr>
        <w:ind w:left="1060" w:hanging="323"/>
        <w:spacing w:after="0"/>
        <w:tabs>
          <w:tab w:leader="none" w:pos="1060"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Realigning resources to reflect the prioritization of higher-margin opportunities.</w:t>
      </w:r>
    </w:p>
    <w:p>
      <w:pPr>
        <w:spacing w:after="0" w:line="217" w:lineRule="exact"/>
        <w:rPr>
          <w:rFonts w:ascii="Arial" w:cs="Arial" w:eastAsia="Arial" w:hAnsi="Arial"/>
          <w:sz w:val="18"/>
          <w:szCs w:val="18"/>
          <w:color w:val="auto"/>
        </w:rPr>
      </w:pPr>
    </w:p>
    <w:p>
      <w:pPr>
        <w:ind w:left="600" w:hanging="187"/>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Discipline</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Building a culture that emphasizes returns across growth drivers, including marketing, trade promotion, and innovation.</w:t>
      </w:r>
    </w:p>
    <w:p>
      <w:pPr>
        <w:sectPr>
          <w:pgSz w:w="11900" w:h="16838" w:orient="portrait"/>
          <w:cols w:equalWidth="0" w:num="1">
            <w:col w:w="11180"/>
          </w:cols>
          <w:pgMar w:left="320" w:top="103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59" w:name="page60"/>
    <w:bookmarkEnd w:id="59"/>
    <w:p>
      <w:pPr>
        <w:ind w:left="1060" w:hanging="323"/>
        <w:spacing w:after="0"/>
        <w:tabs>
          <w:tab w:leader="none" w:pos="106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Managing working capital including the reduction of inventory.</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associated with the Transformation Initiative for the year ended December 31, 2023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Reduction in Net Revenue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30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6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6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0" w:type="dxa"/>
            <w:vAlign w:val="bottom"/>
          </w:tcPr>
          <w:p>
            <w:pPr>
              <w:spacing w:after="0"/>
              <w:rPr>
                <w:sz w:val="1"/>
                <w:szCs w:val="1"/>
                <w:color w:val="auto"/>
              </w:rPr>
            </w:pPr>
          </w:p>
        </w:tc>
      </w:tr>
      <w:tr>
        <w:trPr>
          <w:trHeight w:val="21"/>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3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product markdowns and true-up of prior quarter estimates.</w:t>
      </w:r>
    </w:p>
    <w:p>
      <w:pPr>
        <w:spacing w:after="0" w:line="9" w:lineRule="exact"/>
        <w:rPr>
          <w:rFonts w:ascii="Times New Roman" w:cs="Times New Roman" w:eastAsia="Times New Roman" w:hAnsi="Times New Roman"/>
          <w:sz w:val="12"/>
          <w:szCs w:val="12"/>
          <w:color w:val="auto"/>
        </w:rPr>
      </w:pPr>
    </w:p>
    <w:p>
      <w:pPr>
        <w:ind w:left="180" w:hanging="172"/>
        <w:spacing w:after="0" w:line="211" w:lineRule="auto"/>
        <w:tabs>
          <w:tab w:leader="none" w:pos="1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the restructuring table under "Results of Operations" below for further details of operating expenses included in restructuring costs.</w:t>
      </w:r>
    </w:p>
    <w:p>
      <w:pPr>
        <w:ind w:left="180" w:hanging="172"/>
        <w:spacing w:after="0"/>
        <w:tabs>
          <w:tab w:leader="none" w:pos="1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Costs include donation expenses, consulting and other professional services.</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details on the Transformation Initiative, refer to Note 17, "Restructuring" included in these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right="120" w:firstLine="648"/>
        <w:spacing w:after="0"/>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Annual Report on Form 10-K titled “Item 1A.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As part of the Transformation Initiative, we have been focused on Brand Maximization, including improving the return on marketing by reducing marketing spend on low-return campaigns and emphasizing best-selling items, focusing on the most profitable areas of our business. We believe our brand strength will enable us to continue to expand across categories and channels, allowing us to deepen relationships with consumers. Our performance depends significantly on factors that may affect the level and pattern of consumer spending in the product categories in which we operate.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Product Category Growth</w:t>
      </w:r>
    </w:p>
    <w:p>
      <w:pPr>
        <w:spacing w:after="0" w:line="229"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all product categories, we intend to prioritize growth in Skin and Personal Care given its attractive margin characteristics and leverage our brand equity and consumer insights to extend into new adjacent product categories. We are also committed to bringing our Honest Standard to new products and new categories where we believe there is a need for a higher standard for clean personal care.</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Execution of Omnichannel Strategy</w:t>
      </w:r>
    </w:p>
    <w:p>
      <w:pPr>
        <w:spacing w:after="0" w:line="24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7"/>
          <w:szCs w:val="17"/>
          <w:color w:val="auto"/>
        </w:rPr>
        <w:t>The continued execution of our omnichannel strategy impacts our financial performance. We intend to continue leveraging our marketing strategy to drive increased consumer awareness and leverage our flagship digital platform, Honest.com, to create direct connections with our consumers, influence brand experience and understand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w:t>
      </w:r>
      <w:r>
        <w:rPr>
          <w:rFonts w:ascii="Times New Roman" w:cs="Times New Roman" w:eastAsia="Times New Roman" w:hAnsi="Times New Roman"/>
          <w:sz w:val="18"/>
          <w:szCs w:val="18"/>
          <w:b w:val="1"/>
          <w:bCs w:val="1"/>
          <w:color w:val="auto"/>
        </w:rPr>
        <w:t>y</w:t>
      </w:r>
    </w:p>
    <w:p>
      <w:pPr>
        <w:spacing w:after="0" w:line="243"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achieve efficiencies in our operations. In addition, we have been able to achieve some operational and marketing efficiency as part of cost savings in connection with our Transformation Initiative.</w:t>
      </w:r>
    </w:p>
    <w:p>
      <w:pPr>
        <w:spacing w:after="0" w:line="214"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Our paid advertising includes search engine marketing, display, paid social media and product placement and traditional advertising, such as direct mail, television, radio and magazine advertising. We drive a significant amount of traffic to our website via search engines and, therefore, rely heavily on search engines. Paid advertising costs significantly increased industry-wide during the past few years, which negatively impacted our ability to cost-effectively drive traffic to Honest.com. As a result, we have decreased and shifted marketing spend into support for retail and other digital customers that has allowed us to increase marketing efficiency, while maintaining revenue growth. Additionally, through our improved marketing efficiency the consumer is able to choose where they want to purchase our products online, and we have seen more consumers choosing online retailers as compared to purchasing directly on Honest.com, which for the year ended December 31, 2023 has negatively impacted revenue at Honest.com but has improved revenue in other channels.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have strategically positioned ourselves to benefit from several macro trends related to changes in consumer behavior. We believe consumers’ increasing interest in purpose-designed products has contributed to higher demand for certain products. At the same time, changes in macro-level consumer spending trends, including as a result of global pandemics or other macroeconomic conditions, such as inflation, have resulted and could in the future result in fluctuations in our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41"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18"/>
          <w:szCs w:val="18"/>
          <w:color w:val="auto"/>
        </w:rPr>
        <w:t>Global economic and political uncertainty have increased due to the impact of continued inflationary pressures, adverse impact on confidence in financial markets and geopolitical events, including the conflict in Ukraine and the Israel-Hamas war. Additionally, the extent of the impact of macroeconomic trends on the Company’s operational and financial performance in the future will depend on future developments. Prolonged unfavorable economic conditions, including as a result of global pandemics, rising inflation and interest rates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There has been and continues to be an adverse impact on global economic conditions, specifically inflationary pressures, which has adversely affected our supply chain in regards to cost of goods sold. We have experienced and anticipate continued increases in product costs and transportation costs, which has and could continue to hamper our ability to drive margin expansion. We have taken measures to bolster key aspects of our supply chain, such as ensuring sufficient inventory to support our continued growth, minimizing lead times for raw materials, and implementing a robust cost-savings program, as part of our Transformation Initiative. In addition, as a result of the supply chain impacts, other macroeconomic trends and high inventory levels in 2022, we experienced increased fulfillment costs in 2022 but saw comparatively lower fulfillment costs in the year ended December 31, 2023, as we reduced inventory levels. One of our fulfillment partners passed on increased service and inflation related costs to us, including warehouse labor cost, which negatively impacted our cost of revenue for the year ended December 31, 2023. If we are not successful in negotiating future renewals such that these renewals are at increased costs to us, our business, financial condition, results of operations and prospects could be adversely affected. In 2022, we negotiated and agreed to higher purchase</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61" w:name="page62"/>
    <w:bookmarkEnd w:id="61"/>
    <w:p>
      <w:pPr>
        <w:ind w:right="180"/>
        <w:spacing w:after="0" w:line="250" w:lineRule="auto"/>
        <w:rPr>
          <w:sz w:val="20"/>
          <w:szCs w:val="20"/>
          <w:color w:val="auto"/>
        </w:rPr>
      </w:pPr>
      <w:r>
        <w:rPr>
          <w:rFonts w:ascii="Times New Roman" w:cs="Times New Roman" w:eastAsia="Times New Roman" w:hAnsi="Times New Roman"/>
          <w:sz w:val="18"/>
          <w:szCs w:val="18"/>
          <w:color w:val="auto"/>
        </w:rPr>
        <w:t>prices with two of our third-party manufacturers which negatively impacted our cost of revenue in the Diapers and Wipes product category in the years ended December 31, 2022 and 2023. In January 2024, we negotiated better price terms with one of these third-party manufacturers, Ontex. We could face further escalation of purchase costs and cost of revenue in the future.</w:t>
      </w:r>
    </w:p>
    <w:p>
      <w:pPr>
        <w:spacing w:after="0" w:line="204"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We implemented price increases that took effect in 2022 and 2023 and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Our revenue is relatively balanced between our Digital and Retail channels which demonstrates the power of our omni-channel distribution model. We believe consumers value the flexibility in terms of where and when they choose to purchase Honest products. We also believe that consumers recognize the quality of Honest products, knowing that there are over 3,500 chemicals and materials that we choose not to formulate with.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1"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may incur inventory write-downs, customer returns or incur donation expense or disposal costs as we reduce excess inventory. The decline in demand for our sanitization and disinfecting products included in the Household and Wellness product category has led to the implementation of our plan to exit low -margin household products as part of the Transformation Initiative. Additionally, we implemented an inventory, or SKU rationalization program, as part of the Transformation Initiative. For the year ended December 31, 2023, we recorded an inventory write-down, inclusive of overhead costs and tariffs, of $3.4 million mainly related to international product exits and SKU rationalization, which is included in cost of revenue on the consolidated statements of comprehensive loss. Additionally, we earmarked donations of $3.1 million, mainly related to the liquidation of low-margin household products during the year ended December 31, 2023, which is included in selling, general and administrative expense on the consolidated statements of comprehensive loss.</w:t>
      </w:r>
    </w:p>
    <w:p>
      <w:pPr>
        <w:spacing w:after="0" w:line="21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Due to increased supply chain lead times, new retail distribution, and expectation of supplier price increases that took effect in early 2023, we increased our inventory levels in 2022 to ensure in-stock position to service customers and consumers. In addition, inflation in input costs, including higher product costs, inbound shipping and warehouse labor, has resulted in a higher dollar value of inventory as of December 31, 2023. We have reduced our inventory levels during the year ended December 31, 2023 compared to December 31, 2022, as part of our disciplined inventory management.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241" w:lineRule="exact"/>
        <w:rPr>
          <w:sz w:val="20"/>
          <w:szCs w:val="20"/>
          <w:color w:val="auto"/>
        </w:rPr>
      </w:pPr>
    </w:p>
    <w:p>
      <w:pPr>
        <w:jc w:val="both"/>
        <w:ind w:right="360" w:firstLine="648"/>
        <w:spacing w:after="0" w:line="250"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became effective on January 1, 2023, including a 15% corporate minimum tax and a 1% excise tax on stock buybacks. We do not currently expect any material changes on our consolidated financial position, results of operations and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w:t>
      </w:r>
    </w:p>
    <w:p>
      <w:pPr>
        <w:spacing w:after="0" w:line="19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 2019, we entered into a license agreement with Butterblu, LLC, or Butterblu, pursuant to which we licensed certain of our trademarks to Butterblu for the manufacture and distribution of certain baby apparel products in exchange for royalties. Butterblu operates and maintains our baby apparel offerings independently through the honestbabyclothing.com website. For the year ended December 31, 2022, we collected $1.0 million in royalty revenue related to this license agreement. In August 2022, we terminated the license agreement in advance of its expiration date and entered into a supplier services agreement with Butterblu, pursuant to which Butterblu provides certain design, manufacturing, sales and marketing services to us. As part of the supplier services agreement, we have agreed to purchase and own inventory for the term of the supplier service agreement which is until December 31, 2026, unless terminated sooner. Butterblu continues to operate and maintain our baby apparel offerings independently through the honestbabyclothing.com website under our supplier services agreement. Honest Baby Clothing sales are reflected as revenue in our consolidated statements of operations.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3"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 third-party service fees related to Honest Baby Clothing; and, depreciation and amortization expenses. We expect our general and administrative expenses to decrease as a percentage of revenue as we continue to grow our business and organizational capabilities and efficiencies.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product categories and best 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4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 xml:space="preserve">Interest income consists primarily of interest income earned on our short-term investments and our cash and cash equivalents balances. Interest expense includes fees incurred under our 2023 Credit Facility, including commitment fees and debt issuance costs. Prior to the adoption of Financial Accounting Standards Board Accounting Standard Update No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xml:space="preserve"> on January 1, 2022, interest expense consisted primarily of the portion of rent payments recognized as imputed interest expense under build-to-suit accounting associated with our leasing arrangements.</w:t>
      </w:r>
    </w:p>
    <w:p>
      <w:pPr>
        <w:sectPr>
          <w:pgSz w:w="11900" w:h="16838" w:orient="portrait"/>
          <w:cols w:equalWidth="0" w:num="1">
            <w:col w:w="11200"/>
          </w:cols>
          <w:pgMar w:left="320" w:top="1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type w:val="continuous"/>
        </w:sectPr>
      </w:pPr>
    </w:p>
    <w:bookmarkStart w:id="63" w:name="page64"/>
    <w:bookmarkEnd w:id="63"/>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each of the periods indicated: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80" w:type="dxa"/>
            <w:vAlign w:val="bottom"/>
            <w:gridSpan w:val="6"/>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0" w:type="dxa"/>
            <w:vAlign w:val="bottom"/>
          </w:tcPr>
          <w:p>
            <w:pPr>
              <w:spacing w:after="0"/>
              <w:rPr>
                <w:sz w:val="1"/>
                <w:szCs w:val="1"/>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0" w:type="dxa"/>
            <w:vAlign w:val="bottom"/>
          </w:tcPr>
          <w:p>
            <w:pPr>
              <w:spacing w:after="0"/>
              <w:rPr>
                <w:sz w:val="1"/>
                <w:szCs w:val="1"/>
                <w:color w:val="auto"/>
              </w:rPr>
            </w:pPr>
          </w:p>
        </w:tc>
      </w:tr>
      <w:tr>
        <w:trPr>
          <w:trHeight w:val="27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w:t>
            </w: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7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06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1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1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0" w:type="dxa"/>
            <w:vAlign w:val="bottom"/>
          </w:tcPr>
          <w:p>
            <w:pPr>
              <w:spacing w:after="0"/>
              <w:rPr>
                <w:sz w:val="1"/>
                <w:szCs w:val="1"/>
                <w:color w:val="auto"/>
              </w:rPr>
            </w:pPr>
          </w:p>
        </w:tc>
      </w:tr>
      <w:tr>
        <w:trPr>
          <w:trHeight w:val="27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 xml:space="preserve">(11.4) </w:t>
            </w:r>
            <w:r>
              <w:rPr>
                <w:rFonts w:ascii="Arial" w:cs="Arial" w:eastAsia="Arial" w:hAnsi="Arial"/>
                <w:sz w:val="18"/>
                <w:szCs w:val="18"/>
                <w:color w:val="auto"/>
                <w:w w:val="96"/>
              </w:rPr>
              <w:t>%</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(15.6)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 Amounts may not sum due to rounding.</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2023 and 2022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Product Category</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Diapers and Wipes</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218,263</w:t>
            </w:r>
          </w:p>
        </w:tc>
        <w:tc>
          <w:tcPr>
            <w:tcW w:w="20" w:type="dxa"/>
            <w:vAlign w:val="bottom"/>
          </w:tcPr>
          <w:p>
            <w:pPr>
              <w:spacing w:after="0"/>
              <w:rPr>
                <w:sz w:val="23"/>
                <w:szCs w:val="23"/>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200,429</w:t>
            </w:r>
          </w:p>
        </w:tc>
        <w:tc>
          <w:tcPr>
            <w:tcW w:w="10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Skin and Personal Care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Household and Wellness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14,092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344,365</w:t>
            </w: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10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30,714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7"/>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Channel</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169,015</w:t>
            </w:r>
          </w:p>
        </w:tc>
        <w:tc>
          <w:tcPr>
            <w:tcW w:w="20" w:type="dxa"/>
            <w:vAlign w:val="bottom"/>
          </w:tcPr>
          <w:p>
            <w:pPr>
              <w:spacing w:after="0"/>
              <w:rPr>
                <w:sz w:val="23"/>
                <w:szCs w:val="23"/>
                <w:color w:val="auto"/>
              </w:rPr>
            </w:pP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10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27,612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3,102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344,365</w:t>
            </w:r>
          </w:p>
        </w:tc>
        <w:tc>
          <w:tcPr>
            <w:tcW w:w="20" w:type="dxa"/>
            <w:vAlign w:val="bottom"/>
          </w:tcPr>
          <w:p>
            <w:pPr>
              <w:spacing w:after="0"/>
              <w:rPr>
                <w:sz w:val="22"/>
                <w:szCs w:val="22"/>
                <w:color w:val="auto"/>
              </w:rPr>
            </w:pP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10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30,714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Revenue was $344.4 million for the year ended December 31, 2023, as compared to $313.7 million for the year ended December 31, 2022. The increase of $30.7 million, or 9.8%, was primarily due to a $17.8 million increase in revenue from Diapers and Wipes and a $14.1 million increase in revenue from Household and Wellness products, partially offset by a $1.2 million decrease in revenue from Skin and Personal Care products. The revenue increase in Diapers and Wipes was primarily driven by $20.9 million in revenue growth with a key digital partner in both diapers and wipes driven by improved marketing efficiency with this partner and $9.9 million in revenue growth in the Retail channel in both diapers and wipes due to strong sales velocity in wipes, partially offset by a decline in both diaper and wipes revenue of $12.6 million on Honest.com. The revenue increase in Household and Wellness was primarily driven by $17.4 million in revenue from Honest Baby Clothing's strong consumption with our key digital customer and due to a Retail channel launch, partially offset by a decrease in sales of </w:t>
      </w:r>
      <w:r>
        <w:rPr>
          <w:rFonts w:ascii="Times New Roman" w:cs="Times New Roman" w:eastAsia="Times New Roman" w:hAnsi="Times New Roman"/>
          <w:sz w:val="18"/>
          <w:szCs w:val="18"/>
          <w:color w:val="231F20"/>
        </w:rPr>
        <w:t>disinfecting and sanitization products</w:t>
      </w:r>
      <w:r>
        <w:rPr>
          <w:rFonts w:ascii="Times New Roman" w:cs="Times New Roman" w:eastAsia="Times New Roman" w:hAnsi="Times New Roman"/>
          <w:sz w:val="18"/>
          <w:szCs w:val="18"/>
          <w:color w:val="auto"/>
        </w:rPr>
        <w:t>. The revenue decrease from Skin and Personal Care was primarily driven by a decrease of $7.1 million in our Retail channel, primarily due to exiting distribution in low-margin channels, a customer bankruptcy and a decrease of $3.2 million in revenue on Honest.com, partially offset by an increase in revenue of $9.3 million in our Digital channel due to strong consumption with our key digital customer.</w:t>
      </w:r>
    </w:p>
    <w:p>
      <w:pPr>
        <w:sectPr>
          <w:pgSz w:w="11900" w:h="16838" w:orient="portrait"/>
          <w:cols w:equalWidth="0" w:num="1">
            <w:col w:w="11200"/>
          </w:cols>
          <w:pgMar w:left="320" w:top="1255" w:right="379"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0" w:gutter="0" w:footer="0" w:header="0"/>
          <w:type w:val="continuous"/>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We estimate that pricing increases taken in 2022 and 2023 contributed $11.4 million to revenue for the year ended December 31, 2023.</w:t>
      </w:r>
    </w:p>
    <w:p>
      <w:pPr>
        <w:spacing w:after="0" w:line="23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increase in revenue in our Retail channel for the year ended December 31, 2023, compared to the year ended December 31, 2022, was primarily driven by an increase in revenue at our key retailers of $19.1 million primarily due to new distribution and price increases, partially offset by a decline of $9.5 million in revenue due to exiting distribution in low-margin channels and loss of revenue of $5.4 million due to customer bankruptcies. The increase in revenue in our Digital channel for the year ended December 31, 2023, compared to the year ended December 31, 2022, was primarily driven by an increase in revenue of $41.8 million by our key digital customer driven by strong consumption across all three product categories, partially offset by a decrease in revenue at Honest.com of $13.0 million due to lower digital marketing spend which resulted in lower traffic to Honest.com.</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80" w:type="dxa"/>
            <w:vAlign w:val="bottom"/>
            <w:gridSpan w:val="9"/>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Cost of revenue was $243.8 million for the year ended December 31, 2023, as compared to $221.3 million for the year ended December 31, 2022. The increase of $22.5 million, or 10.2%, was primarily driven by a 9.8% increase in revenue, $15.7 million increase in product costs, including transportation costs, and $3.8 million of costs related to the Transformation Initiative, partially offset by cost savings. Cost of revenue as a percentage of revenue increased by 24 basis points.</w:t>
      </w:r>
    </w:p>
    <w:p>
      <w:pPr>
        <w:spacing w:after="0" w:line="208"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Gross profit was $100.5 million for the year ended December 31, 2023, as compared to $92.3 million for the year ended December 31, 2022. The increase was mainly related to price increases of $9.7 million and reduced trade spending</w:t>
      </w:r>
    </w:p>
    <w:p>
      <w:pPr>
        <w:spacing w:after="0" w:line="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8"/>
          <w:szCs w:val="18"/>
          <w:color w:val="auto"/>
        </w:rPr>
        <w:t>of $4.4 million, partially offset by higher product costs and costs related to the Transformation Initiative, including inventory reserves related to product exits and SKU rationalization.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0" w:type="dxa"/>
            <w:vAlign w:val="bottom"/>
          </w:tcPr>
          <w:p>
            <w:pPr>
              <w:spacing w:after="0"/>
              <w:rPr>
                <w:sz w:val="1"/>
                <w:szCs w:val="1"/>
                <w:color w:val="auto"/>
              </w:rPr>
            </w:pPr>
          </w:p>
        </w:tc>
      </w:tr>
      <w:tr>
        <w:trPr>
          <w:trHeight w:val="2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were $94.6 million for the year ended December 31, 2023, as compared to $87.3 million for the year ended December 31, 2022. The increase of $7.3 million, or 8.3%, was primarily due to a $4.2 million increase in service fees related to Honest Baby Clothing, a $2.8 million increase in donation expense primarily related to the Transformation Initiative, a $2.1 million increase in employee-related expenses, mainly related to the annual performance bonus accrual, and a $1.4 million increase in legal expenses primarily related to securities litigation, partially offset by a $1.1 million decrease in consulting fees, a $0.9 million decrease in vendor violations and a $0.7 million decrease to insurance costs.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Marketing expenses were $36.4 million for the year ended December 31, 2023, as compared to $47.8 million for the year ended December 31, 2022. The decrease of $11.3 million, or 23.7%, was primarily due to a $3.9 million reduction in retail marketing, a $3.6 million reduction in digital advertising, a decrease of $2.8 million in public relations activities and a $0.5 million decrease in product sample distribution.</w:t>
      </w:r>
    </w:p>
    <w:p>
      <w:pPr>
        <w:sectPr>
          <w:pgSz w:w="11900" w:h="16838" w:orient="portrait"/>
          <w:cols w:equalWidth="0" w:num="1">
            <w:col w:w="11180"/>
          </w:cols>
          <w:pgMar w:left="320" w:top="12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type w:val="continuous"/>
        </w:sectPr>
      </w:pPr>
    </w:p>
    <w:bookmarkStart w:id="66" w:name="page67"/>
    <w:bookmarkEnd w:id="66"/>
    <w:tbl>
      <w:tblPr>
        <w:tblLayout w:type="fixed"/>
        <w:tblInd w:w="20" w:type="dxa"/>
        <w:tblCellMar>
          <w:top w:w="0" w:type="dxa"/>
          <w:left w:w="0" w:type="dxa"/>
          <w:bottom w:w="0" w:type="dxa"/>
          <w:right w:w="0" w:type="dxa"/>
        </w:tblCellMar>
      </w:tblPr>
      <w:tr>
        <w:trPr>
          <w:trHeight w:val="238"/>
        </w:trPr>
        <w:tc>
          <w:tcPr>
            <w:tcW w:w="65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40" w:type="dxa"/>
            <w:vAlign w:val="bottom"/>
            <w:gridSpan w:val="8"/>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2,205</w:t>
            </w:r>
          </w:p>
        </w:tc>
        <w:tc>
          <w:tcPr>
            <w:tcW w:w="100" w:type="dxa"/>
            <w:vAlign w:val="bottom"/>
          </w:tcPr>
          <w:p>
            <w:pPr>
              <w:spacing w:after="0"/>
              <w:rPr>
                <w:sz w:val="23"/>
                <w:szCs w:val="23"/>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Restructuring expenses were $2.2 million for the year ended December 31, 2023. Restructuring costs are one of the elements of the Transformation Initiative. For the year ended December 31, 2023, restructuring costs included employee-related costs of $1.1 million, contract termination costs of $0.9 million, and asset-related costs of $0.2 million. For further details on the Transformation Initiative, refer to Note 17, "Restructuring" in the consolidated financial statements included elsewhere in this Annual Report on Form 10-K.</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$6.2 million for the year ended December 31, 2023, as compared to $7.0 million for the year ended December 31, 2022. The decrease of $0.8 million, or 11.2%, was primarily due to activities related to the Transformation Initiative, as we realign resources to reflect the prioritization of higher-margin opportunities.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 %</w:t>
            </w: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Interest and other income (expense), net was net expense of $0.3 million for the year ended December 31, 2023, as compared to net income of $0.9 million for the year ended December 31, 2022. The decrease of $1.1 million, or 129.2%, was</w:t>
      </w:r>
    </w:p>
    <w:p>
      <w:pPr>
        <w:spacing w:after="0" w:line="235" w:lineRule="auto"/>
        <w:rPr>
          <w:sz w:val="20"/>
          <w:szCs w:val="20"/>
          <w:color w:val="auto"/>
        </w:rPr>
      </w:pPr>
      <w:r>
        <w:rPr>
          <w:rFonts w:ascii="Times New Roman" w:cs="Times New Roman" w:eastAsia="Times New Roman" w:hAnsi="Times New Roman"/>
          <w:sz w:val="18"/>
          <w:szCs w:val="18"/>
          <w:color w:val="auto"/>
        </w:rPr>
        <w:t>primarily due to $0.7 million of other income related to the recognition of taxes and interest refunded from the Nevada</w:t>
      </w:r>
    </w:p>
    <w:p>
      <w:pPr>
        <w:spacing w:after="0" w:line="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Department of Taxation legal settlement during the year ended December 31, 2022, partially offset by the write-off of unamortized debt issuance costs as we entered into the new 2023 Credit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As of December 31, 2023, we had $32.8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consolidated financial statements. We will need to generate sufficient cash from operations or raise additional capital to meet our long-term working capital and capital expenditure needs. We also have availability under our 2023 Credit Facility, which was not drawn as of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an availability block and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consolidated statements of comprehensive loss. For the year ended</w:t>
      </w:r>
    </w:p>
    <w:p>
      <w:pPr>
        <w:sectPr>
          <w:pgSz w:w="11900" w:h="16838" w:orient="portrait"/>
          <w:cols w:equalWidth="0" w:num="1">
            <w:col w:w="11240"/>
          </w:cols>
          <w:pgMar w:left="320" w:top="1022" w:right="339" w:bottom="10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063" w:gutter="0" w:footer="0" w:header="0"/>
          <w:type w:val="continuous"/>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t>December 31, 2023, the commitment fee incurred was immaterial. As of December 31, 2023, there were $3.7 million outstanding letters of credit and $17.7 million available to be drawn upon. As of December 31, 2023, there was no outstanding balance under the 2023 Credit Facility.</w:t>
      </w:r>
    </w:p>
    <w:p>
      <w:pPr>
        <w:spacing w:after="0" w:line="18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spacing w:after="0" w:line="204" w:lineRule="exact"/>
        <w:rPr>
          <w:sz w:val="20"/>
          <w:szCs w:val="20"/>
          <w:color w:val="auto"/>
        </w:rPr>
      </w:pPr>
    </w:p>
    <w:p>
      <w:pPr>
        <w:ind w:right="360" w:firstLine="648"/>
        <w:spacing w:after="0" w:line="296" w:lineRule="auto"/>
        <w:rPr>
          <w:sz w:val="20"/>
          <w:szCs w:val="20"/>
          <w:color w:val="auto"/>
        </w:rPr>
      </w:pPr>
      <w:r>
        <w:rPr>
          <w:rFonts w:ascii="Times New Roman" w:cs="Times New Roman" w:eastAsia="Times New Roman" w:hAnsi="Times New Roman"/>
          <w:sz w:val="17"/>
          <w:szCs w:val="17"/>
          <w:color w:val="auto"/>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spacing w:after="0" w:line="152"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December 31, 2023, we are in compliance with all covenants under the 2023 Credit Facility.</w:t>
      </w:r>
    </w:p>
    <w:p>
      <w:pPr>
        <w:spacing w:after="0" w:line="21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Refer to Note 8, "Credit Facilities," in the consolidated financial statements included elsewhere in this Annual Report on Form 10-K for more information on the 2023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(76,275)</w:t>
            </w:r>
          </w:p>
        </w:tc>
        <w:tc>
          <w:tcPr>
            <w:tcW w:w="0" w:type="dxa"/>
            <w:vAlign w:val="bottom"/>
          </w:tcPr>
          <w:p>
            <w:pPr>
              <w:spacing w:after="0"/>
              <w:rPr>
                <w:sz w:val="1"/>
                <w:szCs w:val="1"/>
                <w:color w:val="auto"/>
              </w:rPr>
            </w:pPr>
          </w:p>
        </w:tc>
      </w:tr>
      <w:tr>
        <w:trPr>
          <w:trHeight w:val="27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0" w:type="dxa"/>
            <w:vAlign w:val="bottom"/>
          </w:tcPr>
          <w:p>
            <w:pPr>
              <w:spacing w:after="0"/>
              <w:rPr>
                <w:sz w:val="1"/>
                <w:szCs w:val="1"/>
                <w:color w:val="auto"/>
              </w:rPr>
            </w:pPr>
          </w:p>
        </w:tc>
      </w:tr>
      <w:tr>
        <w:trPr>
          <w:trHeight w:val="27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in the past generated negative cash flows from operating activities and have supplemented working capital requirements through net proceeds from the sale and maturity of short-term investments.</w:t>
      </w:r>
    </w:p>
    <w:p>
      <w:pPr>
        <w:spacing w:after="0" w:line="22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Net cash provided by operating activities of $19.4 million for the year ended December 31, 2023 was primarily due to a net increase in cash related to changes in operating assets and liabilities of $33.8 million, and non-cash adjustments of $24.8 million, offset by a net loss of $39.2 million. Non-cash adjustments primarily consisted of stock-based compensation of $15.8 million, amortization of operating Right-Of-Use ("ROU") assets of $6.2 million and depreciation and amortization of $2.7 million. Changes in cash flows related to operating assets and liabilities primarily consisted of a $42.2 million decrease in inventory, an $8.0 million decrease in prepaid expenses and other assets due to timing of payments, and a $1.4 million increase in deferred revenue, offset by $9.3 million in lower accounts payable and accrued expenses driven by lower inventory purchases due to our disciplined inventory management, a $7.7 million use of cash due to operating lease obligations and a $0.8 million increase in accounts receivable.</w:t>
      </w:r>
    </w:p>
    <w:p>
      <w:pPr>
        <w:spacing w:after="0" w:line="21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Net cash used in operating activities of $76.3 million for the year ended December 31, 2022 was primarily due to net loss of $49.0 million, non-cash adjustments of $24.2 million and a net decrease in cash related to changes in operating assets and liabilities of $51.4 million. Non-cash adjustments primarily consisted of stock-based compensation of $15.1 million, amortization of operating ROU assets of $6.2 million and depreciation and amortization of $2.8 million. Changes in cash flows related to operating assets and liabilities primarily consisted of a $40.0 million increase in inventory reflecting cost inflation (inclusive of the purchase of $5.5 million of Honest Baby Clothing inventory from Butterblu), an increase in weeks of supply due to longer lead times, as well as in advance of new distribution and an additional investment in advance of supplier price increases that took effect in early 2023, a $10.6 million increase in accounts receivable due to growth in Retail channel revenue, a $4.4 million increase in prepaid expenses and other assets due to timing of payments, offset by a $10.4 million use of cash due to the timing of payments associated with our accounts payable, accrued expenses and a $7.0 million use of cash due to operating lease obligations.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$3.8 million for the year ended December 31, 2023 was due to the proceeds from the maturities of short-term investments of $5.7 million, offset by the purchase of property and equipment of $1.8 million.</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$35.0 million for the year ended December 31, 2022 was due to purchases of short-term investments of $12.8 million, offset by proceeds from the maturities of short-term investments of $49.4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proceeds from stock option award exercises and principal payments of financing lease obligations.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$122 thousand for the year ended December 31, 2023 primarily consisted of proceeds from the 2021 Employee Stock Purchase Plan ("ESPP"), partially offset by principal payments of financing lease obligations.</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$38.4 thousand for the year ended December 31, 2022 primarily consisted of proceeds from stock option exercises and the 2021 ESPP, partially offset by principal payments of financing lease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right="380" w:firstLine="648"/>
        <w:spacing w:after="0" w:line="264" w:lineRule="auto"/>
        <w:rPr>
          <w:sz w:val="20"/>
          <w:szCs w:val="20"/>
          <w:color w:val="auto"/>
        </w:rPr>
      </w:pPr>
      <w:r>
        <w:rPr>
          <w:rFonts w:ascii="Times New Roman" w:cs="Times New Roman" w:eastAsia="Times New Roman" w:hAnsi="Times New Roman"/>
          <w:sz w:val="17"/>
          <w:szCs w:val="17"/>
          <w:color w:val="auto"/>
        </w:rPr>
        <w:t>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prepare and present our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16" w:lineRule="exact"/>
        <w:rPr>
          <w:sz w:val="20"/>
          <w:szCs w:val="20"/>
          <w:color w:val="auto"/>
        </w:rPr>
      </w:pPr>
    </w:p>
    <w:p>
      <w:pPr>
        <w:ind w:right="240" w:firstLine="8"/>
        <w:spacing w:after="0" w:line="239"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litigation and settlement fees associated with certain non-ordinary course securities litigation claims; (6) CEO and CFO transition expenses; and (7) restructuring expenses in connection with the Transformation Initiative.</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and CFO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w:t>
      </w:r>
    </w:p>
    <w:p>
      <w:pPr>
        <w:sectPr>
          <w:pgSz w:w="11900" w:h="16838" w:orient="portrait"/>
          <w:cols w:equalWidth="0" w:num="1">
            <w:col w:w="11220"/>
          </w:cols>
          <w:pgMar w:left="32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type w:val="continuous"/>
        </w:sectPr>
      </w:pPr>
    </w:p>
    <w:bookmarkStart w:id="69" w:name="page70"/>
    <w:bookmarkEnd w:id="69"/>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stated in accordance with GAAP, to adjusted EBITDA, for each of the periods presented: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30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0" w:type="dxa"/>
            <w:vAlign w:val="bottom"/>
          </w:tcPr>
          <w:p>
            <w:pPr>
              <w:spacing w:after="0"/>
              <w:rPr>
                <w:sz w:val="1"/>
                <w:szCs w:val="1"/>
                <w:color w:val="auto"/>
              </w:rPr>
            </w:pP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302"/>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CEO and CFO transition expense</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7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w:t>
      </w:r>
    </w:p>
    <w:p>
      <w:pPr>
        <w:spacing w:after="0" w:line="163" w:lineRule="exact"/>
        <w:rPr>
          <w:sz w:val="20"/>
          <w:szCs w:val="20"/>
          <w:color w:val="auto"/>
        </w:rPr>
      </w:pPr>
    </w:p>
    <w:p>
      <w:pPr>
        <w:ind w:left="340" w:right="240" w:hanging="333"/>
        <w:spacing w:after="0" w:line="245" w:lineRule="auto"/>
        <w:tabs>
          <w:tab w:leader="none" w:pos="26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accelerated equity awards related to prior separation agreements of an aggregate of $3.1 million with our former CEO and CFO, respectively, during the year ended December 31, 2023. Additionally, includes extension of post-termination stock option exercise periods for certain former executives, resulting in stock-based compensation expense of $0.5 million during the year ended December 31, 2023.</w:t>
      </w:r>
    </w:p>
    <w:p>
      <w:pPr>
        <w:ind w:left="260" w:hanging="252"/>
        <w:spacing w:after="0" w:line="211" w:lineRule="auto"/>
        <w:tabs>
          <w:tab w:leader="none" w:pos="2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sign-on bonus, relocation, legal, recruiting and separation costs.</w:t>
      </w:r>
    </w:p>
    <w:p>
      <w:pPr>
        <w:ind w:left="260" w:hanging="252"/>
        <w:spacing w:after="0"/>
        <w:tabs>
          <w:tab w:leader="none" w:pos="2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17 “Restructuring” in our consolidated financial statements included elsewhere in this Annual Report on Form 10-K for items included in restructuring expense.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43" w:lineRule="exact"/>
        <w:rPr>
          <w:sz w:val="20"/>
          <w:szCs w:val="20"/>
          <w:color w:val="auto"/>
        </w:rPr>
      </w:pPr>
    </w:p>
    <w:p>
      <w:pPr>
        <w:jc w:val="both"/>
        <w:ind w:right="600" w:firstLine="648"/>
        <w:spacing w:after="0" w:line="250" w:lineRule="auto"/>
        <w:rPr>
          <w:sz w:val="20"/>
          <w:szCs w:val="20"/>
          <w:color w:val="auto"/>
        </w:rPr>
      </w:pPr>
      <w:r>
        <w:rPr>
          <w:rFonts w:ascii="Times New Roman" w:cs="Times New Roman" w:eastAsia="Times New Roman" w:hAnsi="Times New Roman"/>
          <w:sz w:val="18"/>
          <w:szCs w:val="18"/>
          <w:color w:val="231F20"/>
        </w:rPr>
        <w:t>We lease warehouse and office facilities under operating and finance lease agreements. We have unconditional purchase commitments for software service subscriptions, advertising services and certain other services. S</w:t>
      </w:r>
      <w:r>
        <w:rPr>
          <w:rFonts w:ascii="Times New Roman" w:cs="Times New Roman" w:eastAsia="Times New Roman" w:hAnsi="Times New Roman"/>
          <w:sz w:val="18"/>
          <w:szCs w:val="18"/>
          <w:color w:val="000000"/>
        </w:rPr>
        <w:t>ee Note 11, “Commitments and Contingencies,” to the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financial statements included elsewhere in this Annual Report on Form 10-K for more information on our purchase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the consolidated financial statements included elsewhere in this Annual Report on Form 10-K for a discussion of recently issued accounting pronouncements not yet adopted and recently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243"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to the consolidated financial statements included elsewhere in this Annual Report on Form 10-K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Digital and Retail channels in the following product categories: Diapers and Wipes, Skin and Personal Care and Household and Wellness. The Digital channel includes direct to the consumer sales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customers.</w:t>
      </w:r>
    </w:p>
    <w:p>
      <w:pPr>
        <w:spacing w:after="0" w:line="2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account for revenue contracts with customers by applying the following steps in accordance with Accounting Standard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Identification of the contract, or contracts, with a customer</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Identification of the performance obligations in the contract</w:t>
      </w:r>
    </w:p>
    <w:p>
      <w:pPr>
        <w:sectPr>
          <w:pgSz w:w="11900" w:h="16838" w:orient="portrait"/>
          <w:cols w:equalWidth="0" w:num="1">
            <w:col w:w="11220"/>
          </w:cols>
          <w:pgMar w:left="320" w:top="1026" w:right="359" w:bottom="10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077" w:gutter="0" w:footer="0" w:header="0"/>
          <w:type w:val="continuous"/>
        </w:sectPr>
      </w:pPr>
    </w:p>
    <w:bookmarkStart w:id="70" w:name="page71"/>
    <w:bookmarkEnd w:id="70"/>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Determination of the transaction price</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Allocation of the transaction price to the performance obligations in the contract</w:t>
      </w:r>
    </w:p>
    <w:p>
      <w:pPr>
        <w:spacing w:after="0" w:line="6"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Recognition of revenue when, or as, we satisfy a performance obligation</w:t>
      </w:r>
    </w:p>
    <w:p>
      <w:pPr>
        <w:spacing w:after="0" w:line="21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elected an accounting policy to record all shipping and handling costs as fulfillment costs. We accrue the cost of shipping and handling and recognize revenue and costs at the point in time that control of the goods transfers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Direct-to-Consumer</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For direct sales to the consumer through our website, our performance obligation consists of the sale of finished goods to the consumer. Consumers may purchase products at any time or enter into subscription arrangements. Consumers place orders online in accordance with our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21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Consumers may purchase gift cards, which are recorded as deferred revenue at the time of purchase. We recognize revenue when these gift cards are redeemed for products and the revenue recognition criteria as described above have been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Retail and Third-Party Ecommerce</w:t>
      </w:r>
    </w:p>
    <w:p>
      <w:pPr>
        <w:spacing w:after="0" w:line="243" w:lineRule="exact"/>
        <w:rPr>
          <w:sz w:val="20"/>
          <w:szCs w:val="20"/>
          <w:color w:val="auto"/>
        </w:rPr>
      </w:pPr>
    </w:p>
    <w:p>
      <w:pPr>
        <w:ind w:right="320"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our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we have the right to consideration as outlined in the contract. Payment terms vary among the retail and third-party ecommerce customers although terms generally include a requirement of payment within 30 to 45 days of product shipment.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Returns and Allowances</w:t>
      </w:r>
    </w:p>
    <w:p>
      <w:pPr>
        <w:spacing w:after="0" w:line="243"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we record estimated sales returns in the same period that the related revenue is recorded. We use the expected value method to estimate returns, taking into consideration assumptions of demand based on historical data and historical returns rates. When estimating returns, we also consider future business initiatives and relevant anticipated future events. Estimated sales returns and ultimate losses may vary from actual results, which could be material to the consolidated financial statements. The estimated sales returns allowance is recorded as a reduction in revenue.</w:t>
      </w:r>
    </w:p>
    <w:p>
      <w:pPr>
        <w:spacing w:after="0" w:line="21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we offer credits in the form of discounts, which are recorded as reductions in revenue and are allocated to products on a relative basis based on their respective standalone selling price.</w:t>
      </w:r>
    </w:p>
    <w:p>
      <w:pPr>
        <w:spacing w:after="0" w:line="18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For retail and third-party ecommerce sales, we routinely commit to one-time or ongoing sales incentive programs that may require us to estimate and accrue the expected costs of such programs, including trade promotion activities and contractual allowances. We record these programs as a reduction to revenue unless we receive a distinct benefit in exchange for credits claimed by the customer and can reasonably estimate the fair value of the benefit received, in which case we record the programs as marketing expense. We recognize a liability or a reduction to accounts receivable, and reduce revenue based on the estimated amount of credits that will be claimed by customers. An allowance is recorded as a reduction to accounts receivable if the customer can deduct the program amount from the outstanding invoice.</w:t>
      </w:r>
    </w:p>
    <w:p>
      <w:pPr>
        <w:spacing w:after="0" w:line="21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Estimates for these sales incentive programs are developed using the most likely amount and are included in the transaction price to the extent that a significant reversal of revenue would not result once the uncertainty is resolved. In developing our estimate, we use historical analysis and contractual rates in determining the accruals for these activities. Also, we consider the susceptibility of the incentive to outside influences, the length of time until the uncertainty is resolved, and our experience with similar contracts. Judgment is required to determine the timing and amount of recognition of sales incentive program accruals which we estimate based on past practice with similar arrangements.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Inventories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Inventories consists of finished goods and are stated at the lower of cost or estimated net realizable value. Cost is computed based on weighted-average historical costs. We allocate certain overhead costs to the carrying value of our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ectPr>
          <w:pgSz w:w="11900" w:h="16838" w:orient="portrait"/>
          <w:cols w:equalWidth="0" w:num="1">
            <w:col w:w="11200"/>
          </w:cols>
          <w:pgMar w:left="320" w:top="10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243" w:lineRule="exact"/>
        <w:rPr>
          <w:sz w:val="20"/>
          <w:szCs w:val="20"/>
          <w:color w:val="auto"/>
        </w:rPr>
      </w:pPr>
    </w:p>
    <w:p>
      <w:pPr>
        <w:jc w:val="both"/>
        <w:ind w:right="220" w:firstLine="648"/>
        <w:spacing w:after="0" w:line="245" w:lineRule="auto"/>
        <w:rPr>
          <w:sz w:val="20"/>
          <w:szCs w:val="20"/>
          <w:color w:val="auto"/>
        </w:rPr>
      </w:pPr>
      <w:r>
        <w:rPr>
          <w:rFonts w:ascii="Times New Roman" w:cs="Times New Roman" w:eastAsia="Times New Roman" w:hAnsi="Times New Roman"/>
          <w:sz w:val="18"/>
          <w:szCs w:val="18"/>
          <w:color w:val="auto"/>
        </w:rPr>
        <w:t>We recognize stock-based compensation expense for employees and non-employees based on the grant-date fair value of stock awards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determination of stock-based compensation cost is inherently uncertain and subjective and involves the application of valuation models and assumptions requiring the use of judgment. If factors change and different assumptions are used, stock-based compensation expense and net losses could be significantly different.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24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21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on deferred tax assets when it is determined that it is more likely than not that some portion or all of the net deferred tax assets will not be realized.</w:t>
      </w:r>
    </w:p>
    <w:p>
      <w:pPr>
        <w:spacing w:after="0" w:line="189"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7"/>
          <w:szCs w:val="17"/>
          <w:color w:val="auto"/>
        </w:rPr>
        <w:t>We recognize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income tax matters in income tax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57"/>
        </w:trPr>
        <w:tc>
          <w:tcPr>
            <w:tcW w:w="5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w:t>
            </w:r>
          </w:p>
        </w:tc>
        <w:tc>
          <w:tcPr>
            <w:tcW w:w="232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96"/>
              </w:rPr>
              <w:t>238)</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0000FF"/>
                <w:w w:val="99"/>
              </w:rPr>
              <w:t>71</w:t>
            </w:r>
          </w:p>
        </w:tc>
      </w:tr>
      <w:tr>
        <w:trPr>
          <w:trHeight w:val="270"/>
        </w:trPr>
        <w:tc>
          <w:tcPr>
            <w:tcW w:w="2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420" w:type="dxa"/>
            <w:vAlign w:val="bottom"/>
            <w:tcBorders>
              <w:top w:val="single" w:sz="8" w:color="0000FF"/>
            </w:tcBorders>
            <w:gridSpan w:val="5"/>
          </w:tcPr>
          <w:p>
            <w:pPr>
              <w:spacing w:after="0"/>
              <w:rPr>
                <w:sz w:val="23"/>
                <w:szCs w:val="23"/>
                <w:color w:val="auto"/>
              </w:rPr>
            </w:pPr>
          </w:p>
        </w:tc>
        <w:tc>
          <w:tcPr>
            <w:tcW w:w="1100" w:type="dxa"/>
            <w:vAlign w:val="bottom"/>
          </w:tcPr>
          <w:p>
            <w:pPr>
              <w:spacing w:after="0"/>
              <w:rPr>
                <w:sz w:val="23"/>
                <w:szCs w:val="23"/>
                <w:color w:val="auto"/>
              </w:rPr>
            </w:pPr>
          </w:p>
        </w:tc>
        <w:tc>
          <w:tcPr>
            <w:tcW w:w="1200" w:type="dxa"/>
            <w:vAlign w:val="bottom"/>
            <w:gridSpan w:val="2"/>
          </w:tcPr>
          <w:p>
            <w:pPr>
              <w:spacing w:after="0"/>
              <w:rPr>
                <w:sz w:val="23"/>
                <w:szCs w:val="23"/>
                <w:color w:val="auto"/>
              </w:rPr>
            </w:pPr>
          </w:p>
        </w:tc>
        <w:tc>
          <w:tcPr>
            <w:tcW w:w="20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72</w:t>
            </w:r>
          </w:p>
        </w:tc>
        <w:tc>
          <w:tcPr>
            <w:tcW w:w="80" w:type="dxa"/>
            <w:vAlign w:val="bottom"/>
          </w:tcPr>
          <w:p>
            <w:pPr>
              <w:spacing w:after="0"/>
              <w:rPr>
                <w:sz w:val="23"/>
                <w:szCs w:val="2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1100" w:type="dxa"/>
            <w:vAlign w:val="bottom"/>
          </w:tcPr>
          <w:p>
            <w:pPr>
              <w:spacing w:after="0"/>
              <w:rPr>
                <w:sz w:val="21"/>
                <w:szCs w:val="21"/>
                <w:color w:val="auto"/>
              </w:rPr>
            </w:pPr>
          </w:p>
        </w:tc>
        <w:tc>
          <w:tcPr>
            <w:tcW w:w="1480" w:type="dxa"/>
            <w:vAlign w:val="bottom"/>
            <w:gridSpan w:val="6"/>
          </w:tcPr>
          <w:p>
            <w:pPr>
              <w:jc w:val="center"/>
              <w:ind w:left="1026"/>
              <w:spacing w:after="0"/>
              <w:rPr>
                <w:sz w:val="20"/>
                <w:szCs w:val="20"/>
                <w:color w:val="auto"/>
              </w:rPr>
            </w:pPr>
            <w:r>
              <w:rPr>
                <w:rFonts w:ascii="Times New Roman" w:cs="Times New Roman" w:eastAsia="Times New Roman" w:hAnsi="Times New Roman"/>
                <w:sz w:val="20"/>
                <w:szCs w:val="20"/>
                <w:color w:val="0000FF"/>
                <w:w w:val="99"/>
              </w:rPr>
              <w:t>73</w:t>
            </w:r>
          </w:p>
        </w:tc>
      </w:tr>
      <w:tr>
        <w:trPr>
          <w:trHeight w:val="27"/>
        </w:trPr>
        <w:tc>
          <w:tcPr>
            <w:tcW w:w="28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360" w:type="dxa"/>
            <w:vAlign w:val="bottom"/>
            <w:gridSpan w:val="3"/>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p>
        </w:tc>
        <w:tc>
          <w:tcPr>
            <w:tcW w:w="1480" w:type="dxa"/>
            <w:vAlign w:val="bottom"/>
            <w:gridSpan w:val="6"/>
          </w:tcPr>
          <w:p>
            <w:pPr>
              <w:jc w:val="center"/>
              <w:ind w:left="1026"/>
              <w:spacing w:after="0"/>
              <w:rPr>
                <w:sz w:val="20"/>
                <w:szCs w:val="20"/>
                <w:color w:val="auto"/>
              </w:rPr>
            </w:pPr>
            <w:r>
              <w:rPr>
                <w:rFonts w:ascii="Times New Roman" w:cs="Times New Roman" w:eastAsia="Times New Roman" w:hAnsi="Times New Roman"/>
                <w:sz w:val="20"/>
                <w:szCs w:val="20"/>
                <w:color w:val="0000FF"/>
                <w:w w:val="99"/>
              </w:rPr>
              <w:t>74</w:t>
            </w:r>
          </w:p>
        </w:tc>
      </w:tr>
      <w:tr>
        <w:trPr>
          <w:trHeight w:val="270"/>
        </w:trPr>
        <w:tc>
          <w:tcPr>
            <w:tcW w:w="2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740" w:type="dxa"/>
            <w:vAlign w:val="bottom"/>
            <w:tcBorders>
              <w:top w:val="single" w:sz="8" w:color="0000FF"/>
            </w:tcBorders>
            <w:gridSpan w:val="5"/>
          </w:tcPr>
          <w:p>
            <w:pPr>
              <w:spacing w:after="0"/>
              <w:rPr>
                <w:sz w:val="23"/>
                <w:szCs w:val="23"/>
                <w:color w:val="auto"/>
              </w:rPr>
            </w:pPr>
          </w:p>
        </w:tc>
        <w:tc>
          <w:tcPr>
            <w:tcW w:w="1200" w:type="dxa"/>
            <w:vAlign w:val="bottom"/>
            <w:gridSpan w:val="2"/>
          </w:tcPr>
          <w:p>
            <w:pPr>
              <w:spacing w:after="0"/>
              <w:rPr>
                <w:sz w:val="23"/>
                <w:szCs w:val="23"/>
                <w:color w:val="auto"/>
              </w:rPr>
            </w:pPr>
          </w:p>
        </w:tc>
        <w:tc>
          <w:tcPr>
            <w:tcW w:w="20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75</w:t>
            </w:r>
          </w:p>
        </w:tc>
        <w:tc>
          <w:tcPr>
            <w:tcW w:w="80" w:type="dxa"/>
            <w:vAlign w:val="bottom"/>
          </w:tcPr>
          <w:p>
            <w:pPr>
              <w:spacing w:after="0"/>
              <w:rPr>
                <w:sz w:val="23"/>
                <w:szCs w:val="23"/>
                <w:color w:val="auto"/>
              </w:rPr>
            </w:pP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460" w:type="dxa"/>
            <w:vAlign w:val="bottom"/>
            <w:gridSpan w:val="4"/>
          </w:tcPr>
          <w:p>
            <w:pPr>
              <w:spacing w:after="0"/>
              <w:rPr>
                <w:sz w:val="21"/>
                <w:szCs w:val="21"/>
                <w:color w:val="auto"/>
              </w:rPr>
            </w:pPr>
          </w:p>
        </w:tc>
        <w:tc>
          <w:tcPr>
            <w:tcW w:w="1400" w:type="dxa"/>
            <w:vAlign w:val="bottom"/>
            <w:gridSpan w:val="5"/>
          </w:tcPr>
          <w:p>
            <w:pPr>
              <w:jc w:val="center"/>
              <w:ind w:left="1086"/>
              <w:spacing w:after="0"/>
              <w:rPr>
                <w:sz w:val="20"/>
                <w:szCs w:val="20"/>
                <w:color w:val="auto"/>
              </w:rPr>
            </w:pPr>
            <w:r>
              <w:rPr>
                <w:rFonts w:ascii="Times New Roman" w:cs="Times New Roman" w:eastAsia="Times New Roman" w:hAnsi="Times New Roman"/>
                <w:sz w:val="18"/>
                <w:szCs w:val="18"/>
                <w:color w:val="0000FF"/>
                <w:w w:val="99"/>
              </w:rPr>
              <w:t>76</w:t>
            </w:r>
          </w:p>
        </w:tc>
        <w:tc>
          <w:tcPr>
            <w:tcW w:w="8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5" w:right="1440" w:bottom="1440" w:gutter="0" w:footer="0" w:header="0"/>
        </w:sectPr>
      </w:pPr>
    </w:p>
    <w:bookmarkStart w:id="73" w:name="page74"/>
    <w:bookmarkEnd w:id="73"/>
    <w:p>
      <w:pPr>
        <w:spacing w:after="0" w:line="3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The Honest Company,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Honest Company, Inc. and its subsidiaries (the “Company”) as of December 31, 2023 and 2022, and the related consolidated statements of comprehensive loss, of redeemable convertible preferred stock and stockholders' equity (deficit)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fiscal year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ectPr>
          <w:pgSz w:w="11900" w:h="16838" w:orient="portrait"/>
          <w:cols w:equalWidth="0" w:num="1">
            <w:col w:w="11240"/>
          </w:cols>
          <w:pgMar w:left="320" w:top="1440" w:right="339" w:bottom="8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861"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40" w:type="dxa"/>
            <w:vAlign w:val="bottom"/>
            <w:gridSpan w:val="4"/>
          </w:tcPr>
          <w:p>
            <w:pPr>
              <w:ind w:left="408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1"/>
                <w:szCs w:val="21"/>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3"/>
                <w:szCs w:val="23"/>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42,334</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115,664</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189,147</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201,621</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0" w:type="dxa"/>
            <w:vAlign w:val="bottom"/>
          </w:tcPr>
          <w:p>
            <w:pPr>
              <w:spacing w:after="0"/>
              <w:rPr>
                <w:sz w:val="1"/>
                <w:szCs w:val="1"/>
                <w:color w:val="auto"/>
              </w:rPr>
            </w:pPr>
          </w:p>
        </w:tc>
      </w:tr>
      <w:tr>
        <w:trPr>
          <w:trHeight w:val="21"/>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94,239</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December 31, 2023 and</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none issued or outstanding as of December 31, 2023 and 2022</w:t>
            </w:r>
          </w:p>
        </w:tc>
        <w:tc>
          <w:tcPr>
            <w:tcW w:w="22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2023 and</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95,868,421 and 92,907,351 shares issued and outstanding as of December 31, 2023 and</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respectively</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586,213</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(439,830)</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3"/>
                <w:szCs w:val="23"/>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201,621</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4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78"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84,059</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54,260</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94,516,690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71,126,218</w:t>
            </w:r>
          </w:p>
        </w:tc>
        <w:tc>
          <w:tcPr>
            <w:tcW w:w="0" w:type="dxa"/>
            <w:vAlign w:val="bottom"/>
          </w:tcPr>
          <w:p>
            <w:pPr>
              <w:spacing w:after="0"/>
              <w:rPr>
                <w:sz w:val="1"/>
                <w:szCs w:val="1"/>
                <w:color w:val="auto"/>
              </w:rPr>
            </w:pPr>
          </w:p>
        </w:tc>
      </w:tr>
      <w:tr>
        <w:trPr>
          <w:trHeight w:val="54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short-term investments, net of taxes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(38,814)</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35" w:right="359" w:bottom="1440" w:gutter="0" w:footer="0" w:header="0"/>
        </w:sectPr>
      </w:pPr>
    </w:p>
    <w:bookmarkStart w:id="76" w:name="page77"/>
    <w:bookmarkEnd w:id="76"/>
    <w:p>
      <w:pPr>
        <w:ind w:left="45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88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88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5"/>
                <w:szCs w:val="15"/>
                <w:color w:val="auto"/>
              </w:rPr>
            </w:pP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7"/>
                <w:szCs w:val="7"/>
                <w:color w:val="auto"/>
              </w:rPr>
            </w:pPr>
          </w:p>
        </w:tc>
        <w:tc>
          <w:tcPr>
            <w:tcW w:w="800" w:type="dxa"/>
            <w:vAlign w:val="bottom"/>
            <w:vMerge w:val="restart"/>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50"/>
        </w:trPr>
        <w:tc>
          <w:tcPr>
            <w:tcW w:w="2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92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49,100,928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376,404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34,089,186</w:t>
            </w:r>
          </w:p>
        </w:tc>
        <w:tc>
          <w:tcPr>
            <w:tcW w:w="8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116,055</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(352,977)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(236,825)</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(38,679)</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1,170,803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 restricted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paid ($0.42 per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217"/>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pursuant to initial</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public offering, net of underwriting</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 and discounts and offering costs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$12.2 million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6,451,613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91,039</w:t>
            </w:r>
          </w:p>
        </w:tc>
        <w:tc>
          <w:tcPr>
            <w:tcW w:w="0" w:type="dxa"/>
            <w:vAlign w:val="bottom"/>
          </w:tcPr>
          <w:p>
            <w:pPr>
              <w:spacing w:after="0"/>
              <w:rPr>
                <w:sz w:val="1"/>
                <w:szCs w:val="1"/>
                <w:color w:val="auto"/>
              </w:rPr>
            </w:pPr>
          </w:p>
        </w:tc>
      </w:tr>
      <w:tr>
        <w:trPr>
          <w:trHeight w:val="217"/>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redeemable convertible preferred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to common stock upon initial public</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(49,100,928)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(376,404)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49,649,023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376,405</w:t>
            </w: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withheld for tax obligation and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settlement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17"/>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under employee stock purchase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3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91,512,140</w:t>
            </w:r>
          </w:p>
        </w:tc>
        <w:tc>
          <w:tcPr>
            <w:tcW w:w="8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570,794</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(391,656)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179,106</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(49,019)</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 restricted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1,263,963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under employee stock purchase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95,742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17"/>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withheld for tax obligation and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settlement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ASC 842 transition effect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3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92,907,351</w:t>
            </w:r>
          </w:p>
        </w:tc>
        <w:tc>
          <w:tcPr>
            <w:tcW w:w="8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586,213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(439,830)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146,360</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(39,238)</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15,804</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 restricted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2,831,801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under employee stock purchase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7"/>
        </w:trPr>
        <w:tc>
          <w:tcPr>
            <w:tcW w:w="29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95,868,421</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602,198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(479,068)</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123,139</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78740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35" w:right="3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(39,238)</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(49,019)</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(38,679)</w:t>
            </w: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long-term liabilities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56"/>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(76,275)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(38,154)</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(65,267)</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27,394</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3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34,963</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commissions and</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discounts</w:t>
            </w:r>
          </w:p>
        </w:tc>
        <w:tc>
          <w:tcPr>
            <w:tcW w:w="13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96,517</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ESPP</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finance lease liabilities</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36"/>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60,368</w:t>
            </w:r>
          </w:p>
        </w:tc>
        <w:tc>
          <w:tcPr>
            <w:tcW w:w="0" w:type="dxa"/>
            <w:vAlign w:val="bottom"/>
          </w:tcPr>
          <w:p>
            <w:pPr>
              <w:spacing w:after="0"/>
              <w:rPr>
                <w:sz w:val="1"/>
                <w:szCs w:val="1"/>
                <w:color w:val="auto"/>
              </w:rPr>
            </w:pPr>
          </w:p>
        </w:tc>
      </w:tr>
      <w:tr>
        <w:trPr>
          <w:trHeight w:val="224"/>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13,591</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the period</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End of the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32,827</w:t>
            </w:r>
          </w:p>
        </w:tc>
        <w:tc>
          <w:tcPr>
            <w:tcW w:w="10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2"/>
                <w:szCs w:val="22"/>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current</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3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32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Equipment acquired under capital lease obligations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00"/>
          </w:cols>
          <w:pgMar w:left="340" w:top="927" w:right="359" w:bottom="604"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604" w:gutter="0" w:footer="0" w:header="0"/>
          <w:type w:val="continuous"/>
        </w:sectPr>
      </w:pPr>
    </w:p>
    <w:bookmarkStart w:id="78" w:name="page79"/>
    <w:bookmarkEnd w:id="7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19"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personal care company dedicated to creating clean- and sustainably-designed products. The Company sells its products through digital and retail sales channels in the following product categories: Diapers and Wipes, Skin and Personal Care, and Household and Wellness.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43"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$0.4 million were recorded in research and development expenses in the accompanying consolidated statements of comprehensive loss upon completion of the IPO.</w:t>
      </w:r>
    </w:p>
    <w:p>
      <w:pPr>
        <w:spacing w:after="0" w:line="209"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In April 2021, the Company's board of directors declared a cash dividend of $35.0 million to the holders of record of its common stock and its redeemable convertible preferred stock as of May 3, 2021, which the Company paid on June 29, 2021.</w:t>
      </w:r>
    </w:p>
    <w:p>
      <w:pPr>
        <w:spacing w:after="0" w:line="203"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 See Note 10 "</w:t>
      </w:r>
      <w:r>
        <w:rPr>
          <w:rFonts w:ascii="Times New Roman" w:cs="Times New Roman" w:eastAsia="Times New Roman" w:hAnsi="Times New Roman"/>
          <w:sz w:val="18"/>
          <w:szCs w:val="18"/>
          <w:i w:val="1"/>
          <w:iCs w:val="1"/>
          <w:color w:val="231F20"/>
        </w:rPr>
        <w:t>Redeemable Convertible Preferred Stock and Stockholders’ Deficit</w:t>
      </w:r>
      <w:r>
        <w:rPr>
          <w:rFonts w:ascii="Times New Roman" w:cs="Times New Roman" w:eastAsia="Times New Roman" w:hAnsi="Times New Roman"/>
          <w:sz w:val="18"/>
          <w:szCs w:val="18"/>
          <w:color w:val="231F20"/>
        </w:rPr>
        <w:t>" for more information on</w:t>
      </w:r>
      <w:r>
        <w:rPr>
          <w:rFonts w:ascii="Times New Roman" w:cs="Times New Roman" w:eastAsia="Times New Roman" w:hAnsi="Times New Roman"/>
          <w:sz w:val="18"/>
          <w:szCs w:val="18"/>
          <w:color w:val="auto"/>
        </w:rPr>
        <w:t xml:space="preserve"> the Company’s redeemable convertible preferred stock as of December 31, 2020.</w:t>
      </w:r>
    </w:p>
    <w:p>
      <w:pPr>
        <w:spacing w:after="0" w:line="210" w:lineRule="exact"/>
        <w:rPr>
          <w:sz w:val="20"/>
          <w:szCs w:val="20"/>
          <w:color w:val="auto"/>
        </w:rPr>
      </w:pPr>
    </w:p>
    <w:p>
      <w:pPr>
        <w:ind w:right="7480" w:firstLine="8"/>
        <w:spacing w:after="0" w:line="518" w:lineRule="auto"/>
        <w:tabs>
          <w:tab w:leader="none" w:pos="31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The consolidated financial statements include the accounts of the Company, and its wholly owned subsidiaries after elimination of intercompany transactions and balances.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43" w:lineRule="exact"/>
        <w:rPr>
          <w:sz w:val="20"/>
          <w:szCs w:val="20"/>
          <w:color w:val="auto"/>
        </w:rPr>
      </w:pPr>
    </w:p>
    <w:p>
      <w:pPr>
        <w:ind w:left="20" w:right="60" w:firstLine="648"/>
        <w:spacing w:after="0"/>
        <w:rPr>
          <w:sz w:val="20"/>
          <w:szCs w:val="20"/>
          <w:color w:val="auto"/>
        </w:rPr>
      </w:pPr>
      <w:r>
        <w:rPr>
          <w:rFonts w:ascii="Times New Roman" w:cs="Times New Roman" w:eastAsia="Times New Roman" w:hAnsi="Times New Roman"/>
          <w:sz w:val="18"/>
          <w:szCs w:val="18"/>
          <w:color w:val="auto"/>
        </w:rPr>
        <w:t>The Company incurs restructuring costs in connection with the exiting of certain products and geographical locations, workforce reductions, and other actions. Such costs include employee termination benefits (one-time arrangements), termination of contractual obligations, non-cash asset charges, including asset impairments, and other direct incremental costs. The Company records employee termination liabilities once they are both probable and estimable for severance provided under the Company’s existing severance policy. Other costs associated with a restructuring initiative, such as consulting and professional fees, product or geographical exit costs, accelerated amortization associated with a restructuring initiative, are recognized in the period in which the liability is incurred. Accrued restructuring costs are recorded within Accrued Expenses in the consolidated balance sheets. Refer to Note 17, "Restructuring" included in these consolidated financial statements for more information on the Company's restructuring initiatives.</w:t>
      </w:r>
    </w:p>
    <w:p>
      <w:pPr>
        <w:sectPr>
          <w:pgSz w:w="11900" w:h="16838" w:orient="portrait"/>
          <w:cols w:equalWidth="0" w:num="1">
            <w:col w:w="11180"/>
          </w:cols>
          <w:pgMar w:left="320" w:top="103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consolidated financial statements and accompanying notes have been retroactively adjusted, where applicable, to reflect the impact of the stock split.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the disclosure of contingent assets and contingent liabilities at the date of the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spacing w:after="0" w:line="21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Company assessed certain accounting matters and estimates that generally require consideration of forecasted information in context with the information reasonably available to the Company as of December 31, 2023 and through the date these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decreased over the past few years. As a result, the Company made a decision to exit certain elements of these products during the quarter ended March 31, 2023. Refer to Note 17, "Restructuring" included in these consolidated financial statements for more information on the Company's restructuring initiatives.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Investments</w:t>
      </w:r>
    </w:p>
    <w:p>
      <w:pPr>
        <w:spacing w:after="0" w:line="22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Investments consist of highly liquid investments in debt securities. Investments comprises commercial paper, certificates of deposit, corporate bonds and U.S. government and agency securities, which are classified as available-for-sale investments. The Company includes its available-for-sale investments in current assets because the securities represent investments of cash available for current operations. Available-for-sale investments are recorded at fair value, which is based on quoted market prices for such securities, if available, or is estimated on the basis of quoted market prices of financial instruments with similar characteristics. Unrealized holding gains and losses are excluded from earnings and are reported as a component of comprehensive loss. Realized gains or losses are recorded in interest and other income (expense), net. As of December 31, 2023, the Company did not hold any investments.</w:t>
      </w:r>
    </w:p>
    <w:p>
      <w:pPr>
        <w:spacing w:after="0" w:line="21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The Company evaluates the potential impairment through review of unrealized losses associated with its investments to determine if the impairment is “temporary” or “other-than-temporary.” A “temporary” unrealized loss is recorded in the accumulated other comprehensive loss component of stockholders’ deficit. Such an unrealized loss does not reduce net income for the applicable accounting period because the loss is not viewed as “other-than-temporary”. If the impairment is determined to be “other-than-temporary” the loss is recorded as an impairment charge in the period any such determination is made. The factors evaluated to differentiate between “temporary” and “other-than-temporary” include the projected future cash flows, credit rating actions, and assessment of the credit quality of the underlying collateral, as well as other factors.</w:t>
      </w:r>
    </w:p>
    <w:p>
      <w:pPr>
        <w:sectPr>
          <w:pgSz w:w="11900" w:h="16838" w:orient="portrait"/>
          <w:cols w:equalWidth="0" w:num="1">
            <w:col w:w="11200"/>
          </w:cols>
          <w:pgMar w:left="320" w:top="10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231F20"/>
        </w:rPr>
        <w:t>Concentrations</w:t>
      </w:r>
    </w:p>
    <w:p>
      <w:pPr>
        <w:spacing w:after="0" w:line="243"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cash equivalents, short-term investments and accounts receivable. The Company places its cash with high credit quality financial institutions, which typically exceed federally insured limits. The Company invests its excess cash primarily in highly rated money market funds and short-term debt instruments, diversifies its investments and, by policy, invests only in highly rated securities to minimize credit risk.</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customers that accounted for 10% or more of total accounts receivable, net, were as follows:</w:t>
      </w:r>
    </w:p>
    <w:p>
      <w:pPr>
        <w:spacing w:after="0" w:line="30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36830</wp:posOffset>
            </wp:positionV>
            <wp:extent cx="3711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5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3"/>
                <w:szCs w:val="23"/>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customers that accounted for 10% or more of total revenue were as follows:</w:t>
      </w: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36830</wp:posOffset>
            </wp:positionV>
            <wp:extent cx="54946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2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254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3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currently buys all of its diapers from one supplier. Additionally, the Company currently buys substantially all of its wipes from one supplier. Management believes that other suppliers could provide similar products on reasonable terms. A change in suppliers, however, could cause a delay in manufacturing and a possible inventory shortage and loss of revenue, which would adversely affect the Company's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right="240" w:firstLine="648"/>
        <w:spacing w:after="0" w:line="245" w:lineRule="auto"/>
        <w:rPr>
          <w:sz w:val="20"/>
          <w:szCs w:val="20"/>
          <w:color w:val="auto"/>
        </w:rPr>
      </w:pPr>
      <w:r>
        <w:rPr>
          <w:rFonts w:ascii="Times New Roman" w:cs="Times New Roman" w:eastAsia="Times New Roman" w:hAnsi="Times New Roman"/>
          <w:sz w:val="18"/>
          <w:szCs w:val="18"/>
          <w:color w:val="auto"/>
        </w:rPr>
        <w:t>Sales made to consumers through the Company’s Honest.com website are conducted with credit cards, and the Company records its credit card sales in transit as accounts receivable at selling price less applicable deductions. The Company also extends credit in the normal course of business to its third-party ecommerce customers and retailers and performs credit evaluations on a case-by-case basis. The Company does not obtain collateral or other security related to its accounts receivable.</w:t>
      </w:r>
    </w:p>
    <w:p>
      <w:pPr>
        <w:spacing w:after="0" w:line="208"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Accounts receivable is presented as net of allowance for credit losses. The Company does not accrue interest on its trade receivables. The Company evaluates accounts receivable estimated to be uncollectible by considering the lifetime expected credit losses of our accounts receivable at time of inception, and records an allowance for credit losses, as necessary, with the balance of our accounts receivable presented at the net realizable value. The Company considers factors in its allowance for credit losses such as historical analysis, credit quality of customers, the age of the accounts receivable balances and macroeconomic conditions that may impact on the Company's customers' ability to pay. The allowance for credit losses was $0.4 million and $0.5 million, respectively, as of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Inventories</w:t>
      </w:r>
    </w:p>
    <w:p>
      <w:pPr>
        <w:spacing w:after="0" w:line="243"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18"/>
          <w:szCs w:val="18"/>
          <w:color w:val="auto"/>
        </w:rPr>
        <w:t>Inventories consist of finished goods and are stated at the lower of cost or estimated net realizable value. Cost is computed based on weighted average historical costs. The Company allocates certain overhead costs to the carrying value of its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Repairs and maintenance costs are expensed as incurred. When assets are retired or otherwise disposed of, the cost and the related accumulated depreciation are removed from the respective accounts and any resulting gain or loss is reflected in the consolidated statements of comprehensive loss. Depreciation and amortization are recorded using the straight-line method over the estimated useful lives of the assets as follows:</w:t>
      </w:r>
    </w:p>
    <w:p>
      <w:pPr>
        <w:sectPr>
          <w:pgSz w:w="11900" w:h="16838" w:orient="portrait"/>
          <w:cols w:equalWidth="0" w:num="1">
            <w:col w:w="11220"/>
          </w:cols>
          <w:pgMar w:left="32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type w:val="continuous"/>
        </w:sectPr>
      </w:pPr>
    </w:p>
    <w:bookmarkStart w:id="81" w:name="page82"/>
    <w:bookmarkEnd w:id="81"/>
    <w:tbl>
      <w:tblPr>
        <w:tblLayout w:type="fixed"/>
        <w:tblInd w:w="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 costs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the estimated useful life or the remaining lease term</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Costs</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Deferred offering costs consisted of costs incurred in connection with the sale of the Company’s common stock in its IPO, including certain legal, accounting, and other IPO-related expenses. Immediately upon the completion of the Company's IPO, deferred offering costs of $5.5 million were reclassified into stockholders’ equity from other assets as a reduction from the proceeds of the offering.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24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7"/>
          <w:szCs w:val="17"/>
          <w:color w:val="auto"/>
        </w:rPr>
        <w:t xml:space="preserve">Effective January 1, 2022, the Company accounts for leases in accordance with Accounting Standards Codification No.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Renewal options that are deemed reasonably certain are included as part of the lease term for purposes of calculating the right-of-use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As most of the Company's leases do not contain an implicit interest rate, the Company uses judgement to determine an incremental borrowing rate to use at lease commencement. Operating lease ROU assets and lease liabilities are recorded on the date the Company takes possession of the leased assets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Capitalized Software and Website Development Costs</w:t>
      </w:r>
    </w:p>
    <w:p>
      <w:pPr>
        <w:spacing w:after="0" w:line="24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 xml:space="preserve">The Company accounts for its internal-use software costs and website development costs in accordance with ASC No. 350-40, </w:t>
      </w:r>
      <w:r>
        <w:rPr>
          <w:rFonts w:ascii="Times New Roman" w:cs="Times New Roman" w:eastAsia="Times New Roman" w:hAnsi="Times New Roman"/>
          <w:sz w:val="18"/>
          <w:szCs w:val="18"/>
          <w:i w:val="1"/>
          <w:iCs w:val="1"/>
          <w:color w:val="auto"/>
        </w:rPr>
        <w:t>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and ASC No. 350-50,</w:t>
      </w:r>
      <w:r>
        <w:rPr>
          <w:rFonts w:ascii="Times New Roman" w:cs="Times New Roman" w:eastAsia="Times New Roman" w:hAnsi="Times New Roman"/>
          <w:sz w:val="18"/>
          <w:szCs w:val="18"/>
          <w:i w:val="1"/>
          <w:iCs w:val="1"/>
          <w:color w:val="auto"/>
        </w:rPr>
        <w:t xml:space="preserve"> Website Development Costs</w:t>
      </w:r>
      <w:r>
        <w:rPr>
          <w:rFonts w:ascii="Times New Roman" w:cs="Times New Roman" w:eastAsia="Times New Roman" w:hAnsi="Times New Roman"/>
          <w:sz w:val="18"/>
          <w:szCs w:val="18"/>
          <w:color w:val="auto"/>
        </w:rPr>
        <w:t>, respectively. The Company capitalizes costs to purchase and develop its websites and internal-use software and amortizes such costs on a straight-line basis over the estimated useful life of the software once it is available for its intended use. Capitalization of internal-use costs begins when the preliminary project stage is completed, management with the relevant authority authorizes and commits to the funding of the project, and it is probable that the project will be completed and will be used to perform the function intended. Capitalization of these costs ceases once the project is substantially complete and the software is ready for its intended purpose. Capitalized internal-use software and website development costs, including purchased software, is recorded in property and equipment, net in the consolidated balance sheets.</w:t>
      </w:r>
    </w:p>
    <w:p>
      <w:pPr>
        <w:spacing w:after="0" w:line="214"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For cloud-computing service arrangements, the Company capitalizes implementation costs consistent with internal-use software costs. Such capitalized costs are included within prepaid expenses and other current assets, for the current portion, and other assets, for the noncurrent portion, in the consolidated balance sheets and are expensed on a straight-line basis over the term of the service arrangement as selling, general and administrative expense. Capitalized implementation costs from cloud computing service arrangements were $1.1 million, net of $2.4 million of accumulated amortization as of December 31, 2023 and $1.0 million, net of $1.8 million of accumulated amortization as of 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Goodwill</w:t>
      </w:r>
    </w:p>
    <w:p>
      <w:pPr>
        <w:spacing w:after="0" w:line="243"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legal factors or in the business climate, an adverse action or assessment by a regulator, unanticipated competition, a loss of key personnel, significant changes in the manner in which the Company uses the acquired assets or the strategy for the Company’s overall business, significant industry or economic trends, or significant underperformance relevant to expected historical or projected future results of operations.</w:t>
      </w:r>
    </w:p>
    <w:p>
      <w:pPr>
        <w:spacing w:after="0" w:line="21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factors indicate that the fair value of the asset is less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2" w:name="page83"/>
    <w:bookmarkEnd w:id="82"/>
    <w:p>
      <w:pPr>
        <w:spacing w:after="0" w:line="260" w:lineRule="auto"/>
        <w:rPr>
          <w:sz w:val="20"/>
          <w:szCs w:val="20"/>
          <w:color w:val="auto"/>
        </w:rPr>
      </w:pPr>
      <w:r>
        <w:rPr>
          <w:rFonts w:ascii="Times New Roman" w:cs="Times New Roman" w:eastAsia="Times New Roman" w:hAnsi="Times New Roman"/>
          <w:sz w:val="17"/>
          <w:szCs w:val="17"/>
          <w:color w:val="auto"/>
        </w:rPr>
        <w:t>than its carrying amount, the Company will perform a quantitative test by determining the fair value of the reporting unit. The estimated fair value of the reporting unit is based on a projected discounted cash flow model that includes significant assumptions and estimates, including discount rate, growth rate, and future financial performance. Valuations of similar public companies may also be evaluated when assessing the fair value of the reporting unit. If the carrying value of the reporting unit exceeds the fair value, then an impairment loss is recognized for the difference. The Company tests goodwill for impairment annually at October 31. The Company performed its annual goodwill impairment test as of October 31, 2023 and no impairment was identified.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Intangible Assets, Net</w:t>
      </w:r>
    </w:p>
    <w:p>
      <w:pPr>
        <w:spacing w:after="0" w:line="243"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Intangible assets consist of tradenames and domain names. Tradenames and domain names are amortized on a straight-line basis, which approximates the pattern in which the economic benefits are consumed, over the estimated useful lives of the assets of 15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Company assesses the carrying value of its long-lived assets, consisting primarily of property and equipment and intangible assets, when there is evidence that events or changes in circumstances indicate that the carrying value of an asset or group of assets may not be recoverable. Such events or changes in circumstances may include a significant decrease in the market price of a long-lived asset, a significant change in the extent or manner in which an asset is used, a significant change in legal factors or in the business climate, a significant deterioration in the amount of revenue or cash flows expected to be generated from a group of assets, a current expectation that, more likely than not a long-lived asset will be sold or otherwise disposed of significantly before the end of its previously estimated useful life, or any other significant adverse change that would indicate that the carrying value of an asset or group of assets may not be recoverable.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21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on deferred tax assets when it is determined that it is more likely than not that some portion or all of the net deferred tax assets will not be realized.</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in income tax expense.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Foreign Currency Transactions</w:t>
      </w:r>
    </w:p>
    <w:p>
      <w:pPr>
        <w:spacing w:after="0" w:line="229"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foreign currency gains or losses in other income, net in the consolidated statements of comprehensive loss, related to transactions denominated in currencies other than the U.S. dollar. During the years ended December 31, 2023, 2022 and 2021, realized and unrealized foreign currency losses, net were immaterial, $0.2 million and $0.1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Liabilities</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If a potential loss contingency is considered probable, and the amount can be reasonably estimated, the Company accrues a liability for an estimated loss. If the reasonable estimate of the loss is a range and no amount within the range is a better estimate, the minimum amount of the range is recorded as a liability.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are expensed as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2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employees and non-employees based on the grant-date fair value of stock award over the applicable service period. For awards that vest based on continued service, stock-based</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83" w:name="page84"/>
    <w:bookmarkEnd w:id="83"/>
    <w:p>
      <w:pPr>
        <w:ind w:right="20"/>
        <w:spacing w:after="0" w:line="242" w:lineRule="auto"/>
        <w:rPr>
          <w:sz w:val="20"/>
          <w:szCs w:val="20"/>
          <w:color w:val="auto"/>
        </w:rPr>
      </w:pPr>
      <w:r>
        <w:rPr>
          <w:rFonts w:ascii="Times New Roman" w:cs="Times New Roman" w:eastAsia="Times New Roman" w:hAnsi="Times New Roman"/>
          <w:sz w:val="18"/>
          <w:szCs w:val="18"/>
          <w:color w:val="auto"/>
        </w:rPr>
        <w:t>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restricted stock awards that contain service vesting conditions is estimated based on the fair value of the underlying shares on the grant date, with a cumulative adjustment for the portion of the service period that occurred for the period prior to the performance condition becoming probable of being achieved.</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For awards that contain service, performance or a combination of both vesting conditions, the grant date fair value of restricted stock award is estimated based on the fair value of the underlying shares on grant date while the Black-Scholes option-pricing model is used to estimate the grant date fair value of stock option awards.</w:t>
      </w:r>
    </w:p>
    <w:p>
      <w:pPr>
        <w:spacing w:after="0" w:line="211"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For stock option awards that contain service, performance and market vesting conditions, where the performance condition is an initial public offering or a change in control event, performance condition is not probable of being achieved for accounting purposes until the event occurs. Thereafter, stock-based compensation expense is recognized when the event occurs even if the market condition was not or is not achieved, provided the employee continues to satisfy the service condition.</w:t>
      </w:r>
    </w:p>
    <w:p>
      <w:pPr>
        <w:spacing w:after="0" w:line="208"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Monte Carlo simulation model is used to estimate the fair value of stock options that have market vesting conditions. Determining the fair value of stock option awards requires judgment and the assumptions used in the option-pricing models require the input of subjective assumptions which are as follows:</w:t>
      </w:r>
    </w:p>
    <w:p>
      <w:pPr>
        <w:spacing w:after="0" w:line="202" w:lineRule="exact"/>
        <w:rPr>
          <w:sz w:val="20"/>
          <w:szCs w:val="20"/>
          <w:color w:val="auto"/>
        </w:rPr>
      </w:pPr>
    </w:p>
    <w:p>
      <w:pPr>
        <w:ind w:right="160" w:firstLine="656"/>
        <w:spacing w:after="0" w:line="238" w:lineRule="auto"/>
        <w:tabs>
          <w:tab w:leader="none" w:pos="7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w:t>
      </w:r>
      <w:r>
        <w:rPr>
          <w:rFonts w:ascii="Times New Roman" w:cs="Times New Roman" w:eastAsia="Times New Roman" w:hAnsi="Times New Roman"/>
          <w:sz w:val="18"/>
          <w:szCs w:val="18"/>
          <w:color w:val="auto"/>
        </w:rPr>
        <w:t>- Prior to the Company's IPO, the fair value of the common stock underlying the Company’s stock-based awards was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(the “Board”). The Company’s Board determined the common stock fair value at the stock option grant date by considering several objective and subjective factors, including the price paid for its common and preferred stock, actual and forecasted operating and financial performance, market conditions and performance of comparable publicly traded companies, developments and milestones within the Company, the rights, preferences, and privileges of its common and preferred stock, and the likelihood of achieving a liquidity event. Subsequent to the Company's IPO, the fair value of the Company's common stock is determined based on the closing stock price on the date of grant.</w:t>
      </w:r>
    </w:p>
    <w:p>
      <w:pPr>
        <w:spacing w:after="0" w:line="212" w:lineRule="exact"/>
        <w:rPr>
          <w:rFonts w:ascii="Times New Roman" w:cs="Times New Roman" w:eastAsia="Times New Roman" w:hAnsi="Times New Roman"/>
          <w:sz w:val="18"/>
          <w:szCs w:val="18"/>
          <w:color w:val="auto"/>
        </w:rPr>
      </w:pPr>
    </w:p>
    <w:p>
      <w:pPr>
        <w:ind w:firstLine="656"/>
        <w:spacing w:after="0" w:line="268" w:lineRule="auto"/>
        <w:tabs>
          <w:tab w:leader="none" w:pos="7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based on historical volatilities of a publicly traded peer group based on weekly price observations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equivalent to the expected term of the stock option grants.</w:t>
      </w:r>
    </w:p>
    <w:p>
      <w:pPr>
        <w:spacing w:after="0" w:line="185" w:lineRule="exact"/>
        <w:rPr>
          <w:rFonts w:ascii="Times New Roman" w:cs="Times New Roman" w:eastAsia="Times New Roman" w:hAnsi="Times New Roman"/>
          <w:sz w:val="18"/>
          <w:szCs w:val="18"/>
          <w:color w:val="auto"/>
        </w:rPr>
      </w:pPr>
    </w:p>
    <w:p>
      <w:pPr>
        <w:ind w:right="280" w:firstLine="656"/>
        <w:spacing w:after="0" w:line="246" w:lineRule="auto"/>
        <w:tabs>
          <w:tab w:leader="none" w:pos="7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For stock options with only service vesting conditions the expected term is determined using the simplified method,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expected term using the contractual life of the option and the vesting period. For stock options with performance or market conditions, the term is estimated in consideration of the time period expected to achieve the performance or market condition, the contractual term of the award, and estimates of future exercise behavior.</w:t>
      </w:r>
    </w:p>
    <w:p>
      <w:pPr>
        <w:spacing w:after="0" w:line="204" w:lineRule="exact"/>
        <w:rPr>
          <w:rFonts w:ascii="Times New Roman" w:cs="Times New Roman" w:eastAsia="Times New Roman" w:hAnsi="Times New Roman"/>
          <w:sz w:val="18"/>
          <w:szCs w:val="18"/>
          <w:color w:val="auto"/>
        </w:rPr>
      </w:pPr>
    </w:p>
    <w:p>
      <w:pPr>
        <w:ind w:right="340" w:firstLine="656"/>
        <w:spacing w:after="0" w:line="268" w:lineRule="auto"/>
        <w:tabs>
          <w:tab w:leader="none" w:pos="7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of treasury bonds with a maturity that approximates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options.</w:t>
      </w:r>
    </w:p>
    <w:p>
      <w:pPr>
        <w:spacing w:after="0" w:line="185" w:lineRule="exact"/>
        <w:rPr>
          <w:rFonts w:ascii="Times New Roman" w:cs="Times New Roman" w:eastAsia="Times New Roman" w:hAnsi="Times New Roman"/>
          <w:sz w:val="18"/>
          <w:szCs w:val="18"/>
          <w:color w:val="auto"/>
        </w:rPr>
      </w:pPr>
    </w:p>
    <w:p>
      <w:pPr>
        <w:ind w:right="440" w:firstLine="656"/>
        <w:spacing w:after="0" w:line="298" w:lineRule="auto"/>
        <w:tabs>
          <w:tab w:leader="none" w:pos="75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dividend yield is based on the Company’s current expectations of dividend payouts. The Company has never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declared or paid any cash dividends on its common stock, and the Company does not anticipate paying any cash dividends in the foreseeable future.</w:t>
      </w:r>
    </w:p>
    <w:p>
      <w:pPr>
        <w:spacing w:after="0" w:line="165" w:lineRule="exact"/>
        <w:rPr>
          <w:sz w:val="20"/>
          <w:szCs w:val="20"/>
          <w:color w:val="auto"/>
        </w:rPr>
      </w:pPr>
    </w:p>
    <w:p>
      <w:pPr>
        <w:jc w:val="both"/>
        <w:ind w:right="200" w:firstLine="648"/>
        <w:spacing w:after="0" w:line="242" w:lineRule="auto"/>
        <w:rPr>
          <w:sz w:val="20"/>
          <w:szCs w:val="20"/>
          <w:color w:val="auto"/>
        </w:rPr>
      </w:pPr>
      <w:r>
        <w:rPr>
          <w:rFonts w:ascii="Times New Roman" w:cs="Times New Roman" w:eastAsia="Times New Roman" w:hAnsi="Times New Roman"/>
          <w:sz w:val="18"/>
          <w:szCs w:val="18"/>
          <w:color w:val="auto"/>
        </w:rPr>
        <w:t>The determination of stock-based compensation cost is inherently uncertain and subjective and involves the application of valuation models and assumptions requiring the use of judgment. If the Company had made different assumptions, its stock-based compensation expense and its net loss could have been significantly different.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shares are issued from authorized shares of common stock upon the exercise of stock options.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43"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6" w:lineRule="exact"/>
        <w:rPr>
          <w:sz w:val="20"/>
          <w:szCs w:val="20"/>
          <w:color w:val="auto"/>
        </w:rPr>
      </w:pPr>
    </w:p>
    <w:p>
      <w:pPr>
        <w:jc w:val="both"/>
        <w:ind w:left="740" w:hanging="728"/>
        <w:spacing w:after="0" w:line="234"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2" w:lineRule="exact"/>
        <w:rPr>
          <w:sz w:val="20"/>
          <w:szCs w:val="20"/>
          <w:color w:val="auto"/>
        </w:rPr>
      </w:pPr>
    </w:p>
    <w:p>
      <w:pPr>
        <w:ind w:left="740" w:right="40" w:hanging="728"/>
        <w:spacing w:after="0" w:line="234"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84" w:name="page85"/>
    <w:bookmarkEnd w:id="84"/>
    <w:p>
      <w:pPr>
        <w:ind w:right="100" w:firstLine="648"/>
        <w:spacing w:after="0"/>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sells its products through digital and retail sales channels in the following product categories: Diapers and Wipes, Skin and Personal Care, and Household and Wellness. The digital sales channel includes direct-to-consumer sales through the Company’s website and sales to third-party ecommerce customers, who resell the Company’s products through their own online platforms. The retail sales channel includes sales to traditional brick and mortar retailers, who may also resell the Company’s products through their own online platforms.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Company accounts for revenue contracts with customers by applying the following steps in accordance with ASC No. 606, </w:t>
      </w:r>
      <w:r>
        <w:rPr>
          <w:rFonts w:ascii="Times New Roman" w:cs="Times New Roman" w:eastAsia="Times New Roman" w:hAnsi="Times New Roman"/>
          <w:sz w:val="18"/>
          <w:szCs w:val="18"/>
          <w:i w:val="1"/>
          <w:iCs w:val="1"/>
          <w:color w:val="231F20"/>
        </w:rPr>
        <w:t>Revenue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Contracts with Customers</w:t>
      </w:r>
      <w:r>
        <w:rPr>
          <w:rFonts w:ascii="Times New Roman" w:cs="Times New Roman" w:eastAsia="Times New Roman" w:hAnsi="Times New Roman"/>
          <w:sz w:val="18"/>
          <w:szCs w:val="18"/>
          <w:color w:val="231F20"/>
        </w:rPr>
        <w:t>:</w:t>
      </w:r>
    </w:p>
    <w:p>
      <w:pPr>
        <w:spacing w:after="0" w:line="259" w:lineRule="exact"/>
        <w:rPr>
          <w:sz w:val="20"/>
          <w:szCs w:val="20"/>
          <w:color w:val="auto"/>
        </w:rPr>
      </w:pPr>
    </w:p>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contract, or contracts, with a customer</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performance obligations in the contract</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Determination of the transaction price</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36"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Recognition of revenue when, or as, the Company satisfies a performance obligation</w:t>
      </w:r>
    </w:p>
    <w:p>
      <w:pPr>
        <w:spacing w:after="0" w:line="239"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The Company elected as an accounting policy to record all shipping and handling costs as fulfillment costs. The Company accrues the cost of shipping and handling and recognizes revenue and costs at the point in time that control of the goods transfers to the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Direct-to-Consumer</w:t>
      </w:r>
    </w:p>
    <w:p>
      <w:pPr>
        <w:spacing w:after="0" w:line="241"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18"/>
          <w:szCs w:val="18"/>
          <w:color w:val="auto"/>
        </w:rPr>
        <w:t>For direct sales to the consumer through the Company’s website,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21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Consumers may purchase gift cards, which are recorded as deferred revenue at the time of purchase. The Company recognizes revenue when these gift cards are redeemed for products and the revenue recognition criteria as described above have been met. For the years ended December 31, 2023, 2022 and 2021, revenue recognized from the use of gift cards was $0.6 million, $0.8 million and $0.9 million, respectively. As of December 31, 2023 and 2022, deferred revenue related to gift card purchases was $1.0 million and $0.8 million,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Retail and Third-Party Ecommerce</w:t>
      </w:r>
    </w:p>
    <w:p>
      <w:pPr>
        <w:spacing w:after="0" w:line="22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Sales Returns and Allowances</w:t>
      </w:r>
    </w:p>
    <w:p>
      <w:pPr>
        <w:spacing w:after="0" w:line="241"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the Company records estimated sales returns in the same period that the related revenue is recorded. The Company uses the expected value method to estimate returns, taking into consideration assumptions of demand based on historical data and historical returns rates. When estimating returns, the Company also considers future business initiatives and relevant anticipated future events. Estimated sales returns and ultimate losses may</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85" w:name="page86"/>
    <w:bookmarkEnd w:id="85"/>
    <w:p>
      <w:pPr>
        <w:ind w:right="120"/>
        <w:spacing w:after="0" w:line="266" w:lineRule="auto"/>
        <w:rPr>
          <w:sz w:val="20"/>
          <w:szCs w:val="20"/>
          <w:color w:val="auto"/>
        </w:rPr>
      </w:pPr>
      <w:r>
        <w:rPr>
          <w:rFonts w:ascii="Times New Roman" w:cs="Times New Roman" w:eastAsia="Times New Roman" w:hAnsi="Times New Roman"/>
          <w:sz w:val="18"/>
          <w:szCs w:val="18"/>
          <w:color w:val="auto"/>
        </w:rPr>
        <w:t>vary from actual results, which could be material to the consolidated financial statements. The estimated sales returns allowance is recorded as a reduction of revenue.</w:t>
      </w:r>
    </w:p>
    <w:p>
      <w:pPr>
        <w:spacing w:after="0" w:line="189"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the Company offers credits in the form of discounts, which are recorded as reductions in revenue and are allocated to products on a relative basis based on their respective standalone selling price.</w:t>
      </w:r>
    </w:p>
    <w:p>
      <w:pPr>
        <w:spacing w:after="0" w:line="18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For retail and third-party ecommerce sales, the Company routinely commits to one-time or ongoing sales incentive programs with its customers that may require the Company to estimate and accrue the expected costs of such programs, including trade promotion activities and contractual allowances. The Company records these programs as a reduction to revenue unless it receives a distinct benefit in exchange for credits claimed by the customer and can reasonably estimate the fair value of the benefit received, in which case the Company records it as a marketing expense. The Company recognizes a liability or a reduction to accounts receivable, and reduces revenue based on the estimated amount of credits that will be claimed by customers. An allowance is recorded as a reduction to accounts receivable if the customer can deduct the program amount from outstanding invoices.</w:t>
      </w:r>
    </w:p>
    <w:p>
      <w:pPr>
        <w:spacing w:after="0" w:line="21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Estimates for these sales incentive programs are developed using the most likely amount and are included in the transaction price to the extent that a significant reversal of revenue would not result once the uncertainty is resolved. In developing its estimate, the Company uses historical analysis and contractual rates in determining the accruals for these activities. The Company also considers the susceptibility of the incentive to outside influences, the length of time until the uncertainty is resolved and the Company’s experience with similar contracts. Judgment is required to determine the timing and amount of recognition of sales incentive program accruals which the Company estimates based on past practice with similar arrangements.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sales incentive programs for retail and third-party ecommerce customers: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revenue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marketing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Utilization of accrual for trade promotions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(65,153)</w:t>
            </w:r>
          </w:p>
        </w:tc>
        <w:tc>
          <w:tcPr>
            <w:tcW w:w="0" w:type="dxa"/>
            <w:vAlign w:val="bottom"/>
          </w:tcPr>
          <w:p>
            <w:pPr>
              <w:spacing w:after="0"/>
              <w:rPr>
                <w:sz w:val="1"/>
                <w:szCs w:val="1"/>
                <w:color w:val="auto"/>
              </w:rPr>
            </w:pPr>
          </w:p>
        </w:tc>
      </w:tr>
      <w:tr>
        <w:trPr>
          <w:trHeight w:val="27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to prepaid expenses and other current assets/accrued expenses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2023 and 2022</w:t>
      </w:r>
      <w:r>
        <w:rPr>
          <w:rFonts w:ascii="Times New Roman" w:cs="Times New Roman" w:eastAsia="Times New Roman" w:hAnsi="Times New Roman"/>
          <w:sz w:val="18"/>
          <w:szCs w:val="18"/>
          <w:color w:val="auto"/>
        </w:rPr>
        <w:t>, $6.8 million and $5.8 million, respectively, of the ending allowance balances were recorded as a reduction to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assets related to incremental costs to obtain or fulfill customer contracts.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43"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allocated overhead and direct and indirect labor for warehouse personnel.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4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Marketing expenses includes costs related to the Company’s branding initiatives, retail customer marketing activities, point of purchase displays, targeted online advertising through sponsored search, display advertising, email marketing campaigns, market research, content production and other public relations and promotional initiatives.</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86" w:name="page87"/>
    <w:bookmarkEnd w:id="86"/>
    <w:p>
      <w:pPr>
        <w:ind w:right="120" w:firstLine="648"/>
        <w:spacing w:after="0"/>
        <w:rPr>
          <w:sz w:val="20"/>
          <w:szCs w:val="20"/>
          <w:color w:val="auto"/>
        </w:rPr>
      </w:pPr>
      <w:r>
        <w:rPr>
          <w:rFonts w:ascii="Times New Roman" w:cs="Times New Roman" w:eastAsia="Times New Roman" w:hAnsi="Times New Roman"/>
          <w:sz w:val="18"/>
          <w:szCs w:val="18"/>
          <w:color w:val="auto"/>
        </w:rPr>
        <w:t xml:space="preserve">Advertising costs are expensed as incurred. Media production costs are expensed the first time the advertisement is aired. Deferred advertising costs consist mainly of point of purchase displays that are specifically branded for the Company’s products and provided to retailers in order to facilitate the marketing of the Company’s products within retail stores. The point of purchase display costs are capitalized as deferred advertising costs and charged to marketing expense over the expected period of benefit, which generally ranges from one to three years. As of </w:t>
      </w:r>
      <w:r>
        <w:rPr>
          <w:rFonts w:ascii="Times New Roman" w:cs="Times New Roman" w:eastAsia="Times New Roman" w:hAnsi="Times New Roman"/>
          <w:sz w:val="18"/>
          <w:szCs w:val="18"/>
          <w:color w:val="231F20"/>
        </w:rPr>
        <w:t>December 31, 2023 and 2022</w:t>
      </w:r>
      <w:r>
        <w:rPr>
          <w:rFonts w:ascii="Times New Roman" w:cs="Times New Roman" w:eastAsia="Times New Roman" w:hAnsi="Times New Roman"/>
          <w:sz w:val="18"/>
          <w:szCs w:val="18"/>
          <w:color w:val="auto"/>
        </w:rPr>
        <w:t xml:space="preserve">, the current portion of deferred advertising costs was $0.4 million and $1.6 million, respectively, which is included in prepaid expenses and other current assets. As of </w:t>
      </w:r>
      <w:r>
        <w:rPr>
          <w:rFonts w:ascii="Times New Roman" w:cs="Times New Roman" w:eastAsia="Times New Roman" w:hAnsi="Times New Roman"/>
          <w:sz w:val="18"/>
          <w:szCs w:val="18"/>
          <w:color w:val="231F20"/>
        </w:rPr>
        <w:t>December 31, 2023 and 2022</w:t>
      </w:r>
      <w:r>
        <w:rPr>
          <w:rFonts w:ascii="Times New Roman" w:cs="Times New Roman" w:eastAsia="Times New Roman" w:hAnsi="Times New Roman"/>
          <w:sz w:val="18"/>
          <w:szCs w:val="18"/>
          <w:color w:val="000000"/>
        </w:rPr>
        <w:t>, the noncurrent portion of deferred advertising costs was immaterial, respectively, which is included in other assets.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Advertising expense was $33.8 million, $44.8 million and $49.2 million for the years ended </w:t>
      </w:r>
      <w:r>
        <w:rPr>
          <w:rFonts w:ascii="Times New Roman" w:cs="Times New Roman" w:eastAsia="Times New Roman" w:hAnsi="Times New Roman"/>
          <w:sz w:val="18"/>
          <w:szCs w:val="18"/>
          <w:color w:val="231F20"/>
        </w:rPr>
        <w:t>December 31, 2023,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relate to costs incurred for the development of new products, improvement in the quality of existing products and the development and implementation of new technologies to enhance the quality and value of products. Research and development expenses consist primarily of personnel-related expenses, including salaries, bonuses, benefits and stock-based compensation expense. Research and development expenses also include allocated depreciation and amortization and overhead costs. The Company expenses research and development costs in the period they are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3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 Board ("FASB") issued Accounting Standard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Credit Losses (Topic 326): Measurement of Credit Losses on Financial Instruments</w:t>
      </w:r>
      <w:r>
        <w:rPr>
          <w:rFonts w:ascii="Times New Roman" w:cs="Times New Roman" w:eastAsia="Times New Roman" w:hAnsi="Times New Roman"/>
          <w:sz w:val="18"/>
          <w:szCs w:val="18"/>
          <w:color w:val="auto"/>
        </w:rPr>
        <w:t>, to amend the accounting for credit losses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This guidance replaces the incurred loss impairment methodology 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Effective January 1, 2023, the Company adopted this standard, which did not have a material impact on the Company’s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3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that a public entity discloses,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The amendments in this ASU are effective for fiscal years beginning after December 15, 2023, and interim periods within fiscal years beginning after December 15, 2024. Retrospective application is required for all prior periods presented, and early adoption is permitted. The Company does not expect the adoption of ASU No. 2023-07 to have a material impact on the Company’s consolidated financial statements or disclosures.</w:t>
      </w:r>
    </w:p>
    <w:p>
      <w:pPr>
        <w:spacing w:after="0" w:line="22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w:t>
      </w:r>
      <w:r>
        <w:rPr>
          <w:rFonts w:ascii="Times New Roman" w:cs="Times New Roman" w:eastAsia="Times New Roman" w:hAnsi="Times New Roman"/>
          <w:sz w:val="18"/>
          <w:szCs w:val="18"/>
          <w:i w:val="1"/>
          <w:iCs w:val="1"/>
          <w:color w:val="auto"/>
        </w:rPr>
        <w:t>ncome Taxes: Improvements to Income Tax Disclosures</w:t>
      </w:r>
      <w:r>
        <w:rPr>
          <w:rFonts w:ascii="Times New Roman" w:cs="Times New Roman" w:eastAsia="Times New Roman" w:hAnsi="Times New Roman"/>
          <w:sz w:val="18"/>
          <w:szCs w:val="18"/>
          <w:color w:val="auto"/>
        </w:rPr>
        <w:t>. This guidance requires consistent categories and greater disaggregation of information in the rate reconciliation and disclosures of income taxes paid by jurisdiction. For public business entities, the amendments in this update are effective for annual periods beginning after December 15, 2024. The Company does not expect the adoption of ASU No. 2023-09 to have a material impact on the Company’s consolidated financial statements or disclosures.</w:t>
      </w:r>
    </w:p>
    <w:p>
      <w:pPr>
        <w:sectPr>
          <w:pgSz w:w="11900" w:h="16838" w:orient="portrait"/>
          <w:cols w:equalWidth="0" w:num="1">
            <w:col w:w="11220"/>
          </w:cols>
          <w:pgMar w:left="32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333333"/>
              </w:rPr>
              <w:t>3.</w:t>
            </w:r>
          </w:p>
        </w:tc>
        <w:tc>
          <w:tcPr>
            <w:tcW w:w="4560" w:type="dxa"/>
            <w:vAlign w:val="bottom"/>
          </w:tcPr>
          <w:p>
            <w:pPr>
              <w:jc w:val="center"/>
              <w:ind w:right="3690"/>
              <w:spacing w:after="0"/>
              <w:rPr>
                <w:sz w:val="20"/>
                <w:szCs w:val="20"/>
                <w:color w:val="auto"/>
              </w:rPr>
            </w:pPr>
            <w:r>
              <w:rPr>
                <w:rFonts w:ascii="Times New Roman" w:cs="Times New Roman" w:eastAsia="Times New Roman" w:hAnsi="Times New Roman"/>
                <w:sz w:val="18"/>
                <w:szCs w:val="18"/>
                <w:b w:val="1"/>
                <w:bCs w:val="1"/>
                <w:color w:val="333333"/>
                <w:w w:val="99"/>
              </w:rPr>
              <w:t>Revenue</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60" w:type="dxa"/>
            <w:vAlign w:val="bottom"/>
            <w:gridSpan w:val="2"/>
          </w:tcPr>
          <w:p>
            <w:pPr>
              <w:jc w:val="center"/>
              <w:ind w:right="309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by sales channel:</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32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4560" w:type="dxa"/>
            <w:vAlign w:val="bottom"/>
          </w:tcPr>
          <w:p>
            <w:pPr>
              <w:spacing w:after="0"/>
              <w:rPr>
                <w:sz w:val="23"/>
                <w:szCs w:val="23"/>
                <w:color w:val="auto"/>
              </w:rPr>
            </w:pPr>
          </w:p>
        </w:tc>
        <w:tc>
          <w:tcPr>
            <w:tcW w:w="13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169,015</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141,403</w:t>
            </w:r>
          </w:p>
        </w:tc>
        <w:tc>
          <w:tcPr>
            <w:tcW w:w="40" w:type="dxa"/>
            <w:vAlign w:val="bottom"/>
          </w:tcPr>
          <w:p>
            <w:pPr>
              <w:spacing w:after="0"/>
              <w:rPr>
                <w:sz w:val="23"/>
                <w:szCs w:val="23"/>
                <w:color w:val="auto"/>
              </w:rPr>
            </w:pPr>
          </w:p>
        </w:tc>
        <w:tc>
          <w:tcPr>
            <w:tcW w:w="5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175,350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172,248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344,365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313,651</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by product category:</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Diapers and Wipes</w:t>
            </w:r>
          </w:p>
        </w:tc>
        <w:tc>
          <w:tcPr>
            <w:tcW w:w="130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218,263</w:t>
            </w:r>
          </w:p>
        </w:tc>
        <w:tc>
          <w:tcPr>
            <w:tcW w:w="100" w:type="dxa"/>
            <w:vAlign w:val="bottom"/>
          </w:tcPr>
          <w:p>
            <w:pPr>
              <w:spacing w:after="0"/>
              <w:rPr>
                <w:sz w:val="23"/>
                <w:szCs w:val="23"/>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200,429</w:t>
            </w:r>
          </w:p>
        </w:tc>
        <w:tc>
          <w:tcPr>
            <w:tcW w:w="40" w:type="dxa"/>
            <w:vAlign w:val="bottom"/>
          </w:tcPr>
          <w:p>
            <w:pPr>
              <w:spacing w:after="0"/>
              <w:rPr>
                <w:sz w:val="23"/>
                <w:szCs w:val="23"/>
                <w:color w:val="auto"/>
              </w:rPr>
            </w:pPr>
          </w:p>
        </w:tc>
        <w:tc>
          <w:tcPr>
            <w:tcW w:w="5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Skin and Personal Care</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88,104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89,316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Household and Wellness</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37,998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23,906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344,365</w:t>
            </w:r>
          </w:p>
        </w:tc>
        <w:tc>
          <w:tcPr>
            <w:tcW w:w="100" w:type="dxa"/>
            <w:vAlign w:val="bottom"/>
          </w:tcPr>
          <w:p>
            <w:pPr>
              <w:spacing w:after="0"/>
              <w:rPr>
                <w:sz w:val="22"/>
                <w:szCs w:val="22"/>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40" w:type="dxa"/>
            <w:vAlign w:val="bottom"/>
          </w:tcPr>
          <w:p>
            <w:pPr>
              <w:spacing w:after="0"/>
              <w:rPr>
                <w:sz w:val="22"/>
                <w:szCs w:val="22"/>
                <w:color w:val="auto"/>
              </w:rPr>
            </w:pPr>
          </w:p>
        </w:tc>
        <w:tc>
          <w:tcPr>
            <w:tcW w:w="5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Non-Monetary Transactions</w:t>
      </w:r>
    </w:p>
    <w:p>
      <w:pPr>
        <w:spacing w:after="0" w:line="24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consolidated balance sheets. The Company may use the marketing and transportation credits over four years from the date of the respective agreement, with an option to extend for another two years if agreed upon by both parties. For the year ended December 31, 2023, the Company did not enter into any new trade agreements.</w:t>
      </w:r>
    </w:p>
    <w:p>
      <w:pPr>
        <w:spacing w:after="0" w:line="211"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$0.0 million, $3.2 million and $4.2 million, respectively, of revenue and $0.0 million, $1.7 million and $2.2 million, respectively, of associated cost of revenue based on the timing of delivery of goods,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For the years ended December 31, 2023, 2022 and 2021, the Company recorded no impairment losses related to these credits and used an aggregate of $0.3 million, $1.4 million and $0.4 million, respectively, of credits.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4.  Intangible Assets, Net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Intangible assets consisted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238"/>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0"/>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Domain names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88" w:name="page89"/>
    <w:bookmarkEnd w:id="88"/>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0" w:type="dxa"/>
            <w:vAlign w:val="bottom"/>
          </w:tcPr>
          <w:p>
            <w:pPr>
              <w:spacing w:after="0"/>
              <w:rPr>
                <w:sz w:val="1"/>
                <w:szCs w:val="1"/>
                <w:color w:val="auto"/>
              </w:rPr>
            </w:pPr>
          </w:p>
        </w:tc>
      </w:tr>
      <w:tr>
        <w:trPr>
          <w:trHeight w:val="27"/>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231F20"/>
        </w:rPr>
        <w:t>As of December 31, 2023 and 2022, the weighted average remaining useful lives for tradenames and domain names was 5.7 years and 3.9 years, respectively, and 6.2 years and 4.8 years, respectively.</w:t>
      </w:r>
    </w:p>
    <w:p>
      <w:pPr>
        <w:spacing w:after="0" w:line="162" w:lineRule="exact"/>
        <w:rPr>
          <w:sz w:val="20"/>
          <w:szCs w:val="20"/>
          <w:color w:val="auto"/>
        </w:rPr>
      </w:pPr>
    </w:p>
    <w:p>
      <w:pPr>
        <w:ind w:right="900" w:firstLine="648"/>
        <w:spacing w:after="0" w:line="250" w:lineRule="auto"/>
        <w:rPr>
          <w:sz w:val="20"/>
          <w:szCs w:val="20"/>
          <w:color w:val="auto"/>
        </w:rPr>
      </w:pPr>
      <w:r>
        <w:rPr>
          <w:rFonts w:ascii="Times New Roman" w:cs="Times New Roman" w:eastAsia="Times New Roman" w:hAnsi="Times New Roman"/>
          <w:sz w:val="18"/>
          <w:szCs w:val="18"/>
          <w:color w:val="231F20"/>
        </w:rPr>
        <w:t>Amortization expense was $0.1 million for each of the years ended December 31, 2023, 2022 and 2021, respectively. Estimated future amortization expense for each of the following five years ending December 31 and thereafter is as follows:</w:t>
      </w:r>
    </w:p>
    <w:p>
      <w:pPr>
        <w:sectPr>
          <w:pgSz w:w="11900" w:h="16950" w:orient="portrait"/>
          <w:cols w:equalWidth="0" w:num="1">
            <w:col w:w="11220"/>
          </w:cols>
          <w:pgMar w:left="320" w:top="1089" w:right="359" w:bottom="0" w:gutter="0" w:footer="0" w:header="0"/>
        </w:sectPr>
      </w:pPr>
    </w:p>
    <w:p>
      <w:pPr>
        <w:spacing w:after="0" w:line="2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231F20"/>
        </w:rPr>
        <w:t>(in thousands)</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2024</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2025</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2026</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2027</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2028</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Thereafter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hanging="316"/>
        <w:spacing w:after="0"/>
        <w:tabs>
          <w:tab w:leader="none" w:pos="360" w:val="left"/>
        </w:tabs>
        <w:numPr>
          <w:ilvl w:val="0"/>
          <w:numId w:val="3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Property and Equipment, Net</w:t>
      </w:r>
    </w:p>
    <w:p>
      <w:pPr>
        <w:spacing w:after="0" w:line="229" w:lineRule="exact"/>
        <w:rPr>
          <w:sz w:val="20"/>
          <w:szCs w:val="20"/>
          <w:color w:val="auto"/>
        </w:rPr>
      </w:pPr>
    </w:p>
    <w:p>
      <w:pPr>
        <w:jc w:val="right"/>
        <w:ind w:right="3540"/>
        <w:spacing w:after="0"/>
        <w:rPr>
          <w:sz w:val="20"/>
          <w:szCs w:val="20"/>
          <w:color w:val="auto"/>
        </w:rPr>
      </w:pPr>
      <w:r>
        <w:rPr>
          <w:rFonts w:ascii="Times New Roman" w:cs="Times New Roman" w:eastAsia="Times New Roman" w:hAnsi="Times New Roman"/>
          <w:sz w:val="18"/>
          <w:szCs w:val="18"/>
          <w:color w:val="231F20"/>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Machinery and equipment</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Computer and office equipment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Capitalized software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Furniture and fixtures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Subtotal</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Accumulated depreciation and amortization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880" w:hanging="832"/>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694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57" w:lineRule="exact"/>
        <w:rPr>
          <w:sz w:val="20"/>
          <w:szCs w:val="20"/>
          <w:color w:val="auto"/>
        </w:rPr>
      </w:pPr>
    </w:p>
    <w:p>
      <w:pPr>
        <w:ind w:left="780" w:hanging="732"/>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694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60325</wp:posOffset>
            </wp:positionV>
            <wp:extent cx="694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231F20"/>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wp:posOffset>
            </wp:positionV>
            <wp:extent cx="1654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wp:posOffset>
            </wp:positionV>
            <wp:extent cx="1654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17" w:lineRule="exact"/>
        <w:rPr>
          <w:sz w:val="20"/>
          <w:szCs w:val="20"/>
          <w:color w:val="auto"/>
        </w:rPr>
      </w:pPr>
    </w:p>
    <w:p>
      <w:pPr>
        <w:spacing w:after="0"/>
        <w:tabs>
          <w:tab w:leader="none" w:pos="660" w:val="left"/>
          <w:tab w:leader="none" w:pos="134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13,850</w:t>
        <w:tab/>
        <w:t>$</w:t>
      </w:r>
      <w:r>
        <w:rPr>
          <w:sz w:val="20"/>
          <w:szCs w:val="20"/>
          <w:color w:val="auto"/>
        </w:rPr>
        <w:tab/>
      </w:r>
      <w:r>
        <w:rPr>
          <w:rFonts w:ascii="Times New Roman" w:cs="Times New Roman" w:eastAsia="Times New Roman" w:hAnsi="Times New Roman"/>
          <w:sz w:val="17"/>
          <w:szCs w:val="17"/>
          <w:color w:val="auto"/>
        </w:rPr>
        <w:t>12,198</w:t>
      </w:r>
    </w:p>
    <w:p>
      <w:pPr>
        <w:spacing w:after="0" w:line="63"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8"/>
          <w:szCs w:val="18"/>
          <w:color w:val="auto"/>
        </w:rPr>
        <w:t>1,700</w:t>
      </w:r>
      <w:r>
        <w:rPr>
          <w:sz w:val="20"/>
          <w:szCs w:val="20"/>
          <w:color w:val="auto"/>
        </w:rPr>
        <w:tab/>
      </w:r>
      <w:r>
        <w:rPr>
          <w:rFonts w:ascii="Times New Roman" w:cs="Times New Roman" w:eastAsia="Times New Roman" w:hAnsi="Times New Roman"/>
          <w:sz w:val="18"/>
          <w:szCs w:val="18"/>
          <w:color w:val="auto"/>
        </w:rPr>
        <w:t>1,794</w:t>
      </w:r>
    </w:p>
    <w:p>
      <w:pPr>
        <w:spacing w:after="0" w:line="63"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8"/>
          <w:szCs w:val="18"/>
          <w:color w:val="auto"/>
        </w:rPr>
        <w:t>5,094</w:t>
      </w:r>
      <w:r>
        <w:rPr>
          <w:sz w:val="20"/>
          <w:szCs w:val="20"/>
          <w:color w:val="auto"/>
        </w:rPr>
        <w:tab/>
      </w:r>
      <w:r>
        <w:rPr>
          <w:rFonts w:ascii="Times New Roman" w:cs="Times New Roman" w:eastAsia="Times New Roman" w:hAnsi="Times New Roman"/>
          <w:sz w:val="18"/>
          <w:szCs w:val="18"/>
          <w:color w:val="auto"/>
        </w:rPr>
        <w:t>5,989</w:t>
      </w:r>
    </w:p>
    <w:p>
      <w:pPr>
        <w:spacing w:after="0" w:line="63"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8"/>
          <w:szCs w:val="18"/>
          <w:color w:val="auto"/>
        </w:rPr>
        <w:t>4,335</w:t>
      </w:r>
      <w:r>
        <w:rPr>
          <w:sz w:val="20"/>
          <w:szCs w:val="20"/>
          <w:color w:val="auto"/>
        </w:rPr>
        <w:tab/>
      </w:r>
      <w:r>
        <w:rPr>
          <w:rFonts w:ascii="Times New Roman" w:cs="Times New Roman" w:eastAsia="Times New Roman" w:hAnsi="Times New Roman"/>
          <w:sz w:val="18"/>
          <w:szCs w:val="18"/>
          <w:color w:val="auto"/>
        </w:rPr>
        <w:t>4,334</w:t>
      </w:r>
    </w:p>
    <w:p>
      <w:pPr>
        <w:spacing w:after="0" w:line="63"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15,829</w:t>
      </w:r>
      <w:r>
        <w:rPr>
          <w:sz w:val="20"/>
          <w:szCs w:val="20"/>
          <w:color w:val="auto"/>
        </w:rPr>
        <w:tab/>
      </w:r>
      <w:r>
        <w:rPr>
          <w:rFonts w:ascii="Times New Roman" w:cs="Times New Roman" w:eastAsia="Times New Roman" w:hAnsi="Times New Roman"/>
          <w:sz w:val="18"/>
          <w:szCs w:val="18"/>
          <w:color w:val="auto"/>
        </w:rPr>
        <w:t>15,839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6541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57"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40,808</w:t>
      </w:r>
      <w:r>
        <w:rPr>
          <w:sz w:val="20"/>
          <w:szCs w:val="20"/>
          <w:color w:val="auto"/>
        </w:rPr>
        <w:tab/>
      </w:r>
      <w:r>
        <w:rPr>
          <w:rFonts w:ascii="Times New Roman" w:cs="Times New Roman" w:eastAsia="Times New Roman" w:hAnsi="Times New Roman"/>
          <w:sz w:val="18"/>
          <w:szCs w:val="18"/>
          <w:color w:val="auto"/>
        </w:rPr>
        <w:t>40,154</w:t>
      </w:r>
    </w:p>
    <w:p>
      <w:pPr>
        <w:spacing w:after="0" w:line="63" w:lineRule="exact"/>
        <w:rPr>
          <w:sz w:val="20"/>
          <w:szCs w:val="20"/>
          <w:color w:val="auto"/>
        </w:rPr>
      </w:pPr>
    </w:p>
    <w:p>
      <w:pPr>
        <w:jc w:val="both"/>
        <w:ind w:left="600"/>
        <w:spacing w:after="0"/>
        <w:tabs>
          <w:tab w:leader="none" w:pos="1920" w:val="left"/>
        </w:tabs>
        <w:rPr>
          <w:sz w:val="20"/>
          <w:szCs w:val="20"/>
          <w:color w:val="auto"/>
        </w:rPr>
      </w:pPr>
      <w:r>
        <w:rPr>
          <w:rFonts w:ascii="Times New Roman" w:cs="Times New Roman" w:eastAsia="Times New Roman" w:hAnsi="Times New Roman"/>
          <w:sz w:val="18"/>
          <w:szCs w:val="18"/>
          <w:color w:val="auto"/>
        </w:rPr>
        <w:t>(27,322)</w:t>
      </w:r>
      <w:r>
        <w:rPr>
          <w:sz w:val="20"/>
          <w:szCs w:val="20"/>
          <w:color w:val="auto"/>
        </w:rPr>
        <w:tab/>
      </w:r>
      <w:r>
        <w:rPr>
          <w:rFonts w:ascii="Times New Roman" w:cs="Times New Roman" w:eastAsia="Times New Roman" w:hAnsi="Times New Roman"/>
          <w:sz w:val="18"/>
          <w:szCs w:val="18"/>
          <w:color w:val="auto"/>
        </w:rPr>
        <w:t>(25,827)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654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7" w:lineRule="exact"/>
        <w:rPr>
          <w:sz w:val="20"/>
          <w:szCs w:val="20"/>
          <w:color w:val="auto"/>
        </w:rPr>
      </w:pPr>
    </w:p>
    <w:p>
      <w:pPr>
        <w:spacing w:after="0"/>
        <w:tabs>
          <w:tab w:leader="none" w:pos="660" w:val="left"/>
          <w:tab w:leader="none" w:pos="134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13,486</w:t>
        <w:tab/>
        <w:t>$</w:t>
      </w:r>
      <w:r>
        <w:rPr>
          <w:sz w:val="20"/>
          <w:szCs w:val="20"/>
          <w:color w:val="auto"/>
        </w:rPr>
        <w:tab/>
      </w:r>
      <w:r>
        <w:rPr>
          <w:rFonts w:ascii="Times New Roman" w:cs="Times New Roman" w:eastAsia="Times New Roman" w:hAnsi="Times New Roman"/>
          <w:sz w:val="17"/>
          <w:szCs w:val="17"/>
          <w:color w:val="auto"/>
        </w:rPr>
        <w:t>14,327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65417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54175" cy="34290"/>
                    </a:xfrm>
                    <a:prstGeom prst="rect">
                      <a:avLst/>
                    </a:prstGeom>
                    <a:noFill/>
                  </pic:spPr>
                </pic:pic>
              </a:graphicData>
            </a:graphic>
          </wp:anchor>
        </w:drawing>
      </w:r>
    </w:p>
    <w:p>
      <w:pPr>
        <w:spacing w:after="0" w:line="227" w:lineRule="exact"/>
        <w:rPr>
          <w:sz w:val="20"/>
          <w:szCs w:val="20"/>
          <w:color w:val="auto"/>
        </w:rPr>
      </w:pPr>
    </w:p>
    <w:p>
      <w:pPr>
        <w:sectPr>
          <w:pgSz w:w="11900" w:h="16950" w:orient="portrait"/>
          <w:cols w:equalWidth="0" w:num="2">
            <w:col w:w="7920" w:space="720"/>
            <w:col w:w="2580"/>
          </w:cols>
          <w:pgMar w:left="320" w:top="1089" w:right="359" w:bottom="0" w:gutter="0" w:footer="0" w:header="0"/>
          <w:type w:val="continuous"/>
        </w:sectPr>
      </w:pPr>
    </w:p>
    <w:p>
      <w:pPr>
        <w:spacing w:after="0" w:line="16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231F20"/>
        </w:rPr>
        <w:t>For each of the years ended December 31, 2023, 2022 and 2021, depreciation of equipment under capital lease obligations was $0.0 million, $0.3 million and $0.4 million, respectively.</w:t>
      </w:r>
    </w:p>
    <w:p>
      <w:pPr>
        <w:spacing w:after="0" w:line="189"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231F20"/>
        </w:rPr>
        <w:t>Total depreciation and amortization expense for property and equipment, inclusive of depreciation expense for equipment under capital lease obligations consisted of the following:</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4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50" w:orient="portrait"/>
          <w:cols w:equalWidth="0" w:num="1">
            <w:col w:w="11220"/>
          </w:cols>
          <w:pgMar w:left="320" w:top="1089"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1900" w:h="16950" w:orient="portrait"/>
          <w:cols w:equalWidth="0" w:num="1">
            <w:col w:w="11220"/>
          </w:cols>
          <w:pgMar w:left="320" w:top="1089" w:right="359" w:bottom="0" w:gutter="0" w:footer="0" w:header="0"/>
          <w:type w:val="continuous"/>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All investments in debt securities, if any, are classified as available-for-sale investments. All investments are reported within current assets because the securities represent investments of cash available for current operations. As of December 31, 2023, the Company did not hold any investments in debt securities. As of December 31, 2022, the Company held $5.7 million of investments with contractual maturities of less than one year. As of December 31, 2022, the Company did not have any investments with contractual maturities between one and two years. Available-for-sale investments are recorded at fair value, and unrealized holding gains and losses are recorded as a component of other comprehensive income (loss).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investments: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Cost or Amortized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4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Realized gains and losses on investments in debt securities for the years ended </w:t>
      </w:r>
      <w:r>
        <w:rPr>
          <w:rFonts w:ascii="Times New Roman" w:cs="Times New Roman" w:eastAsia="Times New Roman" w:hAnsi="Times New Roman"/>
          <w:sz w:val="18"/>
          <w:szCs w:val="18"/>
          <w:color w:val="231F20"/>
        </w:rPr>
        <w:t>December 31, 2023, 2022 and 2021 were immaterial</w:t>
      </w:r>
      <w:r>
        <w:rPr>
          <w:rFonts w:ascii="Times New Roman" w:cs="Times New Roman" w:eastAsia="Times New Roman" w:hAnsi="Times New Roman"/>
          <w:sz w:val="18"/>
          <w:szCs w:val="18"/>
          <w:color w:val="auto"/>
        </w:rPr>
        <w:t xml:space="preserve">. Unrealized losses on investments for the year ended </w:t>
      </w:r>
      <w:r>
        <w:rPr>
          <w:rFonts w:ascii="Times New Roman" w:cs="Times New Roman" w:eastAsia="Times New Roman" w:hAnsi="Times New Roman"/>
          <w:sz w:val="18"/>
          <w:szCs w:val="18"/>
          <w:color w:val="231F20"/>
        </w:rPr>
        <w:t>December 31, 2023 was immaterial.</w:t>
      </w:r>
    </w:p>
    <w:p>
      <w:pPr>
        <w:spacing w:after="0" w:line="199"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23"/>
                <w:szCs w:val="23"/>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3"/>
                <w:szCs w:val="23"/>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3,193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1,875</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5,650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2"/>
                <w:szCs w:val="22"/>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5,650</w:t>
            </w:r>
          </w:p>
        </w:tc>
        <w:tc>
          <w:tcPr>
            <w:tcW w:w="10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r>
      <w:tr>
        <w:trPr>
          <w:trHeight w:val="21"/>
        </w:trPr>
        <w:tc>
          <w:tcPr>
            <w:tcW w:w="4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ectPr>
          <w:pgSz w:w="11900" w:h="16838" w:orient="portrait"/>
          <w:cols w:equalWidth="0" w:num="1">
            <w:col w:w="11240"/>
          </w:cols>
          <w:pgMar w:left="320" w:top="1022" w:right="339"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577" w:gutter="0" w:footer="0" w:header="0"/>
          <w:type w:val="continuous"/>
        </w:sectPr>
      </w:pPr>
    </w:p>
    <w:bookmarkStart w:id="91" w:name="page92"/>
    <w:bookmarkEnd w:id="91"/>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3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Credit Facility</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April 2021, the Company entered into a first lien credit agreement (“2021 Credit Facility”), with JPMorgan Chase Bank, N.A., as administrative agent and lender, and the other lenders party thereto, which provided for a $35.0 million revolving credit facility that matures on April 30, 2026. The 2021 Credit Facility included a subfacility that provided for the issuance of letters of credit in an amount of up to $10.0 million at any time outstanding, which reduced the amount available under the 2021 Credit Facility. As of December 31, 2022, there were outstanding standby letters of credit of $4.8 million related to lease obligations with $30.2 million available to be drawn upon. The 2021 Credit Facility was subject to customary fees for loan facilities of this type, including a commitment fee based on the average daily undrawn portion of the revolving credit facility. The Company recognized the commitment fee as incurred in interest and other expense, net in the consolidated statements of comprehensive loss. For the year ended December 31, 2022, the commitment fee incurred was immaterial. As of December 31, 2022, there was no outstanding balance under the 2021 Credit Facility. In January 2023, the 2021 Credit Facility was terminated and replaced in its entirety with the 2023 Credit Facility (defined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Credit Facility</w:t>
      </w:r>
    </w:p>
    <w:p>
      <w:pPr>
        <w:spacing w:after="0" w:line="24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consolidated statements of comprehensive loss. For the year ended December 31, 2023, the commitment fee incurred was immaterial. As of December 31, 2023, there were $3.7 million outstanding letters of credit and $17.7 million available to be drawn upon. As of December 31, 2023, there was no outstanding balance under the 2023 Credit Facility.</w:t>
      </w:r>
    </w:p>
    <w:p>
      <w:pPr>
        <w:spacing w:after="0" w:line="218" w:lineRule="exact"/>
        <w:rPr>
          <w:sz w:val="20"/>
          <w:szCs w:val="20"/>
          <w:color w:val="auto"/>
        </w:rPr>
      </w:pPr>
    </w:p>
    <w:p>
      <w:pPr>
        <w:jc w:val="both"/>
        <w:ind w:right="280" w:firstLine="648"/>
        <w:spacing w:after="0" w:line="245"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spacing w:after="0" w:line="20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spacing w:after="0" w:line="204"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December 31, 2023, the Company is in compliance with all covenants under the 2023 Credit Facility.</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r>
              <w:rPr>
                <w:rFonts w:ascii="Times New Roman" w:cs="Times New Roman" w:eastAsia="Times New Roman" w:hAnsi="Times New Roman"/>
                <w:sz w:val="23"/>
                <w:szCs w:val="23"/>
                <w:color w:val="auto"/>
                <w:vertAlign w:val="superscript"/>
              </w:rPr>
              <w:t>(1)</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24"/>
                <w:szCs w:val="24"/>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1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(2)</w:t>
            </w:r>
          </w:p>
        </w:tc>
        <w:tc>
          <w:tcPr>
            <w:tcW w:w="1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7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r>
              <w:rPr>
                <w:rFonts w:ascii="Times New Roman" w:cs="Times New Roman" w:eastAsia="Times New Roman" w:hAnsi="Times New Roman"/>
                <w:sz w:val="23"/>
                <w:szCs w:val="23"/>
                <w:color w:val="auto"/>
                <w:vertAlign w:val="superscript"/>
              </w:rPr>
              <w:t>(3)</w:t>
            </w:r>
          </w:p>
        </w:tc>
        <w:tc>
          <w:tcPr>
            <w:tcW w:w="1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80" w:hanging="166"/>
        <w:spacing w:after="0"/>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$1.2 million and $4.3 million of Chief Executive Officer and Chief Financial Officer executive transition related expense as of December 31, 2023 and 2022, respectively.</w:t>
      </w:r>
    </w:p>
    <w:p>
      <w:pPr>
        <w:ind w:left="180" w:hanging="166"/>
        <w:spacing w:after="0" w:line="211"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short-term operating lease liabilities. Refer to Note 16, "Leases" included in these consolidated financial statements for more information on leases.</w:t>
      </w:r>
    </w:p>
    <w:p>
      <w:pPr>
        <w:ind w:left="180" w:hanging="166"/>
        <w:spacing w:after="0"/>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Note 17, "Restructuring" included in these consolidated financial statements for more information on the Company's restructuring initiative.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Redeemable Convertible Preferred Stock and Stockholders’ Deficit</w:t>
      </w:r>
    </w:p>
    <w:p>
      <w:pPr>
        <w:spacing w:after="0" w:line="200" w:lineRule="exact"/>
        <w:rPr>
          <w:sz w:val="20"/>
          <w:szCs w:val="20"/>
          <w:color w:val="auto"/>
        </w:rPr>
      </w:pPr>
    </w:p>
    <w:p>
      <w:pPr>
        <w:spacing w:after="0" w:line="286"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following table summarizes the Company's redeemable convertible preferred stock information as of December 31, 2020:</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and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Liquidation</w:t>
            </w:r>
          </w:p>
        </w:tc>
      </w:tr>
      <w:tr>
        <w:trPr>
          <w:trHeight w:val="238"/>
        </w:trPr>
        <w:tc>
          <w:tcPr>
            <w:tcW w:w="53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Preference</w:t>
            </w:r>
          </w:p>
        </w:tc>
      </w:tr>
      <w:tr>
        <w:trPr>
          <w:trHeight w:val="27"/>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11,347,518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11,347,518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11,554,016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4,551,572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4,551,572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5,174,204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4,545,944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4,454,624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101,911</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E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6,918,204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6,918,204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67,815</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F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5,100,790</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49,192,248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49,100,928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396,726</w:t>
            </w:r>
          </w:p>
        </w:tc>
      </w:tr>
      <w:tr>
        <w:trPr>
          <w:trHeight w:val="27"/>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Shares Available for Issuance</w:t>
      </w:r>
    </w:p>
    <w:p>
      <w:pPr>
        <w:spacing w:after="0" w:line="24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w:t>
      </w:r>
    </w:p>
    <w:p>
      <w:pPr>
        <w:spacing w:after="0" w:line="18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231F20"/>
        </w:rPr>
        <w:t>As of December 31, 2021, there were no shares of Series A, Series A-1, Series B, Series C, Series D, Series E, or Series F redeemable convertible preferred stock available for issuance. As of December 31, 2020, the number of common shares available for issuance under the Company’s amended certificate of incorporation were as follows: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93" w:name="page94"/>
    <w:bookmarkEnd w:id="93"/>
    <w:tbl>
      <w:tblPr>
        <w:tblLayout w:type="fixed"/>
        <w:tblInd w:w="60" w:type="dxa"/>
        <w:tblCellMar>
          <w:top w:w="0" w:type="dxa"/>
          <w:left w:w="0" w:type="dxa"/>
          <w:bottom w:w="0" w:type="dxa"/>
          <w:right w:w="0" w:type="dxa"/>
        </w:tblCellMar>
      </w:tblPr>
      <w:tr>
        <w:trPr>
          <w:trHeight w:val="28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number of common shares</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110,000,000</w:t>
            </w:r>
          </w:p>
        </w:tc>
        <w:tc>
          <w:tcPr>
            <w:tcW w:w="0" w:type="dxa"/>
            <w:vAlign w:val="bottom"/>
          </w:tcPr>
          <w:p>
            <w:pPr>
              <w:spacing w:after="0"/>
              <w:rPr>
                <w:sz w:val="1"/>
                <w:szCs w:val="1"/>
                <w:color w:val="auto"/>
              </w:rPr>
            </w:pPr>
          </w:p>
        </w:tc>
      </w:tr>
      <w:tr>
        <w:trPr>
          <w:trHeight w:val="24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(34,089,186)</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outstanding under the 2011 Plan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(18,038,042)</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available for grant under the 2011 Plan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(2,595,078)</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the conversion of preferred stock</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(49,100,928)</w:t>
            </w:r>
          </w:p>
        </w:tc>
        <w:tc>
          <w:tcPr>
            <w:tcW w:w="0" w:type="dxa"/>
            <w:vAlign w:val="bottom"/>
          </w:tcPr>
          <w:p>
            <w:pPr>
              <w:spacing w:after="0"/>
              <w:rPr>
                <w:sz w:val="1"/>
                <w:szCs w:val="1"/>
                <w:color w:val="auto"/>
              </w:rPr>
            </w:pPr>
          </w:p>
        </w:tc>
      </w:tr>
      <w:tr>
        <w:trPr>
          <w:trHeight w:val="27"/>
        </w:trPr>
        <w:tc>
          <w:tcPr>
            <w:tcW w:w="84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231F20"/>
              </w:rPr>
              <w:t>Available for issuance</w:t>
            </w: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6,176,766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8380" w:firstLine="8"/>
        <w:spacing w:after="0" w:line="518" w:lineRule="auto"/>
        <w:tabs>
          <w:tab w:leader="none" w:pos="30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2"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w:t>
      </w:r>
    </w:p>
    <w:p>
      <w:pPr>
        <w:spacing w:after="0" w:line="8"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 xml:space="preserve">loss can be reasonably estimated, the Company records a liability for the loss and </w:t>
      </w:r>
      <w:r>
        <w:rPr>
          <w:rFonts w:ascii="Times New Roman" w:cs="Times New Roman" w:eastAsia="Times New Roman" w:hAnsi="Times New Roman"/>
          <w:sz w:val="18"/>
          <w:szCs w:val="18"/>
          <w:color w:val="231F20"/>
        </w:rPr>
        <w:t>discloses the possible loss in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costs are expensed as incurred.</w:t>
      </w:r>
    </w:p>
    <w:p>
      <w:pPr>
        <w:spacing w:after="0" w:line="14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submitted a refund request for the taxes and interest paid, following the Department's June 9, 2021 decision, that were subject to abatement under the December 2016 Abatement Agreement. The Company recognized $0.7 million in other income in interest and other expense, net on the consolidated statements of comprehensive loss during the year ended December 31, 2022 related to the refund of taxes and interest paid.</w:t>
      </w:r>
    </w:p>
    <w:p>
      <w:pPr>
        <w:spacing w:after="0" w:line="216"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4" w:name="page95"/>
    <w:bookmarkEnd w:id="94"/>
    <w:p>
      <w:pPr>
        <w:spacing w:after="0" w:line="236" w:lineRule="auto"/>
        <w:rPr>
          <w:sz w:val="20"/>
          <w:szCs w:val="20"/>
          <w:color w:val="auto"/>
        </w:rPr>
      </w:pPr>
      <w:r>
        <w:rPr>
          <w:rFonts w:ascii="Times New Roman" w:cs="Times New Roman" w:eastAsia="Times New Roman" w:hAnsi="Times New Roman"/>
          <w:sz w:val="18"/>
          <w:szCs w:val="18"/>
          <w:color w:val="auto"/>
        </w:rPr>
        <w:t>dismiss the Second Amended Complaint with respect to the claims against them. On January 31, 2024, that motion to dismiss was granted by the court to the extent those additional defendants challenged the claims as untimely. The court granted Lead Plaintiff leave to amend within fourteen days of that order.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pending the outcome of a motion for summary judgment in the securities class action. These matters are in the preliminary stages of litigation with uncertain outcomes at this time. Therefore, the Company cannot estimate the probability of loss or make an estimate of the loss or range of loss in these matters.</w:t>
      </w:r>
    </w:p>
    <w:p>
      <w:pPr>
        <w:spacing w:after="0" w:line="21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Company’s motion to stay pending the Ninth Circuit Court of Appeals’ review of the Central District of California’s decision in </w:t>
      </w:r>
      <w:r>
        <w:rPr>
          <w:rFonts w:ascii="Times New Roman" w:cs="Times New Roman" w:eastAsia="Times New Roman" w:hAnsi="Times New Roman"/>
          <w:sz w:val="18"/>
          <w:szCs w:val="18"/>
          <w:i w:val="1"/>
          <w:iCs w:val="1"/>
          <w:color w:val="auto"/>
        </w:rPr>
        <w:t>Whiteside v. Kimberly-Clark Corp.,</w:t>
      </w:r>
      <w:r>
        <w:rPr>
          <w:rFonts w:ascii="Times New Roman" w:cs="Times New Roman" w:eastAsia="Times New Roman" w:hAnsi="Times New Roman"/>
          <w:sz w:val="18"/>
          <w:szCs w:val="18"/>
          <w:color w:val="auto"/>
        </w:rPr>
        <w:t xml:space="preserve"> No. 5:22-cv-1988 JGB (SPx), 2023 WL 4328175 (C.D. Cal. June 1, 2023) was denied on September 5, 2023. On February 20, 2024, the parties filed a Notice of Settlement to notify the court that the parties have agreed to settle the matter on an individual, non-class basis. The plaintiffs will file a Stipulation of Dismissal upon finalization of the settlement agreement.</w:t>
      </w:r>
    </w:p>
    <w:p>
      <w:pPr>
        <w:spacing w:after="0" w:line="20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and 2022,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December 31, 2023 and 2022,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Purchase Commitments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231F20"/>
        </w:rPr>
        <w:t>The Company has unconditional purchase commitments for software service subscriptions, advertising services and certain other services. Future minimum payments under these unconditional purchase commitments are as follows: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payments</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1"/>
        </w:trPr>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95" w:name="page96"/>
    <w:bookmarkEnd w:id="95"/>
    <w:p>
      <w:pPr>
        <w:ind w:left="20" w:right="8460" w:hanging="12"/>
        <w:spacing w:after="0" w:line="549" w:lineRule="auto"/>
        <w:tabs>
          <w:tab w:leader="none" w:pos="657"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2011 Stock Incentive Plan</w:t>
      </w:r>
    </w:p>
    <w:p>
      <w:pPr>
        <w:spacing w:after="0" w:line="1" w:lineRule="exact"/>
        <w:rPr>
          <w:sz w:val="20"/>
          <w:szCs w:val="20"/>
          <w:color w:val="auto"/>
        </w:rPr>
      </w:pPr>
    </w:p>
    <w:p>
      <w:pPr>
        <w:ind w:left="20" w:right="140" w:firstLine="648"/>
        <w:spacing w:after="0" w:line="237" w:lineRule="auto"/>
        <w:rPr>
          <w:sz w:val="20"/>
          <w:szCs w:val="20"/>
          <w:color w:val="auto"/>
        </w:rPr>
      </w:pPr>
      <w:r>
        <w:rPr>
          <w:rFonts w:ascii="Times New Roman" w:cs="Times New Roman" w:eastAsia="Times New Roman" w:hAnsi="Times New Roman"/>
          <w:sz w:val="18"/>
          <w:szCs w:val="18"/>
          <w:color w:val="auto"/>
        </w:rPr>
        <w:t>The Company’s 2011 Stock Incentive Plan (the “2011 Plan”), which is stockholder-approved, permits the grant of incentive and non-qualified stock options, stock awards, stock units or stock appreciation rights of common stock. Generally, stock options vest 25% on the first anniversary of the vesting commencement date and then monthly thereafter for 36 months, or pursuant to another vesting schedule as approved by the Board and set forth in the option agreement. Certain options and share awards provide for accelerated vesting upon certain events as described in the terms of the option and award agreements. Stock options have a maximum term of ten years. Prior to the IPO, all of the stock options and restricted stock units the Company granted were made pursuant to the 2011 Plan. Following the IPO, the Company grants equity incentive awards under the terms of the 2021 Plan (defined below).</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060" w:type="dxa"/>
            <w:vAlign w:val="bottom"/>
            <w:vMerge w:val="continue"/>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16,440,539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46,589</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(1,508,976)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14,888,007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(1,569,911)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13,315,796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14,503,073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13,266,609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right="500" w:firstLine="648"/>
        <w:spacing w:after="0" w:line="245" w:lineRule="auto"/>
        <w:rPr>
          <w:sz w:val="20"/>
          <w:szCs w:val="20"/>
          <w:color w:val="auto"/>
        </w:rPr>
      </w:pPr>
      <w:r>
        <w:rPr>
          <w:rFonts w:ascii="Times New Roman" w:cs="Times New Roman" w:eastAsia="Times New Roman" w:hAnsi="Times New Roman"/>
          <w:sz w:val="18"/>
          <w:szCs w:val="18"/>
          <w:color w:val="auto"/>
        </w:rPr>
        <w:t>From 2018 to 2020, the Company granted stock options that vest based upon achieving a qualifying liquidity event, provided the employee remains employed on the date the vesting condition is satisfied. In conjunction with the IPO, 2,442,918 stock option awards with a weighted average exercise price of $5.54 vested based on the achievement of the IPO qualifying liquidity event, which resulted in the recognition of stock-based compensation expense of $3.1 million upon the effective date of the IPO registration statement.</w:t>
      </w:r>
    </w:p>
    <w:p>
      <w:pPr>
        <w:spacing w:after="0" w:line="217"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2023, 2022 and 2021 were immaterial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$0.1 million and $6.0 million, respectively. This intrinsic value represents the difference between the fair value of the Company’s common stock on the date of exercise and the exercise price of each option. The total fair value of options vested during the years ended December 31, 2023, 2022 and 2021 were $0.7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 million and $7.9 million, respectively.</w:t>
      </w:r>
    </w:p>
    <w:p>
      <w:pPr>
        <w:spacing w:after="0" w:line="20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there was $0.1 million and $1.0 million, respectively, of unrecognized stock-based compensation expense related to unvested stock options, which is expected to be recognized over a weighted-average period of 0.5 years and 1.3 years, respectively.</w:t>
      </w:r>
    </w:p>
    <w:p>
      <w:pPr>
        <w:spacing w:after="0" w:line="189"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2023, the Company extended the post-termination exercise period for each outstanding stock option held by certain former executives such that the post-termination exercise period will end on the earlier of (i) the original expiration date of the stock option, or (ii) the date that is the 3-year anniversary of certain former executives no longer providing services to the Company. There were no changes to the exercise price or other terms of these stock options, and these stock options were already fully vested prior to the modification. As a result of this modification, we recognized incremental stock-based compensation expense of $0.5 million for the year ended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w:t>
      </w:r>
    </w:p>
    <w:p>
      <w:pPr>
        <w:sectPr>
          <w:pgSz w:w="11900" w:h="16838" w:orient="portrait"/>
          <w:cols w:equalWidth="0" w:num="1">
            <w:col w:w="11220"/>
          </w:cols>
          <w:pgMar w:left="32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type w:val="continuous"/>
        </w:sectPr>
      </w:pPr>
    </w:p>
    <w:bookmarkStart w:id="96" w:name="page97"/>
    <w:bookmarkEnd w:id="96"/>
    <w:p>
      <w:pPr>
        <w:ind w:right="140"/>
        <w:spacing w:after="0" w:line="251" w:lineRule="auto"/>
        <w:rPr>
          <w:sz w:val="20"/>
          <w:szCs w:val="20"/>
          <w:color w:val="auto"/>
        </w:rPr>
      </w:pPr>
      <w:r>
        <w:rPr>
          <w:rFonts w:ascii="Times New Roman" w:cs="Times New Roman" w:eastAsia="Times New Roman" w:hAnsi="Times New Roman"/>
          <w:sz w:val="17"/>
          <w:szCs w:val="17"/>
          <w:color w:val="auto"/>
        </w:rPr>
        <w:t>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w:t>
      </w:r>
    </w:p>
    <w:p>
      <w:pPr>
        <w:spacing w:after="0" w:line="1"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color w:val="auto"/>
        </w:rPr>
        <w:t>1, 2023, 3,713,026 additional shares were reserved for issuance pursuant to this provision</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maximum number of shares of the Company’s common stock that may be issued on the exercise of ISOs under its 2021 Plan is 75,100,000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summarizes the RSU activity:</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4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 Value</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342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Directors, Officers</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20" w:type="dxa"/>
            <w:vAlign w:val="bottom"/>
          </w:tcPr>
          <w:p>
            <w:pPr>
              <w:spacing w:after="0"/>
              <w:rPr>
                <w:sz w:val="20"/>
                <w:szCs w:val="20"/>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2021</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103,561</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485,806</w:t>
            </w:r>
          </w:p>
        </w:tc>
        <w:tc>
          <w:tcPr>
            <w:tcW w:w="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(131,775)</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(694,071)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2022</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452,951</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from Employee to Non-Employee Director</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1,147,566</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1,376,563</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7,505,557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30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(1,382,224)</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(637,657)</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(1,774,563)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957,199</w:t>
            </w:r>
          </w:p>
        </w:tc>
        <w:tc>
          <w:tcPr>
            <w:tcW w:w="8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7,299,254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w:t>
            </w: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right="440" w:firstLine="8"/>
        <w:spacing w:after="0" w:line="255" w:lineRule="auto"/>
        <w:tabs>
          <w:tab w:leader="none" w:pos="16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extended the post-termination stock option exercise period for certain former executives, resulting in stock-based compensation expense of $0.5 million during the year ended December 31, 2023. Additionally, the Company modified certain former executives' RSUs to accelerate vesting, resulting in stock-based compensation expense of $3.1 million during the year ended December 31, 2023.</w:t>
      </w:r>
    </w:p>
    <w:p>
      <w:pPr>
        <w:ind w:right="200" w:firstLine="8"/>
        <w:spacing w:after="0" w:line="237" w:lineRule="auto"/>
        <w:tabs>
          <w:tab w:leader="none" w:pos="16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former Chief Executive Officer ("CEO") RSUs that were reclassified to non-employee director shares for disclosure purposes. The former CEO was not re-nominated for election by the Board in connection with the annual stockholder meeting in May 2023.</w:t>
      </w:r>
    </w:p>
    <w:p>
      <w:pPr>
        <w:spacing w:after="0" w:line="27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there was $16.6 million and $31.2 million, respectively, of unrecognized stock-based compensation expense related to unvested RSUs, which is expected to be recognized over a weighted-average period of 3.0 years and 2.5 years,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2023, 928,256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0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year ended December 31, 2023 and 2022, employees who elected to participate in the ESPP purchased 126,969 and 95,742 shares of common stock, respectively, under the 2021 ESPP, resulting in cash proceeds to the Company of $0.2 million and $0.3 million, respectively. The weighted</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97" w:name="page98"/>
    <w:bookmarkEnd w:id="97"/>
    <w:p>
      <w:pPr>
        <w:ind w:right="320"/>
        <w:spacing w:after="0" w:line="266" w:lineRule="auto"/>
        <w:rPr>
          <w:sz w:val="20"/>
          <w:szCs w:val="20"/>
          <w:color w:val="auto"/>
        </w:rPr>
      </w:pPr>
      <w:r>
        <w:rPr>
          <w:rFonts w:ascii="Times New Roman" w:cs="Times New Roman" w:eastAsia="Times New Roman" w:hAnsi="Times New Roman"/>
          <w:sz w:val="18"/>
          <w:szCs w:val="18"/>
          <w:color w:val="auto"/>
        </w:rPr>
        <w:t>average price at purchase was $1.39 and $2.68 per share, respectively. As of December 31, 2023 and 2022, the Company had 2,756,394 and 1,955,107, respectively, remaining authorized shares available for purchase.</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4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100" w:type="dxa"/>
            <w:vAlign w:val="bottom"/>
          </w:tcPr>
          <w:p>
            <w:pPr>
              <w:spacing w:after="0"/>
              <w:rPr>
                <w:sz w:val="20"/>
                <w:szCs w:val="20"/>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0.50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0.50</w:t>
            </w:r>
          </w:p>
        </w:tc>
        <w:tc>
          <w:tcPr>
            <w:tcW w:w="940" w:type="dxa"/>
            <w:vAlign w:val="bottom"/>
          </w:tcPr>
          <w:p>
            <w:pPr>
              <w:spacing w:after="0"/>
              <w:rPr>
                <w:sz w:val="20"/>
                <w:szCs w:val="20"/>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69.20%</w:t>
            </w: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73.27 %</w:t>
            </w:r>
          </w:p>
        </w:tc>
        <w:tc>
          <w:tcPr>
            <w:tcW w:w="9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79.56 %</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w:t>
            </w: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9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tcPr>
          <w:p>
            <w:pPr>
              <w:spacing w:after="0"/>
              <w:rPr>
                <w:sz w:val="23"/>
                <w:szCs w:val="23"/>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3"/>
                <w:szCs w:val="23"/>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$0.56</w:t>
            </w: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March 2023, the Company's Compensation Committee adopted the 2023 Inducement Plan (the “Inducement Plan”). The Inducement Plan reserved 4,000,000 shares of the Company’s common stock for issuance under the Inducement Plan to individuals who satisfy the standards for inducement grants under the relevant Nasdaq Stock Market rules.</w:t>
      </w:r>
    </w:p>
    <w:p>
      <w:pPr>
        <w:spacing w:after="0" w:line="20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On March 21, 2023, the Company granted 1,845,238 RSUs to the Chief Executive Officer under the Inducement Plan. On May 18, 2023, the Company granted 843,565 RSUs to the Chief Growth Officer under the Inducement Plan. On November 1, 2023, the Company granted 827,357 RSUs to the Chief Financial Officer under the Inducement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RSU awards, 2021 ESPP purchases and stock options, as applicable, are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__________________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8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 w:right="420" w:hanging="6"/>
        <w:spacing w:after="0" w:line="255" w:lineRule="auto"/>
        <w:tabs>
          <w:tab w:leader="none" w:pos="18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extended the post-termination stock option exercise period for certain former executives, resulting in stock-based compensation expense of $0.5 million during the year ended December 31, 2023. Additionally, the Company modified certain former executives' RSUs to accelerate vesting, resulting in stock-based compensation expense of $3.1 million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98" w:name="page99"/>
    <w:bookmarkEnd w:id="98"/>
    <w:p>
      <w:pPr>
        <w:ind w:left="731" w:hanging="731"/>
        <w:spacing w:after="0"/>
        <w:tabs>
          <w:tab w:leader="none" w:pos="73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43" w:lineRule="exact"/>
        <w:rPr>
          <w:sz w:val="20"/>
          <w:szCs w:val="20"/>
          <w:color w:val="auto"/>
        </w:rPr>
      </w:pPr>
    </w:p>
    <w:p>
      <w:pPr>
        <w:ind w:left="91"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considered its redeemable convertible preferred stock to be participating securities as preferred stockholders have rights to participate in dividends with the common stockholders.</w:t>
      </w:r>
    </w:p>
    <w:p>
      <w:pPr>
        <w:spacing w:after="0" w:line="212" w:lineRule="exact"/>
        <w:rPr>
          <w:sz w:val="20"/>
          <w:szCs w:val="20"/>
          <w:color w:val="auto"/>
        </w:rPr>
      </w:pPr>
    </w:p>
    <w:p>
      <w:pPr>
        <w:ind w:left="91" w:right="20" w:firstLine="648"/>
        <w:spacing w:after="0" w:line="239"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211" w:lineRule="exact"/>
        <w:rPr>
          <w:sz w:val="20"/>
          <w:szCs w:val="20"/>
          <w:color w:val="auto"/>
        </w:rPr>
      </w:pPr>
    </w:p>
    <w:p>
      <w:pPr>
        <w:ind w:left="751"/>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w:t>
      </w:r>
    </w:p>
    <w:p>
      <w:pPr>
        <w:spacing w:after="0" w:line="59" w:lineRule="exact"/>
        <w:rPr>
          <w:sz w:val="20"/>
          <w:szCs w:val="20"/>
          <w:color w:val="auto"/>
        </w:rPr>
      </w:pPr>
    </w:p>
    <w:tbl>
      <w:tblPr>
        <w:tblLayout w:type="fixed"/>
        <w:tblInd w:w="111"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0" w:type="dxa"/>
            <w:vAlign w:val="bottom"/>
          </w:tcPr>
          <w:p>
            <w:pPr>
              <w:spacing w:after="0"/>
              <w:rPr>
                <w:sz w:val="1"/>
                <w:szCs w:val="1"/>
                <w:color w:val="auto"/>
              </w:rPr>
            </w:pPr>
          </w:p>
        </w:tc>
      </w:tr>
      <w:tr>
        <w:trPr>
          <w:trHeight w:val="302"/>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gain on conversion of preferred stock</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0" w:type="dxa"/>
            <w:vAlign w:val="bottom"/>
          </w:tcPr>
          <w:p>
            <w:pPr>
              <w:spacing w:after="0"/>
              <w:rPr>
                <w:sz w:val="1"/>
                <w:szCs w:val="1"/>
                <w:color w:val="auto"/>
              </w:rPr>
            </w:pPr>
          </w:p>
        </w:tc>
      </w:tr>
      <w:tr>
        <w:trPr>
          <w:trHeight w:val="265"/>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dividends paid to preferred stockholders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0" w:type="dxa"/>
            <w:vAlign w:val="bottom"/>
          </w:tcPr>
          <w:p>
            <w:pPr>
              <w:spacing w:after="0"/>
              <w:rPr>
                <w:sz w:val="1"/>
                <w:szCs w:val="1"/>
                <w:color w:val="auto"/>
              </w:rPr>
            </w:pPr>
          </w:p>
        </w:tc>
      </w:tr>
      <w:tr>
        <w:trPr>
          <w:trHeight w:val="540"/>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94,516,690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71,126,218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94,516,690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71,126,218</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1"/>
        <w:spacing w:after="0"/>
        <w:rPr>
          <w:sz w:val="20"/>
          <w:szCs w:val="20"/>
          <w:color w:val="auto"/>
        </w:rPr>
      </w:pPr>
      <w:r>
        <w:rPr>
          <w:rFonts w:ascii="Times New Roman" w:cs="Times New Roman" w:eastAsia="Times New Roman" w:hAnsi="Times New Roman"/>
          <w:sz w:val="20"/>
          <w:szCs w:val="20"/>
          <w:color w:val="auto"/>
        </w:rPr>
        <w:t>_____________</w:t>
      </w:r>
    </w:p>
    <w:p>
      <w:pPr>
        <w:spacing w:after="0" w:line="163" w:lineRule="exact"/>
        <w:rPr>
          <w:sz w:val="20"/>
          <w:szCs w:val="20"/>
          <w:color w:val="auto"/>
        </w:rPr>
      </w:pPr>
    </w:p>
    <w:p>
      <w:pPr>
        <w:ind w:left="271" w:right="180" w:hanging="172"/>
        <w:spacing w:after="0" w:line="234" w:lineRule="auto"/>
        <w:tabs>
          <w:tab w:leader="none" w:pos="27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conversion price of the Company’s Series C and Series D redeemable convertible preferred stock was adjusted as the offering price in the initial public offering was below a certain threshold resulting in the preferred stockholders 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ind w:left="271" w:right="80" w:hanging="172"/>
        <w:spacing w:after="0" w:line="237" w:lineRule="auto"/>
        <w:tabs>
          <w:tab w:leader="none" w:pos="27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pacing w:after="0" w:line="272" w:lineRule="exact"/>
        <w:rPr>
          <w:sz w:val="20"/>
          <w:szCs w:val="20"/>
          <w:color w:val="auto"/>
        </w:rPr>
      </w:pPr>
    </w:p>
    <w:p>
      <w:pPr>
        <w:ind w:left="91" w:firstLine="64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pacing w:after="0" w:line="10" w:lineRule="exact"/>
        <w:rPr>
          <w:sz w:val="20"/>
          <w:szCs w:val="20"/>
          <w:color w:val="auto"/>
        </w:rPr>
      </w:pPr>
    </w:p>
    <w:tbl>
      <w:tblPr>
        <w:tblLayout w:type="fixed"/>
        <w:tblInd w:w="111"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4200" w:type="dxa"/>
            <w:vAlign w:val="bottom"/>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13,315,796</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14,888,007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16,440,539</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8,256,453</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4,618,354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2,970,867</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39,157</w:t>
            </w:r>
          </w:p>
        </w:tc>
      </w:tr>
      <w:tr>
        <w:trPr>
          <w:trHeight w:val="27"/>
        </w:trPr>
        <w:tc>
          <w:tcPr>
            <w:tcW w:w="5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21,643,391</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19,568,799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19,450,563</w:t>
            </w:r>
          </w:p>
        </w:tc>
      </w:tr>
      <w:tr>
        <w:trPr>
          <w:trHeight w:val="20"/>
        </w:trPr>
        <w:tc>
          <w:tcPr>
            <w:tcW w:w="5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31"/>
          </w:cols>
          <w:pgMar w:left="229"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172720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1"/>
          </w:cols>
          <w:pgMar w:left="229" w:top="1022" w:right="339" w:bottom="1440" w:gutter="0" w:footer="0" w:header="0"/>
          <w:type w:val="continuous"/>
        </w:sectPr>
      </w:pPr>
    </w:p>
    <w:bookmarkStart w:id="99" w:name="page100"/>
    <w:bookmarkEnd w:id="99"/>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components of income tax provision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Pr>
          <w:p>
            <w:pPr>
              <w:spacing w:after="0"/>
              <w:rPr>
                <w:sz w:val="23"/>
                <w:szCs w:val="23"/>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23"/>
                <w:szCs w:val="23"/>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tcPr>
          <w:p>
            <w:pPr>
              <w:spacing w:after="0"/>
              <w:rPr>
                <w:sz w:val="23"/>
                <w:szCs w:val="23"/>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Pr>
          <w:p>
            <w:pPr>
              <w:spacing w:after="0"/>
              <w:rPr>
                <w:sz w:val="23"/>
                <w:szCs w:val="23"/>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23"/>
                <w:szCs w:val="23"/>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reconciliation of the income tax benefit computed at the U.S. federal statutory rate of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to the Company’s income tax provision is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follows:</w:t>
      </w: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231F20"/>
              </w:rPr>
              <w:t>Income tax benefit at the federal statutory rate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26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231F20"/>
              </w:rPr>
              <w:t>State income taxes, net of federal benefit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231F20"/>
              </w:rPr>
              <w:t>Permanent differences for equity compensation</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231F20"/>
              </w:rPr>
              <w:t>Nondeductible items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231F20"/>
              </w:rPr>
              <w:t>Nondeductible compensation</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231F20"/>
              </w:rPr>
              <w:t>Change in valuation allowance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70"/>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Other adjustments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20"/>
          </w:cols>
          <w:pgMar w:left="320" w:top="1035" w:right="359" w:bottom="0" w:gutter="0" w:footer="0" w:header="0"/>
          <w:type w:val="continuous"/>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187325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231F20"/>
        </w:rPr>
        <w:t>The tax effects of temporary differences that gave rise to significant portions of deferred tax assets and liabilities were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Deferred tax assets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Intangible assets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Property and equipment</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Accrued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Deferred revenue</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Allowances, reserves and other</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Stock-based compensation</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Section 174 capitalized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Net operating loss and other carryforwards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99,377</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Valuation allowance</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Deferred tax liabilities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Prepaid expenses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State taxes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231F20"/>
        </w:rPr>
        <w:t xml:space="preserve">Effective January 1, 2022, the Tax Cuts and Jobs Act ("TCJA") of 2017 eliminated the option to deduct research and development expenses in the current year and now requires taxpayers to capitalize and amortize research and development expenses to Internal Revenue Code of 1986, as amended, (“IRC”) Section 174. Although Congress is considering legislation that would reinstate and extend Section 174 expensing for certain research and development expenses, the possibility that this will happen is uncertain. The capitalized expenses are amortized over a 5-year period for domestic expenses and a 15-year period for foreign expenses. As of December 31,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the Company's deferred tax assets related to capitalized research and development expenses were $4.3 million and $1.5 million, respectively.</w:t>
      </w:r>
    </w:p>
    <w:p>
      <w:pPr>
        <w:spacing w:after="0" w:line="240"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the Company had federal and state net operating loss carryforwards tax effect of $311.0 million and $274.0 million, respectively. As of December 31, 2022, The Company had federal and state net operating loss carryforwards tax effect of $301.0 million and</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231F20"/>
        </w:rPr>
        <w:t xml:space="preserve">$272.0 million, respectively. Federal and state net operating loss carryforwards begin to expire in 2032. As of December 31, 2023 </w:t>
      </w:r>
      <w:r>
        <w:rPr>
          <w:rFonts w:ascii="Times New Roman" w:cs="Times New Roman" w:eastAsia="Times New Roman" w:hAnsi="Times New Roman"/>
          <w:sz w:val="18"/>
          <w:szCs w:val="18"/>
          <w:color w:val="000000"/>
        </w:rPr>
        <w:t>and 2022</w:t>
      </w:r>
      <w:r>
        <w:rPr>
          <w:rFonts w:ascii="Times New Roman" w:cs="Times New Roman" w:eastAsia="Times New Roman" w:hAnsi="Times New Roman"/>
          <w:sz w:val="18"/>
          <w:szCs w:val="18"/>
          <w:color w:val="231F20"/>
        </w:rPr>
        <w:t>, the Company did not have any state tax credits. Federal net operating losses generated after January 1, 2018 would not expire, but would only be available to offset up to 80% of the Company’s future taxable income.</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The IRC imposes substantial restrictions on the utilization of net operating losses and other tax attributes in the event of an “ownership change” of a corporation. Accordingly, a company’s ability to use pre-change net operating loss and research tax credits may be limited as prescribed under IRC Sections 382 and 383. Events which may cause limitation in the amount of the net operating losses and credits that the Company utilizes in any one year include, but are not limited to, a cumulative ownership change of more than 50% over a three-year period. The Company performed a study to determine whether net operating losses and credit carryover limitations exist under Section 382 as of December 31, 2020, and determined that a portion of the net operating losses that were generated during 2013 and prior are subject to Section 382 annual limitations. As of December 31,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these limitations did not cause any of the limited net operating losses to be permanently lost.</w:t>
      </w:r>
    </w:p>
    <w:p>
      <w:pPr>
        <w:spacing w:after="0" w:line="216" w:lineRule="exact"/>
        <w:rPr>
          <w:sz w:val="20"/>
          <w:szCs w:val="20"/>
          <w:color w:val="auto"/>
        </w:rPr>
      </w:pPr>
    </w:p>
    <w:p>
      <w:pPr>
        <w:ind w:left="100" w:right="100" w:firstLine="648"/>
        <w:spacing w:after="0" w:line="245" w:lineRule="auto"/>
        <w:rPr>
          <w:sz w:val="20"/>
          <w:szCs w:val="20"/>
          <w:color w:val="auto"/>
        </w:rPr>
      </w:pPr>
      <w:r>
        <w:rPr>
          <w:rFonts w:ascii="Times New Roman" w:cs="Times New Roman" w:eastAsia="Times New Roman" w:hAnsi="Times New Roman"/>
          <w:sz w:val="18"/>
          <w:szCs w:val="18"/>
          <w:color w:val="231F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or includable in taxable income. Management assesses the available positive and negative evidence to estimate if sufficient future taxable income will be generated to use the existing deferred tax assets.</w:t>
      </w:r>
    </w:p>
    <w:p>
      <w:pPr>
        <w:spacing w:after="0" w:line="208" w:lineRule="exact"/>
        <w:rPr>
          <w:sz w:val="20"/>
          <w:szCs w:val="20"/>
          <w:color w:val="auto"/>
        </w:rPr>
      </w:pPr>
    </w:p>
    <w:p>
      <w:pPr>
        <w:ind w:right="380" w:firstLine="648"/>
        <w:spacing w:after="0" w:line="245" w:lineRule="auto"/>
        <w:rPr>
          <w:sz w:val="20"/>
          <w:szCs w:val="20"/>
          <w:color w:val="auto"/>
        </w:rPr>
      </w:pPr>
      <w:r>
        <w:rPr>
          <w:rFonts w:ascii="Times New Roman" w:cs="Times New Roman" w:eastAsia="Times New Roman" w:hAnsi="Times New Roman"/>
          <w:sz w:val="18"/>
          <w:szCs w:val="18"/>
          <w:color w:val="231F20"/>
        </w:rPr>
        <w:t xml:space="preserve">A significant piece of objective negative evidence evaluated was the cumulative loss incurred over the three-year period ended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Such objective evidence limits the ability to consider other subjective evidence such as its projections for future growth. On the basis of this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evaluation, at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a full valuation allowance has been recorded since it is more likely than not that the deferred tax assets will not be realized.</w:t>
      </w:r>
    </w:p>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The following table summarizes the changes in the valuation allowance:</w:t>
      </w:r>
    </w:p>
    <w:p>
      <w:pPr>
        <w:sectPr>
          <w:pgSz w:w="11900" w:h="16838" w:orient="portrait"/>
          <w:cols w:equalWidth="0" w:num="1">
            <w:col w:w="11200"/>
          </w:cols>
          <w:pgMar w:left="320" w:top="1282"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type w:val="continuous"/>
        </w:sectPr>
      </w:pPr>
    </w:p>
    <w:bookmarkStart w:id="102" w:name="page103"/>
    <w:bookmarkEnd w:id="102"/>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231F20"/>
              </w:rPr>
              <w:t>(In thousands)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84,934</w:t>
            </w:r>
          </w:p>
        </w:tc>
        <w:tc>
          <w:tcPr>
            <w:tcW w:w="0" w:type="dxa"/>
            <w:vAlign w:val="bottom"/>
          </w:tcPr>
          <w:p>
            <w:pPr>
              <w:spacing w:after="0"/>
              <w:rPr>
                <w:sz w:val="1"/>
                <w:szCs w:val="1"/>
                <w:color w:val="auto"/>
              </w:rPr>
            </w:pPr>
          </w:p>
        </w:tc>
      </w:tr>
      <w:tr>
        <w:trPr>
          <w:trHeight w:val="27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to valuation allowance</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7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due to adoption of ASC 842</w:t>
            </w:r>
          </w:p>
        </w:tc>
        <w:tc>
          <w:tcPr>
            <w:tcW w:w="2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increases (decreases)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380" w:firstLine="648"/>
        <w:spacing w:after="0" w:line="242" w:lineRule="auto"/>
        <w:rPr>
          <w:sz w:val="20"/>
          <w:szCs w:val="20"/>
          <w:color w:val="auto"/>
        </w:rPr>
      </w:pPr>
      <w:r>
        <w:rPr>
          <w:rFonts w:ascii="Times New Roman" w:cs="Times New Roman" w:eastAsia="Times New Roman" w:hAnsi="Times New Roman"/>
          <w:sz w:val="18"/>
          <w:szCs w:val="18"/>
          <w:color w:val="231F20"/>
        </w:rPr>
        <w:t xml:space="preserve">The Company is subject to taxation in the U.S. federal and various state jurisdictions. </w:t>
      </w:r>
      <w:r>
        <w:rPr>
          <w:rFonts w:ascii="Times New Roman" w:cs="Times New Roman" w:eastAsia="Times New Roman" w:hAnsi="Times New Roman"/>
          <w:sz w:val="18"/>
          <w:szCs w:val="18"/>
          <w:color w:val="000000"/>
        </w:rPr>
        <w:t>During the years ended December 31, 2023 and 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Company has not recorded any uncertain tax positions and has not recognized interest or penalties in the consolidated statements of comprehensive loss. </w:t>
      </w:r>
      <w:r>
        <w:rPr>
          <w:rFonts w:ascii="Times New Roman" w:cs="Times New Roman" w:eastAsia="Times New Roman" w:hAnsi="Times New Roman"/>
          <w:sz w:val="18"/>
          <w:szCs w:val="18"/>
          <w:color w:val="231F20"/>
        </w:rPr>
        <w:t>The Company is subject to examination from federal tax authorities for years 2020, 2021 and 2022. To the extent allowed by law,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federal and state tax authorities may have the right to examine prior periods where net operating losses or tax credits were generated and carried forward and make adjustments up to the amount of the net operating loss or credit carryforward.</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became effective on January 1, 2023, including a 15% corporate minimum tax and a 1% excise tax on stock buybacks. The Company does not currently expect any material changes on its consolidated financial position, results of operations and cash flows.</w:t>
      </w:r>
    </w:p>
    <w:p>
      <w:pPr>
        <w:spacing w:after="0" w:line="207"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4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April 2020, the Company engaged Summit House Studios LLC, a third-party consultant, to provide digital ad production services. Summit House Studios LLC is owned by a major shareholder of the Company. Based on services provided, the Company incurred $0.04 million, $0.2 million and $0.6 million of advertising costs for this related party during the years ended December 31, 2023, 2022 and 2021, respectively, which is reported as marketing expense in the Company’s consolidated statements of comprehensive loss.</w:t>
      </w:r>
    </w:p>
    <w:p>
      <w:pPr>
        <w:spacing w:after="0" w:line="208"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May 2022, the Company engaged, Vault Co., a third-party consultant, to develop and deliver an ongoing brand tracker for the Company. Vault Co. is owned by a major shareholder of the Company. Based on services provided, the Company incurred $0.03 million and $0.1 million, respectively, of advertising costs for this related party during the year ended December 31, 2023 and 2022, which is reported as marketing expense in the Company’s consolidated statements of comprehensive loss.</w:t>
      </w:r>
    </w:p>
    <w:p>
      <w:pPr>
        <w:spacing w:after="0" w:line="204"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w:t>
      </w:r>
    </w:p>
    <w:p>
      <w:pPr>
        <w:spacing w:after="0" w:line="21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231F20"/>
        </w:rPr>
        <w:t xml:space="preserve">In connection with two of the Company’s facilities leases, the Company is required to obtain irrevocable letters of credit in lieu of security deposits. The letters of credit totaled </w:t>
      </w:r>
      <w:r>
        <w:rPr>
          <w:rFonts w:ascii="Times New Roman" w:cs="Times New Roman" w:eastAsia="Times New Roman" w:hAnsi="Times New Roman"/>
          <w:sz w:val="18"/>
          <w:szCs w:val="18"/>
          <w:color w:val="000000"/>
        </w:rPr>
        <w:t>$3.7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$4.8 million</w:t>
      </w:r>
      <w:r>
        <w:rPr>
          <w:rFonts w:ascii="Times New Roman" w:cs="Times New Roman" w:eastAsia="Times New Roman" w:hAnsi="Times New Roman"/>
          <w:sz w:val="18"/>
          <w:szCs w:val="18"/>
          <w:color w:val="231F20"/>
        </w:rPr>
        <w:t xml:space="preserve"> as of December 31, 2023 and 2022, respectively, and expire within a set number of days after the expirations of the facilities leases. In connection with the Company’s office facility lease, following the fourth year of the lease, the letter of credit balance can be reduced annually by a stated amount in the lease agreement, so long as the Company complies with certain covenants. In connection with the Company’s warehouse lease, the letter of credit balance is reduced annually by a stated amount in the lease agreement, so long as the Company complies with certain covenants.</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3"/>
                <w:szCs w:val="23"/>
                <w:color w:val="auto"/>
              </w:rPr>
            </w:pPr>
          </w:p>
        </w:tc>
        <w:tc>
          <w:tcPr>
            <w:tcW w:w="33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0"/>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2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81"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ectPr>
          <w:pgSz w:w="11900" w:h="16838" w:orient="portrait"/>
          <w:cols w:equalWidth="0" w:num="1">
            <w:col w:w="11220"/>
          </w:cols>
          <w:pgMar w:left="320" w:top="1089" w:right="3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103" w:name="page104"/>
    <w:bookmarkEnd w:id="103"/>
    <w:p>
      <w:pPr>
        <w:ind w:right="440"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For the year ended December 31, 2021, rent expense under ASC 840 was </w:t>
      </w:r>
      <w:r>
        <w:rPr>
          <w:rFonts w:ascii="Times New Roman" w:cs="Times New Roman" w:eastAsia="Times New Roman" w:hAnsi="Times New Roman"/>
          <w:sz w:val="18"/>
          <w:szCs w:val="18"/>
          <w:color w:val="000000"/>
        </w:rPr>
        <w:t>$5.0 million.</w:t>
      </w:r>
      <w:r>
        <w:rPr>
          <w:rFonts w:ascii="Times New Roman" w:cs="Times New Roman" w:eastAsia="Times New Roman" w:hAnsi="Times New Roman"/>
          <w:sz w:val="18"/>
          <w:szCs w:val="18"/>
          <w:color w:val="231F20"/>
        </w:rPr>
        <w:t xml:space="preserve"> For the year ended December 31, 2021, sublease rent income was </w:t>
      </w:r>
      <w:r>
        <w:rPr>
          <w:rFonts w:ascii="Times New Roman" w:cs="Times New Roman" w:eastAsia="Times New Roman" w:hAnsi="Times New Roman"/>
          <w:sz w:val="18"/>
          <w:szCs w:val="18"/>
          <w:color w:val="000000"/>
        </w:rPr>
        <w:t>$2.5 million</w:t>
      </w:r>
      <w:r>
        <w:rPr>
          <w:rFonts w:ascii="Times New Roman" w:cs="Times New Roman" w:eastAsia="Times New Roman" w:hAnsi="Times New Roman"/>
          <w:sz w:val="18"/>
          <w:szCs w:val="18"/>
          <w:color w:val="231F20"/>
        </w:rPr>
        <w:t>.</w:t>
      </w:r>
    </w:p>
    <w:p>
      <w:pPr>
        <w:spacing w:after="0" w:line="189"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consolidated statements of comprehensive loss.</w:t>
      </w:r>
    </w:p>
    <w:p>
      <w:pPr>
        <w:spacing w:after="0" w:line="204" w:lineRule="exact"/>
        <w:rPr>
          <w:sz w:val="20"/>
          <w:szCs w:val="20"/>
          <w:color w:val="auto"/>
        </w:rPr>
      </w:pPr>
    </w:p>
    <w:p>
      <w:pPr>
        <w:ind w:right="8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consolidated balance sheets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378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tcPr>
          <w:p>
            <w:pPr>
              <w:spacing w:after="0"/>
              <w:rPr>
                <w:sz w:val="23"/>
                <w:szCs w:val="23"/>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8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year ended December 31, 2023 was as follows:</w:t>
      </w:r>
    </w:p>
    <w:p>
      <w:pPr>
        <w:spacing w:after="0" w:line="275"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36830</wp:posOffset>
            </wp:positionV>
            <wp:extent cx="21170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57" w:lineRule="exact"/>
        <w:rPr>
          <w:sz w:val="20"/>
          <w:szCs w:val="20"/>
          <w:color w:val="auto"/>
        </w:rPr>
      </w:pPr>
    </w:p>
    <w:p>
      <w:pPr>
        <w:ind w:left="850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82"/>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0.6</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1.4</w:t>
            </w:r>
          </w:p>
        </w:tc>
      </w:tr>
      <w:tr>
        <w:trPr>
          <w:trHeight w:val="297"/>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4.5</w:t>
            </w: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97"/>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2.77%</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3.00%</w:t>
            </w:r>
          </w:p>
        </w:tc>
      </w:tr>
      <w:tr>
        <w:trPr>
          <w:trHeight w:val="297"/>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2.29%</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2.29%</w:t>
            </w: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97"/>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$8</w:t>
            </w:r>
          </w:p>
        </w:tc>
      </w:tr>
      <w:tr>
        <w:trPr>
          <w:trHeight w:val="297"/>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$7,688</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$7,007</w:t>
            </w:r>
          </w:p>
        </w:tc>
      </w:tr>
      <w:tr>
        <w:trPr>
          <w:trHeight w:val="297"/>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cash flows used in finance leases</w:t>
            </w: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$58</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$303</w:t>
            </w: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year ended December 31, 2023 for either finance or operating leases.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Future minimum lease payments required under operating and finance leases as of December 31, 2023, were as follows (in thousands):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r>
      <w:tr>
        <w:trPr>
          <w:trHeight w:val="27"/>
        </w:trPr>
        <w:tc>
          <w:tcPr>
            <w:tcW w:w="8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
        </w:trPr>
        <w:tc>
          <w:tcPr>
            <w:tcW w:w="8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
        </w:trPr>
        <w:tc>
          <w:tcPr>
            <w:tcW w:w="8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3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Transformation Initiative</w:t>
      </w:r>
    </w:p>
    <w:p>
      <w:pPr>
        <w:spacing w:after="0" w:line="22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2023, the Company executed a broad-based Transformation Initiative designed to build the Honest brand and drive growth in higher-margin areas of the portfolio, strengthen the Company’s cost structure, drive focus on the most productive areas of our business, deliver greater impact from brand-building investments, and improve executional excellence across the enterprise.</w:t>
      </w:r>
    </w:p>
    <w:p>
      <w:pPr>
        <w:spacing w:after="0" w:line="204"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Restructuring costs are one of the elements of the Transformation Initiative and are included in restructuring on the consolidated statements of comprehensive loss:</w:t>
      </w:r>
    </w:p>
    <w:p>
      <w:pPr>
        <w:spacing w:after="0" w:line="189" w:lineRule="exact"/>
        <w:rPr>
          <w:sz w:val="20"/>
          <w:szCs w:val="20"/>
          <w:color w:val="auto"/>
        </w:rPr>
      </w:pPr>
    </w:p>
    <w:p>
      <w:pPr>
        <w:ind w:left="1300" w:right="620" w:hanging="320"/>
        <w:spacing w:after="0" w:line="246" w:lineRule="auto"/>
        <w:tabs>
          <w:tab w:leader="none" w:pos="12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 Employee-related costs are primarily comprised of severance and other post-employment benefit costs, calculated based on salary levels, prior service and other statutory minimum benefits, if applicable.</w:t>
      </w:r>
    </w:p>
    <w:p>
      <w:pPr>
        <w:jc w:val="both"/>
        <w:ind w:left="1300" w:right="160" w:hanging="320"/>
        <w:spacing w:after="0" w:line="234" w:lineRule="auto"/>
        <w:tabs>
          <w:tab w:leader="none" w:pos="12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Asset-Related Costs – Asset-related costs consist of accelerated amortization related to visual merchandise in an international retail store taken out of service prior to its existing useful life as a direct result of the restructuring initiatives, as well as asset impairments related to technology taken out of service.</w:t>
      </w:r>
    </w:p>
    <w:p>
      <w:pPr>
        <w:spacing w:after="0" w:line="2" w:lineRule="exact"/>
        <w:rPr>
          <w:rFonts w:ascii="Times New Roman" w:cs="Times New Roman" w:eastAsia="Times New Roman" w:hAnsi="Times New Roman"/>
          <w:sz w:val="18"/>
          <w:szCs w:val="18"/>
          <w:color w:val="auto"/>
        </w:rPr>
      </w:pPr>
    </w:p>
    <w:p>
      <w:pPr>
        <w:ind w:left="1300" w:right="80" w:hanging="320"/>
        <w:spacing w:after="0" w:line="243" w:lineRule="auto"/>
        <w:tabs>
          <w:tab w:leader="none" w:pos="12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Terminations – Costs related to contract terminations include continuing payments to a third-party after the Company has ceased benefiting from the rights conveyed in the contract, or a payment made to terminate a contract prior to its expiration.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costs associated with the Transformation Initiative are comprised of the following:</w:t>
      </w:r>
    </w:p>
    <w:p>
      <w:pPr>
        <w:spacing w:after="0" w:line="239" w:lineRule="exact"/>
        <w:rPr>
          <w:sz w:val="20"/>
          <w:szCs w:val="20"/>
          <w:color w:val="auto"/>
        </w:rPr>
      </w:pPr>
    </w:p>
    <w:p>
      <w:pPr>
        <w:ind w:left="1300" w:right="200" w:hanging="320"/>
        <w:spacing w:after="0"/>
        <w:tabs>
          <w:tab w:leader="none" w:pos="12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Returns and Cost of Revenue – Product returns, chargebacks and markdowns are recorded as a reduction to revenue and inventory write-offs, write-downs or destruction costs as a direct result of the restructuring initiatives to exit certain products or geographic locations are recorded as a component of cost of revenue on the consolidated statements of comprehensive loss when estimable and reasonably assured.</w:t>
      </w:r>
    </w:p>
    <w:p>
      <w:pPr>
        <w:spacing w:after="0" w:line="2" w:lineRule="exact"/>
        <w:rPr>
          <w:rFonts w:ascii="Times New Roman" w:cs="Times New Roman" w:eastAsia="Times New Roman" w:hAnsi="Times New Roman"/>
          <w:sz w:val="18"/>
          <w:szCs w:val="18"/>
          <w:color w:val="auto"/>
        </w:rPr>
      </w:pPr>
    </w:p>
    <w:p>
      <w:pPr>
        <w:ind w:left="1300" w:right="680" w:hanging="320"/>
        <w:spacing w:after="0" w:line="234" w:lineRule="auto"/>
        <w:tabs>
          <w:tab w:leader="none" w:pos="12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 The Company incurred other costs related to the restructuring initiatives, which are included in selling, general and administrative expense on the consolidated statements of comprehensive loss and primarily include the following:</w:t>
      </w:r>
    </w:p>
    <w:p>
      <w:pPr>
        <w:spacing w:after="0" w:line="1" w:lineRule="exact"/>
        <w:rPr>
          <w:rFonts w:ascii="Times New Roman" w:cs="Times New Roman" w:eastAsia="Times New Roman" w:hAnsi="Times New Roman"/>
          <w:sz w:val="18"/>
          <w:szCs w:val="18"/>
          <w:color w:val="auto"/>
        </w:rPr>
      </w:pPr>
    </w:p>
    <w:p>
      <w:pPr>
        <w:ind w:left="1700" w:hanging="315"/>
        <w:spacing w:after="0" w:line="234" w:lineRule="auto"/>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Donation expenses related to inventory reserves, including tariffs, and</w:t>
      </w:r>
    </w:p>
    <w:p>
      <w:pPr>
        <w:ind w:left="1700" w:hanging="315"/>
        <w:spacing w:after="0"/>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other professional services.</w:t>
      </w: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43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Employee-Related</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Asset-Related Costs</w:t>
            </w: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Terminations</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Charges for the year ended December 31, 2023</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1,142</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accrued expenses as of December 31, 2023 relating to the Transformation Initiative were:</w:t>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26" w:right="27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3"/>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7"/>
        </w:trPr>
        <w:tc>
          <w:tcPr>
            <w:tcW w:w="5380" w:type="dxa"/>
            <w:vAlign w:val="bottom"/>
          </w:tcPr>
          <w:p>
            <w:pPr>
              <w:spacing w:after="0"/>
              <w:rPr>
                <w:sz w:val="23"/>
                <w:szCs w:val="23"/>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Related Costs</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Terminations</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 (adjustments)</w:t>
            </w: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asset write-offs</w:t>
            </w: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1"/>
        </w:trPr>
        <w:tc>
          <w:tcPr>
            <w:tcW w:w="5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Included in accrued expenses as of December 31, 2023. Refer to Note 9, "Accrued Expenses" included elsewhere in these consolidated financial statements.</w:t>
      </w:r>
    </w:p>
    <w:p>
      <w:pPr>
        <w:spacing w:after="0" w:line="29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costs associated with the restructuring initiatives once the relevant accounting criteria have been met. Accrued restructuring costs of $0.4 million related to severance costs as of December 31, 2023 are expected to result in cash expenditures funded from cash provided by operations in future periods and is included in accrued expenses on the consolidated balance sheets.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as of the period ended December 31, 2023,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3"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2023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4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for “emerging growth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December 31, 2023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0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type w:val="continuous"/>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“Election of Directors”, “Delinquent Section 16(a) Reports”, and “Information Regarding the Board and Corporate Governance” in the Company’s definitive Proxy Statement for its 2024 Annual Stockholder Meeting, to be filed with the SEC within 120 days after December 31, 2023, and is incorporated herein by reference.</w:t>
      </w:r>
    </w:p>
    <w:p>
      <w:pPr>
        <w:spacing w:after="0" w:line="204"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7"/>
          <w:szCs w:val="17"/>
          <w:color w:val="auto"/>
        </w:rPr>
        <w:t>We maintain a Code of Conduct that is applicable to all employees, officers and directors. Our Code of Conduct is available on our website at investors.honest.com. We expect that any amendments to the Code of Conduct, or any waivers of its requirements, will be disclosed on our website, if required by applicable law or the listing standards of The Nasdaq Global Select Market. The inclusion of our website address in this Annual Report on Form 10-K does not include or incorporate by reference into this Annual Report on Form 10-K the information on or accessible through our website.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3"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and “Information Regarding the Board and Corporate Governance” in the Company’s definitive Proxy Statement for its 2024 Annual Stockholder Meeting, to be filed with the SEC within 120 days after December 31, 2023, and is incorporated herein by reference.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“Security Ownership of Certain Beneficial Owners and Management” and “Securities Authorized for Issuance Under Equity Compensation Plans” in the Company’s definitive Proxy Statement for its 2024 Annual Stockholder Meeting, to be filed with the SEC within 120 days after December 31, 2023, and is incorporated herein by reference.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“Transactions with Related Persons and Indemnification” and “Information Regarding the Board and Corporate Governance in the Company’s definitive Proxy Statement for its 2024 Annual Stockholder Meeting, to be filed with the SEC within 120 days after December 31, 2023, and is incorporated herein by 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“Ratification of Selection of Independent Registered Public Accounting Firm” in the Company’s definitive Proxy Statement for its 2024 Annual Stockholder Meeting, to be filed with the SEC within 120 days after December 31, 2023,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9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Consolidated Financial Statements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7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they are not applicable, not required under the instructions,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information is included in the consolidated financial statements or notes thereto.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is a list of exhibits filed with this report or incorporated herein by reference: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80" w:type="dxa"/>
            <w:vAlign w:val="bottom"/>
            <w:gridSpan w:val="3"/>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4"/>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Filing Date   Filed Herewith</w:t>
            </w:r>
          </w:p>
        </w:tc>
      </w:tr>
      <w:tr>
        <w:trPr>
          <w:trHeight w:val="238"/>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6334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Certificate of</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Incorporation of the Company.</w:t>
            </w:r>
          </w:p>
        </w:tc>
        <w:tc>
          <w:tcPr>
            <w:tcW w:w="5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the Company.</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250"/>
        </w:trPr>
        <w:tc>
          <w:tcPr>
            <w:tcW w:w="20" w:type="dxa"/>
            <w:vAlign w:val="bottom"/>
          </w:tcPr>
          <w:p>
            <w:pPr>
              <w:spacing w:after="0"/>
              <w:rPr>
                <w:sz w:val="21"/>
                <w:szCs w:val="21"/>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250"/>
        </w:trPr>
        <w:tc>
          <w:tcPr>
            <w:tcW w:w="20" w:type="dxa"/>
            <w:vAlign w:val="bottom"/>
          </w:tcPr>
          <w:p>
            <w:pPr>
              <w:spacing w:after="0"/>
              <w:rPr>
                <w:sz w:val="21"/>
                <w:szCs w:val="21"/>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250"/>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13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Investors’ Rights</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dated as of June 11, 2018.</w:t>
            </w:r>
          </w:p>
        </w:tc>
        <w:tc>
          <w:tcPr>
            <w:tcW w:w="520" w:type="dxa"/>
            <w:vAlign w:val="bottom"/>
          </w:tcPr>
          <w:p>
            <w:pPr>
              <w:spacing w:after="0"/>
              <w:rPr>
                <w:sz w:val="20"/>
                <w:szCs w:val="20"/>
                <w:color w:val="auto"/>
              </w:rPr>
            </w:pPr>
          </w:p>
        </w:tc>
      </w:tr>
      <w:tr>
        <w:trPr>
          <w:trHeight w:val="230"/>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2011 Stock Incentive Plan and forms of</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agreements thereunder.</w:t>
            </w:r>
          </w:p>
        </w:tc>
        <w:tc>
          <w:tcPr>
            <w:tcW w:w="520" w:type="dxa"/>
            <w:vAlign w:val="bottom"/>
          </w:tcPr>
          <w:p>
            <w:pPr>
              <w:spacing w:after="0"/>
              <w:rPr>
                <w:sz w:val="20"/>
                <w:szCs w:val="20"/>
                <w:color w:val="auto"/>
              </w:rPr>
            </w:pPr>
          </w:p>
        </w:tc>
      </w:tr>
      <w:tr>
        <w:trPr>
          <w:trHeight w:val="229"/>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Equity Incentive Plan and forms of</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agreements thereunder.</w:t>
            </w:r>
          </w:p>
        </w:tc>
        <w:tc>
          <w:tcPr>
            <w:tcW w:w="5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140" w:type="dxa"/>
            <w:vAlign w:val="bottom"/>
            <w:gridSpan w:val="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Non-Employee Director Compensation Policy.</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Indemnity Agreement entered into by</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between the Company and each director and</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c>
          <w:tcPr>
            <w:tcW w:w="520" w:type="dxa"/>
            <w:vAlign w:val="bottom"/>
          </w:tcPr>
          <w:p>
            <w:pPr>
              <w:spacing w:after="0"/>
              <w:rPr>
                <w:sz w:val="20"/>
                <w:szCs w:val="20"/>
                <w:color w:val="auto"/>
              </w:rPr>
            </w:pPr>
          </w:p>
        </w:tc>
      </w:tr>
      <w:tr>
        <w:trPr>
          <w:trHeight w:val="230"/>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dated April 26, 2021, by and between the</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and Jessica Warren.</w:t>
            </w:r>
          </w:p>
        </w:tc>
        <w:tc>
          <w:tcPr>
            <w:tcW w:w="520" w:type="dxa"/>
            <w:vAlign w:val="bottom"/>
          </w:tcPr>
          <w:p>
            <w:pPr>
              <w:spacing w:after="0"/>
              <w:rPr>
                <w:sz w:val="20"/>
                <w:szCs w:val="20"/>
                <w:color w:val="auto"/>
              </w:rPr>
            </w:pPr>
          </w:p>
        </w:tc>
      </w:tr>
      <w:tr>
        <w:trPr>
          <w:trHeight w:val="229"/>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dated April 24, 2021, by and between the</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and Brendan Sheehey.</w:t>
            </w:r>
          </w:p>
        </w:tc>
        <w:tc>
          <w:tcPr>
            <w:tcW w:w="520" w:type="dxa"/>
            <w:vAlign w:val="bottom"/>
          </w:tcPr>
          <w:p>
            <w:pPr>
              <w:spacing w:after="0"/>
              <w:rPr>
                <w:sz w:val="20"/>
                <w:szCs w:val="20"/>
                <w:color w:val="auto"/>
              </w:rPr>
            </w:pPr>
          </w:p>
        </w:tc>
      </w:tr>
      <w:tr>
        <w:trPr>
          <w:trHeight w:val="229"/>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14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 Lease, dated as of July 8, 2015, by</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between the Company and CV</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Latitude 34 LLC.</w:t>
            </w:r>
          </w:p>
        </w:tc>
        <w:tc>
          <w:tcPr>
            <w:tcW w:w="520" w:type="dxa"/>
            <w:vAlign w:val="bottom"/>
          </w:tcPr>
          <w:p>
            <w:pPr>
              <w:spacing w:after="0"/>
              <w:rPr>
                <w:sz w:val="20"/>
                <w:szCs w:val="20"/>
                <w:color w:val="auto"/>
              </w:rPr>
            </w:pPr>
          </w:p>
        </w:tc>
      </w:tr>
      <w:tr>
        <w:trPr>
          <w:trHeight w:val="230"/>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Warehouse Lease Agreement, dated as of</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16, 2016, by and between the</w:t>
            </w: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and GLP US Management LLC</w:t>
            </w: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successor in interest to PHI Donovan</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 LLC), as amended.</w:t>
            </w:r>
          </w:p>
        </w:tc>
        <w:tc>
          <w:tcPr>
            <w:tcW w:w="520" w:type="dxa"/>
            <w:vAlign w:val="bottom"/>
          </w:tcPr>
          <w:p>
            <w:pPr>
              <w:spacing w:after="0"/>
              <w:rPr>
                <w:sz w:val="20"/>
                <w:szCs w:val="20"/>
                <w:color w:val="auto"/>
              </w:rPr>
            </w:pPr>
          </w:p>
        </w:tc>
      </w:tr>
      <w:tr>
        <w:trPr>
          <w:trHeight w:val="229"/>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dated April 22,</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by and between the Company and</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 Winchell.</w:t>
            </w:r>
          </w:p>
        </w:tc>
        <w:tc>
          <w:tcPr>
            <w:tcW w:w="520" w:type="dxa"/>
            <w:vAlign w:val="bottom"/>
          </w:tcPr>
          <w:p>
            <w:pPr>
              <w:spacing w:after="0"/>
              <w:rPr>
                <w:sz w:val="20"/>
                <w:szCs w:val="20"/>
                <w:color w:val="auto"/>
              </w:rPr>
            </w:pPr>
          </w:p>
        </w:tc>
      </w:tr>
      <w:tr>
        <w:trPr>
          <w:trHeight w:val="230"/>
        </w:trPr>
        <w:tc>
          <w:tcPr>
            <w:tcW w:w="1160" w:type="dxa"/>
            <w:vAlign w:val="bottom"/>
            <w:gridSpan w:val="6"/>
          </w:tcPr>
          <w:p>
            <w:pPr>
              <w:ind w:left="2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dated April 13, 2023,</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and between the Company and Katherine</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Barton.</w:t>
            </w: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001-40378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001-40378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001-40378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001-40378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333-255150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001-40378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001-40378</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5/11/2021</w:t>
            </w:r>
          </w:p>
        </w:tc>
      </w:tr>
      <w:tr>
        <w:trPr>
          <w:trHeight w:val="4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3/16/2023</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3/28/2022</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3/28/2022</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4/9/2021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4/9/2021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4/20/2021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4/20/2021</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4/26/2021</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4/20/2021</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4/26/2021</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4/26/2021</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4/9/2021</w:t>
            </w:r>
          </w:p>
        </w:tc>
      </w:tr>
      <w:tr>
        <w:trPr>
          <w:trHeight w:val="70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4/9/2021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5/13/2022</w:t>
      </w:r>
    </w:p>
    <w:p>
      <w:pPr>
        <w:spacing w:after="0" w:line="200" w:lineRule="exact"/>
        <w:rPr>
          <w:sz w:val="20"/>
          <w:szCs w:val="20"/>
          <w:color w:val="auto"/>
        </w:rPr>
      </w:pPr>
    </w:p>
    <w:p>
      <w:pPr>
        <w:spacing w:after="0" w:line="29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5/9/2023</w:t>
      </w:r>
    </w:p>
    <w:p>
      <w:pPr>
        <w:spacing w:after="0" w:line="659" w:lineRule="exact"/>
        <w:rPr>
          <w:sz w:val="20"/>
          <w:szCs w:val="20"/>
          <w:color w:val="auto"/>
        </w:rPr>
      </w:pPr>
    </w:p>
    <w:p>
      <w:pPr>
        <w:sectPr>
          <w:pgSz w:w="11900" w:h="16838" w:orient="portrait"/>
          <w:cols w:equalWidth="0" w:num="3">
            <w:col w:w="5560" w:space="720"/>
            <w:col w:w="860" w:space="400"/>
            <w:col w:w="3700"/>
          </w:cols>
          <w:pgMar w:left="320" w:top="1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r>
              <w:rPr>
                <w:rFonts w:ascii="Times New Roman" w:cs="Times New Roman" w:eastAsia="Times New Roman" w:hAnsi="Times New Roman"/>
                <w:sz w:val="18"/>
                <w:szCs w:val="18"/>
                <w:color w:val="000000"/>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August 31, 2023,</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11/8/2023</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between the Company and David Loretta.</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30"/>
        </w:trPr>
        <w:tc>
          <w:tcPr>
            <w:tcW w:w="880" w:type="dxa"/>
            <w:vAlign w:val="bottom"/>
            <w:gridSpan w:val="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r>
              <w:rPr>
                <w:rFonts w:ascii="Times New Roman" w:cs="Times New Roman" w:eastAsia="Times New Roman" w:hAnsi="Times New Roman"/>
                <w:sz w:val="18"/>
                <w:szCs w:val="18"/>
                <w:color w:val="000000"/>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Separation Agreement and Release of Claims,</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10.2</w:t>
            </w:r>
          </w:p>
        </w:tc>
        <w:tc>
          <w:tcPr>
            <w:tcW w:w="23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11/8/2023</w:t>
            </w:r>
          </w:p>
        </w:tc>
      </w:tr>
      <w:tr>
        <w:trPr>
          <w:trHeight w:val="218"/>
        </w:trPr>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dated September 29, 2023, by and between the</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and Kelly Kennedy.</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Agreement dated January 25, 2023, by and</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1/27/2023</w:t>
            </w:r>
          </w:p>
        </w:tc>
      </w:tr>
      <w:tr>
        <w:trPr>
          <w:trHeight w:val="218"/>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among the Company, the lenders party thereto and</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JPMorgan Chase Bank, N.A., as administrative</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agent.</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880" w:type="dxa"/>
            <w:vAlign w:val="bottom"/>
            <w:gridSpan w:val="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r>
              <w:rPr>
                <w:rFonts w:ascii="Times New Roman" w:cs="Times New Roman" w:eastAsia="Times New Roman" w:hAnsi="Times New Roman"/>
                <w:sz w:val="18"/>
                <w:szCs w:val="18"/>
                <w:color w:val="000000"/>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Separation Agreement and Release of Claims,</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10.5</w:t>
            </w:r>
          </w:p>
        </w:tc>
        <w:tc>
          <w:tcPr>
            <w:tcW w:w="2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3/16/2023</w:t>
            </w:r>
          </w:p>
        </w:tc>
      </w:tr>
      <w:tr>
        <w:trPr>
          <w:trHeight w:val="218"/>
        </w:trPr>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dated January 10, 2023, by and between the</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and Nikolas Vlahos.</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880" w:type="dxa"/>
            <w:vAlign w:val="bottom"/>
            <w:gridSpan w:val="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r>
              <w:rPr>
                <w:rFonts w:ascii="Times New Roman" w:cs="Times New Roman" w:eastAsia="Times New Roman" w:hAnsi="Times New Roman"/>
                <w:sz w:val="18"/>
                <w:szCs w:val="18"/>
                <w:color w:val="000000"/>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January 9, 2023,</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10.6</w:t>
            </w:r>
          </w:p>
        </w:tc>
        <w:tc>
          <w:tcPr>
            <w:tcW w:w="2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3/16/2023</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between the Company and Carla Vernón.</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 Inducement Plan</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3/16/2023</w:t>
            </w:r>
          </w:p>
        </w:tc>
      </w:tr>
      <w:tr>
        <w:trPr>
          <w:trHeight w:val="250"/>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460" w:type="dxa"/>
            <w:vAlign w:val="bottom"/>
          </w:tcPr>
          <w:p>
            <w:pPr>
              <w:spacing w:after="0"/>
              <w:rPr>
                <w:sz w:val="21"/>
                <w:szCs w:val="21"/>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Global RSU Award Grant Notice and</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10.2</w:t>
            </w:r>
          </w:p>
        </w:tc>
        <w:tc>
          <w:tcPr>
            <w:tcW w:w="2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3/16/2023</w:t>
            </w:r>
          </w:p>
        </w:tc>
      </w:tr>
      <w:tr>
        <w:trPr>
          <w:trHeight w:val="218"/>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RSU Award Agreement under the 2023</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Inducement Plan</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00"/>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Amended and Restated Contract</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Agreement, dated as of January 1,</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 by and between the Company and Valor</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Brands LLC, a.k.a. Ontex North America.</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r>
              <w:rPr>
                <w:rFonts w:ascii="Times New Roman" w:cs="Times New Roman" w:eastAsia="Times New Roman" w:hAnsi="Times New Roman"/>
                <w:sz w:val="18"/>
                <w:szCs w:val="18"/>
                <w:color w:val="000000"/>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January 1, 2024,</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between the Company and Dorria Ball.</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54">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List of Subsidiaries</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21.1</w:t>
            </w:r>
          </w:p>
        </w:tc>
        <w:tc>
          <w:tcPr>
            <w:tcW w:w="23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3/16/2023</w:t>
            </w:r>
          </w:p>
        </w:tc>
      </w:tr>
      <w:tr>
        <w:trPr>
          <w:trHeight w:val="25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8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37"/>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of Attorney (included on the signature</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37"/>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page of this Annual Report on Form 10-K)</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Rule 13a-14(a) and Rule 15d-14(a), as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adopted pursuant to Section 302 of the Sarbanes-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Oxley Act of 2002</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Rule 13a-14(a) and Rule 15d-14(a), as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adopted pursuant to Section 302 of the Sarbanes-</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Oxley Act of 2002</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9"/>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46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18 U.S.C. Section 1350, as adopted</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ind w:left="1240"/>
        <w:spacing w:after="0"/>
        <w:rPr>
          <w:sz w:val="20"/>
          <w:szCs w:val="20"/>
          <w:color w:val="auto"/>
        </w:rPr>
      </w:pPr>
      <w:r>
        <w:rPr>
          <w:rFonts w:ascii="Times New Roman" w:cs="Times New Roman" w:eastAsia="Times New Roman" w:hAnsi="Times New Roman"/>
          <w:sz w:val="18"/>
          <w:szCs w:val="18"/>
          <w:color w:val="auto"/>
        </w:rPr>
        <w:t>pursuant to Section 906 of the Sarbanes-Oxley</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40" w:top="810" w:right="859" w:bottom="1440" w:gutter="0" w:footer="0" w:header="0"/>
        </w:sectPr>
      </w:pPr>
    </w:p>
    <w:bookmarkStart w:id="110" w:name="page111"/>
    <w:bookmarkEnd w:id="110"/>
    <w:tbl>
      <w:tblPr>
        <w:tblLayout w:type="fixed"/>
        <w:tblInd w:w="93"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306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1"/>
              </w:rPr>
              <w:t>X</w:t>
            </w:r>
          </w:p>
        </w:tc>
      </w:tr>
      <w:tr>
        <w:trPr>
          <w:trHeight w:val="218"/>
        </w:trPr>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18 U.S.C. Section 1350, as adopted</w:t>
            </w:r>
          </w:p>
        </w:tc>
        <w:tc>
          <w:tcPr>
            <w:tcW w:w="30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30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 of 2002</w:t>
            </w:r>
          </w:p>
        </w:tc>
        <w:tc>
          <w:tcPr>
            <w:tcW w:w="3060" w:type="dxa"/>
            <w:vAlign w:val="bottom"/>
          </w:tcPr>
          <w:p>
            <w:pPr>
              <w:spacing w:after="0"/>
              <w:rPr>
                <w:sz w:val="20"/>
                <w:szCs w:val="20"/>
                <w:color w:val="auto"/>
              </w:rPr>
            </w:pPr>
          </w:p>
        </w:tc>
      </w:tr>
      <w:tr>
        <w:trPr>
          <w:trHeight w:val="229"/>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w:t>
            </w:r>
          </w:p>
        </w:tc>
        <w:tc>
          <w:tcPr>
            <w:tcW w:w="660" w:type="dxa"/>
            <w:vAlign w:val="bottom"/>
          </w:tcPr>
          <w:p>
            <w:pPr>
              <w:spacing w:after="0"/>
              <w:rPr>
                <w:sz w:val="19"/>
                <w:szCs w:val="19"/>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Honest Company, Inc. Clawback Policy</w:t>
            </w:r>
          </w:p>
        </w:tc>
        <w:tc>
          <w:tcPr>
            <w:tcW w:w="306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060" w:type="dxa"/>
            <w:vAlign w:val="bottom"/>
          </w:tcPr>
          <w:p>
            <w:pPr>
              <w:spacing w:after="0"/>
              <w:rPr>
                <w:sz w:val="23"/>
                <w:szCs w:val="23"/>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3060" w:type="dxa"/>
            <w:vAlign w:val="bottom"/>
          </w:tcPr>
          <w:p>
            <w:pPr>
              <w:spacing w:after="0"/>
              <w:rPr>
                <w:sz w:val="18"/>
                <w:szCs w:val="18"/>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Document</w:t>
            </w:r>
          </w:p>
        </w:tc>
        <w:tc>
          <w:tcPr>
            <w:tcW w:w="30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30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3060" w:type="dxa"/>
            <w:vAlign w:val="bottom"/>
          </w:tcPr>
          <w:p>
            <w:pPr>
              <w:spacing w:after="0"/>
              <w:rPr>
                <w:sz w:val="20"/>
                <w:szCs w:val="20"/>
                <w:color w:val="auto"/>
              </w:rPr>
            </w:pPr>
          </w:p>
        </w:tc>
      </w:tr>
      <w:tr>
        <w:trPr>
          <w:trHeight w:val="25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3060" w:type="dxa"/>
            <w:vAlign w:val="bottom"/>
          </w:tcPr>
          <w:p>
            <w:pPr>
              <w:spacing w:after="0"/>
              <w:rPr>
                <w:sz w:val="21"/>
                <w:szCs w:val="2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3060" w:type="dxa"/>
            <w:vAlign w:val="bottom"/>
          </w:tcPr>
          <w:p>
            <w:pPr>
              <w:spacing w:after="0"/>
              <w:rPr>
                <w:sz w:val="18"/>
                <w:szCs w:val="18"/>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0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30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30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3060" w:type="dxa"/>
            <w:vAlign w:val="bottom"/>
          </w:tcPr>
          <w:p>
            <w:pPr>
              <w:spacing w:after="0"/>
              <w:rPr>
                <w:sz w:val="20"/>
                <w:szCs w:val="20"/>
                <w:color w:val="auto"/>
              </w:rPr>
            </w:pPr>
          </w:p>
        </w:tc>
      </w:tr>
    </w:tbl>
    <w:p>
      <w:pPr>
        <w:spacing w:after="0" w:line="22" w:lineRule="exact"/>
        <w:rPr>
          <w:sz w:val="20"/>
          <w:szCs w:val="20"/>
          <w:color w:val="auto"/>
        </w:rPr>
      </w:pPr>
    </w:p>
    <w:p>
      <w:pPr>
        <w:ind w:left="1353" w:right="6560" w:hanging="1254"/>
        <w:spacing w:after="0" w:line="266" w:lineRule="auto"/>
        <w:tabs>
          <w:tab w:leader="none" w:pos="1353"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9" w:lineRule="exact"/>
        <w:rPr>
          <w:rFonts w:ascii="Times New Roman" w:cs="Times New Roman" w:eastAsia="Times New Roman" w:hAnsi="Times New Roman"/>
          <w:sz w:val="18"/>
          <w:szCs w:val="18"/>
          <w:color w:val="auto"/>
        </w:rPr>
      </w:pPr>
    </w:p>
    <w:p>
      <w:pPr>
        <w:ind w:left="233" w:hanging="152"/>
        <w:spacing w:after="0"/>
        <w:tabs>
          <w:tab w:leader="none" w:pos="23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15" w:lineRule="exact"/>
        <w:rPr>
          <w:rFonts w:ascii="Times New Roman" w:cs="Times New Roman" w:eastAsia="Times New Roman" w:hAnsi="Times New Roman"/>
          <w:sz w:val="18"/>
          <w:szCs w:val="18"/>
          <w:color w:val="auto"/>
        </w:rPr>
      </w:pPr>
    </w:p>
    <w:p>
      <w:pPr>
        <w:ind w:left="73" w:hanging="81"/>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-590550</wp:posOffset>
            </wp:positionV>
            <wp:extent cx="15855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left="73" w:right="20" w:hanging="73"/>
        <w:spacing w:after="0" w:line="243" w:lineRule="auto"/>
        <w:tabs>
          <w:tab w:leader="none" w:pos="1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because the registrant has determined that the information is both not material and is the type that the registrant treats as private or confidential.</w:t>
      </w:r>
    </w:p>
    <w:p>
      <w:pPr>
        <w:spacing w:after="0" w:line="25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2"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left="73" w:right="9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6153"/>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93"/>
        <w:spacing w:after="0"/>
        <w:tabs>
          <w:tab w:leader="none" w:pos="5813"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34290</wp:posOffset>
            </wp:positionV>
            <wp:extent cx="3300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Carla Vernón</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4" w:lineRule="exact"/>
        <w:rPr>
          <w:sz w:val="20"/>
          <w:szCs w:val="20"/>
          <w:color w:val="auto"/>
        </w:rPr>
      </w:pPr>
    </w:p>
    <w:p>
      <w:pPr>
        <w:ind w:left="7673"/>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8"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ind w:left="73" w:right="160"/>
        <w:spacing w:after="0" w:line="237"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Carla Vernón, David Loretta and Brendan Sheehey, and each one of them, as his or her true and lawful attorneys-in-fact and agents, with full power of substitution and resubstitution, for him or her and in their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16" w:lineRule="exact"/>
        <w:rPr>
          <w:sz w:val="20"/>
          <w:szCs w:val="20"/>
          <w:color w:val="auto"/>
        </w:rPr>
      </w:pPr>
    </w:p>
    <w:p>
      <w:pPr>
        <w:ind w:left="73" w:right="7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73"/>
          </w:cols>
          <w:pgMar w:left="247" w:top="81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172720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810" w:right="37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4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Carla Vernón</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Carla Vernón</w:t>
            </w:r>
          </w:p>
        </w:tc>
        <w:tc>
          <w:tcPr>
            <w:tcW w:w="100" w:type="dxa"/>
            <w:vAlign w:val="bottom"/>
          </w:tcPr>
          <w:p>
            <w:pPr>
              <w:spacing w:after="0"/>
              <w:rPr>
                <w:sz w:val="20"/>
                <w:szCs w:val="20"/>
                <w:color w:val="auto"/>
              </w:rPr>
            </w:pPr>
          </w:p>
        </w:tc>
        <w:tc>
          <w:tcPr>
            <w:tcW w:w="4740" w:type="dxa"/>
            <w:vAlign w:val="bottom"/>
            <w:gridSpan w:val="2"/>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Loretta</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Loretta</w:t>
            </w:r>
          </w:p>
        </w:tc>
        <w:tc>
          <w:tcPr>
            <w:tcW w:w="10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Jessica Warren</w:t>
            </w:r>
          </w:p>
        </w:tc>
        <w:tc>
          <w:tcPr>
            <w:tcW w:w="100" w:type="dxa"/>
            <w:vAlign w:val="bottom"/>
          </w:tcPr>
          <w:p>
            <w:pPr>
              <w:spacing w:after="0"/>
              <w:rPr>
                <w:sz w:val="22"/>
                <w:szCs w:val="22"/>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Creative Officer and 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Jessica Warren</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Katie Bayne</w:t>
            </w: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Katie Bayne</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Barkley</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Barkley</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Susan Gentile</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Gentile</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R. Hartung</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R. Hartung</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Alissa Hsu Lynch</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Alissa Hsu Lynch</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Andrea Turner</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Turner</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D. White</w:t>
            </w:r>
          </w:p>
        </w:tc>
        <w:tc>
          <w:tcPr>
            <w:tcW w:w="10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D. White</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100"/>
          </w:cols>
          <w:pgMar w:left="320" w:top="819" w:right="47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THIRD AMENDED CONTRACT MANUFACTURING AGREEMENT</w:t>
      </w:r>
    </w:p>
    <w:p>
      <w:pPr>
        <w:spacing w:after="0" w:line="224"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2"/>
          <w:szCs w:val="22"/>
          <w:color w:val="auto"/>
        </w:rPr>
        <w:t>This Third Amended Contract Manufacturing Agreement (the "Agreement") is entered into as of January 1, 2024 (the "Effective Date"), by and between The Honest Company, Inc., a Delaware corporation, having a principal place of business at 12130 Millennium Drive, Suite 500, Los Angeles, California 90094 ("Honest"), and Valor Brands LLC, a.k.a. Ontex, a limited liability company organized and existing under the laws of the State of Delaware, having a principal place of business at 5900 Windward Pkwy # 100, Alpharetta, GA 30005 ("Supplier"). Honest and Supplier shall hereinafter be individually referred to as a "Party" and, collectively, as the "Parties."</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left="960" w:hanging="634"/>
        <w:spacing w:after="0"/>
        <w:tabs>
          <w:tab w:leader="none" w:pos="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Honest is engaged in the development, distribution and marketing of consumer products.</w:t>
      </w:r>
    </w:p>
    <w:p>
      <w:pPr>
        <w:spacing w:after="0" w:line="206" w:lineRule="exact"/>
        <w:rPr>
          <w:rFonts w:ascii="Times New Roman" w:cs="Times New Roman" w:eastAsia="Times New Roman" w:hAnsi="Times New Roman"/>
          <w:sz w:val="22"/>
          <w:szCs w:val="22"/>
          <w:color w:val="auto"/>
        </w:rPr>
      </w:pPr>
    </w:p>
    <w:p>
      <w:pPr>
        <w:ind w:left="980" w:right="780" w:hanging="654"/>
        <w:spacing w:after="0" w:line="271" w:lineRule="auto"/>
        <w:tabs>
          <w:tab w:leader="none" w:pos="97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and/or its Affiliates (defined below) are engaged in the manufacture, sale and distribution of certain consumer products.</w:t>
      </w:r>
    </w:p>
    <w:p>
      <w:pPr>
        <w:spacing w:after="0" w:line="130" w:lineRule="exact"/>
        <w:rPr>
          <w:rFonts w:ascii="Times New Roman" w:cs="Times New Roman" w:eastAsia="Times New Roman" w:hAnsi="Times New Roman"/>
          <w:sz w:val="22"/>
          <w:szCs w:val="22"/>
          <w:color w:val="auto"/>
        </w:rPr>
      </w:pPr>
    </w:p>
    <w:p>
      <w:pPr>
        <w:ind w:left="980" w:right="400" w:hanging="654"/>
        <w:spacing w:after="0" w:line="250" w:lineRule="auto"/>
        <w:tabs>
          <w:tab w:leader="none" w:pos="97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Honest and Supplier are parties to the “Second Amended Contract Manufacturing Agreement” dated January 1, 2019, by which Supplier manufactures and supplies certain consumer products to Honest, which agreement is set to expire on December 31, 2023 (the “Original Agreement”).</w:t>
      </w:r>
    </w:p>
    <w:p>
      <w:pPr>
        <w:spacing w:after="0" w:line="181" w:lineRule="exact"/>
        <w:rPr>
          <w:rFonts w:ascii="Times New Roman" w:cs="Times New Roman" w:eastAsia="Times New Roman" w:hAnsi="Times New Roman"/>
          <w:sz w:val="22"/>
          <w:szCs w:val="22"/>
          <w:color w:val="auto"/>
        </w:rPr>
      </w:pPr>
    </w:p>
    <w:p>
      <w:pPr>
        <w:ind w:left="980" w:right="1100" w:hanging="654"/>
        <w:spacing w:after="0" w:line="271" w:lineRule="auto"/>
        <w:tabs>
          <w:tab w:leader="none" w:pos="97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Honest and Supplier desire to enter into this Agreement governing the supply of Product (defined below) upon the terms and conditions contained herein.</w:t>
      </w:r>
    </w:p>
    <w:p>
      <w:pPr>
        <w:spacing w:after="0" w:line="144" w:lineRule="exact"/>
        <w:rPr>
          <w:rFonts w:ascii="Times New Roman" w:cs="Times New Roman" w:eastAsia="Times New Roman" w:hAnsi="Times New Roman"/>
          <w:sz w:val="22"/>
          <w:szCs w:val="22"/>
          <w:color w:val="auto"/>
        </w:rPr>
      </w:pPr>
    </w:p>
    <w:p>
      <w:pPr>
        <w:ind w:left="980" w:right="980" w:hanging="654"/>
        <w:spacing w:after="0" w:line="271" w:lineRule="auto"/>
        <w:tabs>
          <w:tab w:leader="none" w:pos="97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supersede and replace in its entirety that “Second Amended Contract Manufacturing Agreement” dated January 1, 2019 as amended.</w:t>
      </w:r>
    </w:p>
    <w:p>
      <w:pPr>
        <w:spacing w:after="0" w:line="360" w:lineRule="exact"/>
        <w:rPr>
          <w:sz w:val="20"/>
          <w:szCs w:val="20"/>
          <w:color w:val="auto"/>
        </w:rPr>
      </w:pPr>
    </w:p>
    <w:p>
      <w:pPr>
        <w:ind w:right="980"/>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is hereby acknowledged, the Parties agree as follows:</w:t>
      </w:r>
    </w:p>
    <w:p>
      <w:pPr>
        <w:spacing w:after="0" w:line="2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ARTICLE 1 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in this Agreement, the following capitalized terms shall have the following meanings:</w:t>
      </w:r>
    </w:p>
    <w:p>
      <w:pPr>
        <w:spacing w:after="0" w:line="202" w:lineRule="exact"/>
        <w:rPr>
          <w:sz w:val="20"/>
          <w:szCs w:val="20"/>
          <w:color w:val="auto"/>
        </w:rPr>
      </w:pPr>
    </w:p>
    <w:p>
      <w:pPr>
        <w:ind w:right="44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1.1 “Affiliates</w:t>
      </w:r>
      <w:r>
        <w:rPr>
          <w:rFonts w:ascii="Times New Roman" w:cs="Times New Roman" w:eastAsia="Times New Roman" w:hAnsi="Times New Roman"/>
          <w:sz w:val="22"/>
          <w:szCs w:val="22"/>
          <w:color w:val="auto"/>
        </w:rPr>
        <w:t>” means any Person that, directly or indirectly, through one or more intermediaries, controls,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or is under common control with a Party, regardless of whether such Affiliate is or becomes an Affiliate on or after the Effective Date. An individual, party, corporation or other business entity of any kind ("Person") shall be deemed to "control" another Person if it: (a) owns, directly or indirectly, beneficially or legally, at least 50% of the outstanding voting securities or capital stock (or such lesser percentage which is the maximum allowed to be owned by a Person in a particular jurisdiction) of such other Person, or has other comparable ownership interest with respect to any Person other than a corporation; or (b) has the</w:t>
      </w:r>
    </w:p>
    <w:p>
      <w:pPr>
        <w:sectPr>
          <w:pgSz w:w="11900" w:h="16838" w:orient="portrait"/>
          <w:cols w:equalWidth="0" w:num="1">
            <w:col w:w="11140"/>
          </w:cols>
          <w:pgMar w:left="420" w:top="7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power, whether pursuant to contract, ownership of securities or otherwise, to direct the management and policies of the Person.</w:t>
      </w:r>
    </w:p>
    <w:p>
      <w:pPr>
        <w:spacing w:after="0" w:line="214" w:lineRule="exact"/>
        <w:rPr>
          <w:sz w:val="20"/>
          <w:szCs w:val="20"/>
          <w:color w:val="auto"/>
        </w:rPr>
      </w:pPr>
    </w:p>
    <w:p>
      <w:pPr>
        <w:ind w:right="180"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1.2 "Applicable Laws" </w:t>
      </w:r>
      <w:r>
        <w:rPr>
          <w:rFonts w:ascii="Times New Roman" w:cs="Times New Roman" w:eastAsia="Times New Roman" w:hAnsi="Times New Roman"/>
          <w:sz w:val="21"/>
          <w:szCs w:val="21"/>
          <w:color w:val="auto"/>
        </w:rPr>
        <w:t>means any and all applicable laws, rules and regulations, including any rules,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guidelines or other requirements of Regulatory Authorities (defined below), which may be in effect from time to time, including, without limitation, Sections l0l(a) and 103(a) of the U.S. Consumer Product Safety Improvement Act (CPSIA) for retailers, manufacturers and importers of children's products and the Code of Federal Regulations (CFR), Title 16, Part 1610.</w:t>
      </w:r>
    </w:p>
    <w:p>
      <w:pPr>
        <w:spacing w:after="0" w:line="146" w:lineRule="exact"/>
        <w:rPr>
          <w:sz w:val="20"/>
          <w:szCs w:val="20"/>
          <w:color w:val="auto"/>
        </w:rPr>
      </w:pPr>
    </w:p>
    <w:p>
      <w:pPr>
        <w:ind w:right="3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 "Change of Control" </w:t>
      </w:r>
      <w:r>
        <w:rPr>
          <w:rFonts w:ascii="Times New Roman" w:cs="Times New Roman" w:eastAsia="Times New Roman" w:hAnsi="Times New Roman"/>
          <w:sz w:val="22"/>
          <w:szCs w:val="22"/>
          <w:color w:val="auto"/>
        </w:rPr>
        <w:t>means, with respect to a Party, the acquisition, directly or indirectly, of beneficial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of a percentage of the voting power of such Party sufficient to exercise control over the policies and business decisions of such Party or of all or substantially all of the capital stock, business or assets of such Party (whether by way of merger, sale of stock, sale of assets or otherwise) by any Person.</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w:t>
      </w:r>
      <w:r>
        <w:rPr>
          <w:rFonts w:ascii="Times New Roman" w:cs="Times New Roman" w:eastAsia="Times New Roman" w:hAnsi="Times New Roman"/>
          <w:sz w:val="21"/>
          <w:szCs w:val="21"/>
          <w:b w:val="1"/>
          <w:bCs w:val="1"/>
          <w:color w:val="auto"/>
        </w:rPr>
        <w:t xml:space="preserve"> [***].</w:t>
      </w:r>
    </w:p>
    <w:p>
      <w:pPr>
        <w:spacing w:after="0" w:line="193" w:lineRule="exact"/>
        <w:rPr>
          <w:sz w:val="20"/>
          <w:szCs w:val="20"/>
          <w:color w:val="auto"/>
        </w:rPr>
      </w:pPr>
    </w:p>
    <w:p>
      <w:pPr>
        <w:ind w:right="120"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1.5 "Confidential Information" </w:t>
      </w:r>
      <w:r>
        <w:rPr>
          <w:rFonts w:ascii="Times New Roman" w:cs="Times New Roman" w:eastAsia="Times New Roman" w:hAnsi="Times New Roman"/>
          <w:sz w:val="22"/>
          <w:szCs w:val="22"/>
          <w:color w:val="auto"/>
        </w:rPr>
        <w:t>means all information provided by or on behalf of one Party ("Disclosing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its Affiliates to the other Party ("Receiving Party") or its Affiliates in connection with this Agreement, which may include, without limitation, information regarding: (a) patent and patent applications; (b) trade secrets; (c) proprietary and confidential information, ideas, techniques, works of authorship, models, inventions, know-how, processes, software programs and information related to the current, future and proposed products, services and business of the Disclosing Party, including, without limitation, information concerning research, experimental work, development, design details and specifications, product formulations, materials costs, engineering, financial information, procurement requirements, purchasing, manufacturing, customer lists, investors, employees, business and contractual relationships, business forecasts, sales and merchandising, marketing plans and information the Disclosing Party provides regarding third parties; and (d) all other information that the Receiving Party knew, or reasonably should have known, was the Confidential Information of the Disclosing Party.</w:t>
      </w:r>
    </w:p>
    <w:p>
      <w:pPr>
        <w:spacing w:after="0" w:line="157" w:lineRule="exact"/>
        <w:rPr>
          <w:sz w:val="20"/>
          <w:szCs w:val="20"/>
          <w:color w:val="auto"/>
        </w:rPr>
      </w:pPr>
    </w:p>
    <w:p>
      <w:pPr>
        <w:ind w:right="24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1.6 "Current Good Manufacturing Practice"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"cGMP" </w:t>
      </w:r>
      <w:r>
        <w:rPr>
          <w:rFonts w:ascii="Times New Roman" w:cs="Times New Roman" w:eastAsia="Times New Roman" w:hAnsi="Times New Roman"/>
          <w:sz w:val="22"/>
          <w:szCs w:val="22"/>
          <w:color w:val="auto"/>
        </w:rPr>
        <w:t>means the then-current standards for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Manufacturing Practices, as defined in FDA rules and regulations or as defined in another Regulatory Authority's rules and regulations, that apply to the manufacture of the Products, including, without limitation: (a) the United States regulations set forth in Title 1, Section 101-103 of the Consumer Product Safety Improvement Act of 2008, and the Standard for the Flammability of Clothing Textiles, 16 CFR 1611; (b) the corresponding regulation of any other applicable Regulatory Authority; and (c) all additional Regulatory Authority documents that correspond to, replace, amend, modify, supplant or complement any of the foregoing.</w:t>
      </w:r>
    </w:p>
    <w:p>
      <w:pPr>
        <w:spacing w:after="0" w:line="162" w:lineRule="exact"/>
        <w:rPr>
          <w:sz w:val="20"/>
          <w:szCs w:val="20"/>
          <w:color w:val="auto"/>
        </w:rPr>
      </w:pPr>
    </w:p>
    <w:p>
      <w:pPr>
        <w:ind w:right="34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1.7 "FDA" </w:t>
      </w:r>
      <w:r>
        <w:rPr>
          <w:rFonts w:ascii="Times New Roman" w:cs="Times New Roman" w:eastAsia="Times New Roman" w:hAnsi="Times New Roman"/>
          <w:sz w:val="22"/>
          <w:szCs w:val="22"/>
          <w:color w:val="auto"/>
        </w:rPr>
        <w:t>means the United States Food and Drug Administration or any successor thereto, having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authority to regulate the marketing of human pharmaceutical products, drug delivery systems and devices in the United States.</w:t>
      </w:r>
    </w:p>
    <w:p>
      <w:pPr>
        <w:sectPr>
          <w:pgSz w:w="11900" w:h="16838" w:orient="portrait"/>
          <w:cols w:equalWidth="0" w:num="1">
            <w:col w:w="10980"/>
          </w:cols>
          <w:pgMar w:left="420" w:top="1381" w:right="499" w:bottom="1440" w:gutter="0" w:footer="0" w:header="0"/>
        </w:sectPr>
      </w:pPr>
    </w:p>
    <w:bookmarkStart w:id="114" w:name="page115"/>
    <w:bookmarkEnd w:id="114"/>
    <w:p>
      <w:pPr>
        <w:jc w:val="both"/>
        <w:ind w:left="100" w:right="46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 "Honest IP" </w:t>
      </w:r>
      <w:r>
        <w:rPr>
          <w:rFonts w:ascii="Times New Roman" w:cs="Times New Roman" w:eastAsia="Times New Roman" w:hAnsi="Times New Roman"/>
          <w:sz w:val="22"/>
          <w:szCs w:val="22"/>
          <w:color w:val="auto"/>
        </w:rPr>
        <w:t>means the corporate and trade names, logos, trademark(s), service mark(s), back sheet designs,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copyrights and/or other intellectual property owned or licensed by Honest, including any Product concepts, Product ideas, and/or other Product innovations that are independently developed by Honest.</w:t>
      </w:r>
    </w:p>
    <w:p>
      <w:pPr>
        <w:spacing w:after="0" w:line="146" w:lineRule="exact"/>
        <w:rPr>
          <w:sz w:val="20"/>
          <w:szCs w:val="20"/>
          <w:color w:val="auto"/>
        </w:rPr>
      </w:pPr>
    </w:p>
    <w:p>
      <w:pPr>
        <w:ind w:left="100" w:right="64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 "Honest Unique Materials" </w:t>
      </w:r>
      <w:r>
        <w:rPr>
          <w:rFonts w:ascii="Times New Roman" w:cs="Times New Roman" w:eastAsia="Times New Roman" w:hAnsi="Times New Roman"/>
          <w:sz w:val="22"/>
          <w:szCs w:val="22"/>
          <w:color w:val="auto"/>
        </w:rPr>
        <w:t>means all unique materials that are used to manufacture and package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and which cannot otherwise be used by Supplier in the ordinary course of its business as it relates to the type of products manufactured under this Agreement.</w:t>
      </w:r>
    </w:p>
    <w:p>
      <w:pPr>
        <w:spacing w:after="0" w:line="160" w:lineRule="exact"/>
        <w:rPr>
          <w:sz w:val="20"/>
          <w:szCs w:val="20"/>
          <w:color w:val="auto"/>
        </w:rPr>
      </w:pPr>
    </w:p>
    <w:p>
      <w:pPr>
        <w:ind w:left="1400" w:hanging="647"/>
        <w:spacing w:after="0" w:line="296" w:lineRule="auto"/>
        <w:tabs>
          <w:tab w:leader="none" w:pos="138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 xml:space="preserve">“Indices” </w:t>
      </w:r>
      <w:r>
        <w:rPr>
          <w:rFonts w:ascii="Times New Roman" w:cs="Times New Roman" w:eastAsia="Times New Roman" w:hAnsi="Times New Roman"/>
          <w:sz w:val="21"/>
          <w:szCs w:val="21"/>
          <w:color w:val="auto"/>
        </w:rPr>
        <w:t>means the agreed-upon price indices for (1) Fluff Pulp (RISI Index);(2) Non-Woven - Polypropylene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(PP); (3) Super Absorbent Poly - Polypropylene (PP); (4) Caustic Soda; and (5) PE - Low Density Polyethylene.</w:t>
      </w:r>
      <w:r>
        <w:rPr>
          <w:rFonts w:ascii="Times New Roman" w:cs="Times New Roman" w:eastAsia="Times New Roman" w:hAnsi="Times New Roman"/>
          <w:sz w:val="27"/>
          <w:szCs w:val="27"/>
          <w:color w:val="auto"/>
          <w:vertAlign w:val="superscript"/>
        </w:rPr>
        <w:t>1</w:t>
      </w:r>
    </w:p>
    <w:p>
      <w:pPr>
        <w:spacing w:after="0" w:line="8" w:lineRule="exact"/>
        <w:rPr>
          <w:sz w:val="20"/>
          <w:szCs w:val="20"/>
          <w:color w:val="auto"/>
        </w:rPr>
      </w:pPr>
    </w:p>
    <w:p>
      <w:pPr>
        <w:ind w:left="100" w:right="42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the rights of priority, inventions (whether or not patentable), designs,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copyrights, trademark rights, trade names, trade secret rights, know-how, goodwill and any other intellectual property or proprietary rights recognized in any country or jurisdiction in the world, at present or hereafter existing, and whether or not filed, perfected or recorded.</w:t>
      </w:r>
    </w:p>
    <w:p>
      <w:pPr>
        <w:spacing w:after="0" w:line="162" w:lineRule="exact"/>
        <w:rPr>
          <w:sz w:val="20"/>
          <w:szCs w:val="20"/>
          <w:color w:val="auto"/>
        </w:rPr>
      </w:pPr>
    </w:p>
    <w:p>
      <w:pPr>
        <w:jc w:val="both"/>
        <w:ind w:left="100" w:right="10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1.12 "Lead Time" </w:t>
      </w:r>
      <w:r>
        <w:rPr>
          <w:rFonts w:ascii="Times New Roman" w:cs="Times New Roman" w:eastAsia="Times New Roman" w:hAnsi="Times New Roman"/>
          <w:sz w:val="22"/>
          <w:szCs w:val="22"/>
          <w:color w:val="auto"/>
        </w:rPr>
        <w:t>means the time period that begins on the day Supplier receives and accepts a Purchase Order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for Products from Honest and ends on the date that the Products’ ownership specified on the Purchase Order transferred to Honest.</w:t>
      </w:r>
    </w:p>
    <w:p>
      <w:pPr>
        <w:spacing w:after="0" w:line="153" w:lineRule="exact"/>
        <w:rPr>
          <w:sz w:val="20"/>
          <w:szCs w:val="20"/>
          <w:color w:val="auto"/>
        </w:rPr>
      </w:pPr>
    </w:p>
    <w:p>
      <w:pPr>
        <w:ind w:left="100" w:right="9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1.13 "Lot" </w:t>
      </w:r>
      <w:r>
        <w:rPr>
          <w:rFonts w:ascii="Times New Roman" w:cs="Times New Roman" w:eastAsia="Times New Roman" w:hAnsi="Times New Roman"/>
          <w:sz w:val="22"/>
          <w:szCs w:val="22"/>
          <w:color w:val="auto"/>
        </w:rPr>
        <w:t>means a defined quantity of raw materials, components and packaging material processed in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process or series of processes so that the resulting Product could be expected to be homogeneous.</w:t>
      </w:r>
    </w:p>
    <w:p>
      <w:pPr>
        <w:spacing w:after="0" w:line="150" w:lineRule="exact"/>
        <w:rPr>
          <w:sz w:val="20"/>
          <w:szCs w:val="20"/>
          <w:color w:val="auto"/>
        </w:rPr>
      </w:pPr>
    </w:p>
    <w:p>
      <w:pPr>
        <w:ind w:left="100" w:right="3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 "Product"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"Products" </w:t>
      </w:r>
      <w:r>
        <w:rPr>
          <w:rFonts w:ascii="Times New Roman" w:cs="Times New Roman" w:eastAsia="Times New Roman" w:hAnsi="Times New Roman"/>
          <w:sz w:val="22"/>
          <w:szCs w:val="22"/>
          <w:color w:val="auto"/>
        </w:rPr>
        <w:t>means the finished product(s) identified in Exhibit A attached hereto, and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packaged with Honest’s labeling, all in accordance with the Product Specifications (defined below), and which shall include </w:t>
      </w:r>
      <w:r>
        <w:rPr>
          <w:rFonts w:ascii="Times New Roman" w:cs="Times New Roman" w:eastAsia="Times New Roman" w:hAnsi="Times New Roman"/>
          <w:sz w:val="22"/>
          <w:szCs w:val="22"/>
          <w:b w:val="1"/>
          <w:bCs w:val="1"/>
          <w:color w:val="auto"/>
        </w:rPr>
        <w:t>[***].</w:t>
      </w:r>
    </w:p>
    <w:p>
      <w:pPr>
        <w:spacing w:after="0" w:line="146" w:lineRule="exact"/>
        <w:rPr>
          <w:sz w:val="20"/>
          <w:szCs w:val="20"/>
          <w:color w:val="auto"/>
        </w:rPr>
      </w:pPr>
    </w:p>
    <w:p>
      <w:pPr>
        <w:ind w:left="100" w:right="58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1.15 "Product Specifications" </w:t>
      </w:r>
      <w:r>
        <w:rPr>
          <w:rFonts w:ascii="Times New Roman" w:cs="Times New Roman" w:eastAsia="Times New Roman" w:hAnsi="Times New Roman"/>
          <w:sz w:val="22"/>
          <w:szCs w:val="22"/>
          <w:color w:val="auto"/>
        </w:rPr>
        <w:t>means those specifications, characteristics, formulae, labeling and primary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secondary packaging requirements and standards for a Product set forth on Exhibit B attached hereto, as the same may be amended or supplemented from time to time by mutual written agreement of the Parties.</w:t>
      </w:r>
    </w:p>
    <w:p>
      <w:pPr>
        <w:spacing w:after="0" w:line="146" w:lineRule="exact"/>
        <w:rPr>
          <w:sz w:val="20"/>
          <w:szCs w:val="20"/>
          <w:color w:val="auto"/>
        </w:rPr>
      </w:pPr>
    </w:p>
    <w:p>
      <w:pPr>
        <w:ind w:left="100" w:right="24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1.16 "Regulatory Authority" </w:t>
      </w:r>
      <w:r>
        <w:rPr>
          <w:rFonts w:ascii="Times New Roman" w:cs="Times New Roman" w:eastAsia="Times New Roman" w:hAnsi="Times New Roman"/>
          <w:sz w:val="22"/>
          <w:szCs w:val="22"/>
          <w:color w:val="auto"/>
        </w:rPr>
        <w:t>means the Consumer Product Safety Commission, the FDA, or the Federal Trade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in the United States, the equivalent state or local regulatory authorities or entities within the United States or the equivalent regulatory authorities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48" w:lineRule="exact"/>
        <w:rPr>
          <w:sz w:val="20"/>
          <w:szCs w:val="20"/>
          <w:color w:val="auto"/>
        </w:rPr>
      </w:pPr>
    </w:p>
    <w:p>
      <w:pPr>
        <w:ind w:left="200" w:hanging="98"/>
        <w:spacing w:after="0"/>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NTD</w:t>
      </w:r>
      <w:r>
        <w:rPr>
          <w:rFonts w:ascii="Times New Roman" w:cs="Times New Roman" w:eastAsia="Times New Roman" w:hAnsi="Times New Roman"/>
          <w:sz w:val="18"/>
          <w:szCs w:val="18"/>
          <w:color w:val="auto"/>
        </w:rPr>
        <w:t>: Sources of each index are as follows:</w:t>
      </w:r>
    </w:p>
    <w:p>
      <w:pPr>
        <w:ind w:left="360" w:hanging="258"/>
        <w:spacing w:after="0" w:line="219" w:lineRule="auto"/>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Bl. Kraft Fluff (Untreated) – United States, Publication: Fastmarkets Risi – World Pulp Monthly</w:t>
      </w:r>
    </w:p>
    <w:p>
      <w:pPr>
        <w:ind w:left="360" w:hanging="258"/>
        <w:spacing w:after="0" w:line="216" w:lineRule="auto"/>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PP CDI High, Publication: CDI</w:t>
      </w:r>
    </w:p>
    <w:p>
      <w:pPr>
        <w:ind w:left="340" w:hanging="238"/>
        <w:spacing w:after="0" w:line="211"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Index: C3, Publication: CMA</w:t>
      </w:r>
    </w:p>
    <w:p>
      <w:pPr>
        <w:ind w:left="100" w:right="640"/>
        <w:spacing w:after="0" w:line="198" w:lineRule="auto"/>
        <w:rPr>
          <w:sz w:val="20"/>
          <w:szCs w:val="20"/>
          <w:color w:val="auto"/>
        </w:rPr>
      </w:pPr>
      <w:r>
        <w:rPr>
          <w:rFonts w:ascii="Times New Roman" w:cs="Times New Roman" w:eastAsia="Times New Roman" w:hAnsi="Times New Roman"/>
          <w:sz w:val="20"/>
          <w:szCs w:val="20"/>
          <w:color w:val="auto"/>
        </w:rPr>
        <w:t xml:space="preserve">(4)Index: (i) </w:t>
      </w:r>
      <w:r>
        <w:rPr>
          <w:rFonts w:ascii="Times New Roman" w:cs="Times New Roman" w:eastAsia="Times New Roman" w:hAnsi="Times New Roman"/>
          <w:sz w:val="17"/>
          <w:szCs w:val="17"/>
          <w:color w:val="auto"/>
        </w:rPr>
        <w:t>Caustic Soda (Dry Basis), North America, Diaphragm Grade, Contract Liquid Index (USGC CSLi), Average, FOB US Gulf Coast,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US$/Dry Metric Ton and (ii) Caustic Soda (Dry Basis), Northeast Asia, Spot Average,</w:t>
      </w:r>
    </w:p>
    <w:p>
      <w:pPr>
        <w:ind w:left="100"/>
        <w:spacing w:after="0" w:line="204" w:lineRule="auto"/>
        <w:rPr>
          <w:sz w:val="20"/>
          <w:szCs w:val="20"/>
          <w:color w:val="auto"/>
        </w:rPr>
      </w:pPr>
      <w:r>
        <w:rPr>
          <w:rFonts w:ascii="Times New Roman" w:cs="Times New Roman" w:eastAsia="Times New Roman" w:hAnsi="Times New Roman"/>
          <w:sz w:val="18"/>
          <w:szCs w:val="18"/>
          <w:color w:val="auto"/>
        </w:rPr>
        <w:t>FOB NE Asia, US$/Dry Metric Ton; Publication: IHS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(5)Index: LLDPE CDI HIGH, Publication: CDI</w:t>
      </w:r>
    </w:p>
    <w:p>
      <w:pPr>
        <w:sectPr>
          <w:pgSz w:w="11900" w:h="16838" w:orient="portrait"/>
          <w:cols w:equalWidth="0" w:num="1">
            <w:col w:w="11180"/>
          </w:cols>
          <w:pgMar w:left="320" w:top="1364" w:right="399" w:bottom="1440" w:gutter="0" w:footer="0" w:header="0"/>
        </w:sectPr>
      </w:pPr>
    </w:p>
    <w:bookmarkStart w:id="115" w:name="page116"/>
    <w:bookmarkEnd w:id="115"/>
    <w:p>
      <w:pPr>
        <w:ind w:right="320"/>
        <w:spacing w:after="0" w:line="250" w:lineRule="auto"/>
        <w:rPr>
          <w:sz w:val="20"/>
          <w:szCs w:val="20"/>
          <w:color w:val="auto"/>
        </w:rPr>
      </w:pPr>
      <w:r>
        <w:rPr>
          <w:rFonts w:ascii="Times New Roman" w:cs="Times New Roman" w:eastAsia="Times New Roman" w:hAnsi="Times New Roman"/>
          <w:sz w:val="22"/>
          <w:szCs w:val="22"/>
          <w:color w:val="auto"/>
        </w:rPr>
        <w:t>or entities having the responsibility, jurisdiction and authority to approve the manufacture, use, importation, packaging, labeling, marketing and sale of consumer products in any country other than the United States, including, without limitation, Mexico.</w:t>
      </w:r>
    </w:p>
    <w:p>
      <w:pPr>
        <w:spacing w:after="0" w:line="164" w:lineRule="exact"/>
        <w:rPr>
          <w:sz w:val="20"/>
          <w:szCs w:val="20"/>
          <w:color w:val="auto"/>
        </w:rPr>
      </w:pPr>
    </w:p>
    <w:p>
      <w:pPr>
        <w:ind w:left="7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w:t>
      </w:r>
      <w:r>
        <w:rPr>
          <w:rFonts w:ascii="Times New Roman" w:cs="Times New Roman" w:eastAsia="Times New Roman" w:hAnsi="Times New Roman"/>
          <w:sz w:val="21"/>
          <w:szCs w:val="21"/>
          <w:b w:val="1"/>
          <w:bCs w:val="1"/>
          <w:color w:val="auto"/>
        </w:rPr>
        <w:t xml:space="preserve"> [***].</w:t>
      </w:r>
    </w:p>
    <w:p>
      <w:pPr>
        <w:spacing w:after="0" w:line="206" w:lineRule="exact"/>
        <w:rPr>
          <w:sz w:val="20"/>
          <w:szCs w:val="20"/>
          <w:color w:val="auto"/>
        </w:rPr>
      </w:pPr>
    </w:p>
    <w:p>
      <w:pPr>
        <w:jc w:val="both"/>
        <w:ind w:left="100" w:right="2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1.18 “Supplier Facility” or “Facilities” </w:t>
      </w:r>
      <w:r>
        <w:rPr>
          <w:rFonts w:ascii="Times New Roman" w:cs="Times New Roman" w:eastAsia="Times New Roman" w:hAnsi="Times New Roman"/>
          <w:sz w:val="22"/>
          <w:szCs w:val="22"/>
          <w:color w:val="auto"/>
        </w:rPr>
        <w:t>means Supplier's or Supplier's Affiliate's manufacturing facilities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Exhibit C attached hereto, as the same may be amended or supplemented from time to time by mutual written agreement of the Parties.</w:t>
      </w:r>
    </w:p>
    <w:p>
      <w:pPr>
        <w:spacing w:after="0" w:line="139" w:lineRule="exact"/>
        <w:rPr>
          <w:sz w:val="20"/>
          <w:szCs w:val="20"/>
          <w:color w:val="auto"/>
        </w:rPr>
      </w:pPr>
    </w:p>
    <w:p>
      <w:pPr>
        <w:ind w:left="100" w:right="4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1.19 "Supplier Technology" </w:t>
      </w:r>
      <w:r>
        <w:rPr>
          <w:rFonts w:ascii="Times New Roman" w:cs="Times New Roman" w:eastAsia="Times New Roman" w:hAnsi="Times New Roman"/>
          <w:sz w:val="22"/>
          <w:szCs w:val="22"/>
          <w:color w:val="auto"/>
        </w:rPr>
        <w:t>means any concepts, processes, tools, know-how, tests, materials, information,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intellectual property covering and associated with the Products or manufacture of the Products, that is owned or developed by Supplier or its Affiliates prior to commencing or outside of a business relationship with Honest, or which the Supplier or its Affiliates have acquired a license or other right to use prior to commencing or outside of a business relationship with Honest or which Supplier or its Affiliates have otherwise independently developed. Supplier Technology shall exclude the Honest IP.</w:t>
      </w:r>
    </w:p>
    <w:p>
      <w:pPr>
        <w:spacing w:after="0" w:line="159" w:lineRule="exact"/>
        <w:rPr>
          <w:sz w:val="20"/>
          <w:szCs w:val="20"/>
          <w:color w:val="auto"/>
        </w:rPr>
      </w:pPr>
    </w:p>
    <w:p>
      <w:pPr>
        <w:ind w:left="1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1.20 "Terminated Product" </w:t>
      </w:r>
      <w:r>
        <w:rPr>
          <w:rFonts w:ascii="Times New Roman" w:cs="Times New Roman" w:eastAsia="Times New Roman" w:hAnsi="Times New Roman"/>
          <w:sz w:val="22"/>
          <w:szCs w:val="22"/>
          <w:color w:val="auto"/>
        </w:rPr>
        <w:t>means any Product with respect to which this Agreement is terminated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Section 7.2 or, if this Agreement is terminated in its entirety, all Products.</w:t>
      </w:r>
    </w:p>
    <w:p>
      <w:pPr>
        <w:spacing w:after="0" w:line="163" w:lineRule="exact"/>
        <w:rPr>
          <w:sz w:val="20"/>
          <w:szCs w:val="20"/>
          <w:color w:val="auto"/>
        </w:rPr>
      </w:pPr>
    </w:p>
    <w:p>
      <w:pPr>
        <w:ind w:left="100" w:right="4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 "Territory" </w:t>
      </w:r>
      <w:r>
        <w:rPr>
          <w:rFonts w:ascii="Times New Roman" w:cs="Times New Roman" w:eastAsia="Times New Roman" w:hAnsi="Times New Roman"/>
          <w:sz w:val="22"/>
          <w:szCs w:val="22"/>
          <w:color w:val="auto"/>
        </w:rPr>
        <w:t>shall mean</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and such other countries as may be added by the mutual written agreement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w:t>
      </w:r>
    </w:p>
    <w:p>
      <w:pPr>
        <w:spacing w:after="0" w:line="163" w:lineRule="exact"/>
        <w:rPr>
          <w:sz w:val="20"/>
          <w:szCs w:val="20"/>
          <w:color w:val="auto"/>
        </w:rPr>
      </w:pPr>
    </w:p>
    <w:p>
      <w:pPr>
        <w:ind w:left="7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color w:val="auto"/>
        </w:rPr>
        <w:t xml:space="preserve">"Third Party" </w:t>
      </w:r>
      <w:r>
        <w:rPr>
          <w:rFonts w:ascii="Times New Roman" w:cs="Times New Roman" w:eastAsia="Times New Roman" w:hAnsi="Times New Roman"/>
          <w:sz w:val="21"/>
          <w:szCs w:val="21"/>
          <w:color w:val="auto"/>
        </w:rPr>
        <w:t>means any Person other than Honest and Supplier and the Affiliates thereof.</w:t>
      </w:r>
    </w:p>
    <w:p>
      <w:pPr>
        <w:spacing w:after="0" w:line="2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SERVICE AND SUPPLY OBLIGATIONS</w:t>
      </w:r>
    </w:p>
    <w:p>
      <w:pPr>
        <w:spacing w:after="0" w:line="178" w:lineRule="exact"/>
        <w:rPr>
          <w:sz w:val="20"/>
          <w:szCs w:val="20"/>
          <w:color w:val="auto"/>
        </w:rPr>
      </w:pPr>
    </w:p>
    <w:p>
      <w:pPr>
        <w:jc w:val="both"/>
        <w:ind w:left="100" w:right="1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2.1 Manufacture and Supply. </w:t>
      </w:r>
      <w:r>
        <w:rPr>
          <w:rFonts w:ascii="Times New Roman" w:cs="Times New Roman" w:eastAsia="Times New Roman" w:hAnsi="Times New Roman"/>
          <w:sz w:val="22"/>
          <w:szCs w:val="22"/>
          <w:color w:val="auto"/>
        </w:rPr>
        <w:t>Supplier agrees to manufacture and supply to Honest, in accordance with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and in a professional and workmanlike manner, the Product in quantities to be set forth on Purchase Orders submitted to Supplier from time to time by Honest.</w:t>
      </w:r>
    </w:p>
    <w:p>
      <w:pPr>
        <w:spacing w:after="0" w:line="146"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Forecasting.</w:t>
      </w:r>
    </w:p>
    <w:p>
      <w:pPr>
        <w:spacing w:after="0" w:line="166" w:lineRule="exact"/>
        <w:rPr>
          <w:sz w:val="20"/>
          <w:szCs w:val="20"/>
          <w:color w:val="auto"/>
        </w:rPr>
      </w:pPr>
    </w:p>
    <w:p>
      <w:pPr>
        <w:ind w:left="1400" w:right="60" w:hanging="650"/>
        <w:spacing w:after="0" w:line="238" w:lineRule="auto"/>
        <w:tabs>
          <w:tab w:leader="none" w:pos="13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Honest shall provide Supplier, [***] with a [***] forecast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“Forecast”). The Forecast will aim to have a tolerance level of [***].</w:t>
      </w:r>
    </w:p>
    <w:p>
      <w:pPr>
        <w:spacing w:after="0" w:line="177" w:lineRule="exact"/>
        <w:rPr>
          <w:rFonts w:ascii="Times New Roman" w:cs="Times New Roman" w:eastAsia="Times New Roman" w:hAnsi="Times New Roman"/>
          <w:sz w:val="22"/>
          <w:szCs w:val="22"/>
          <w:color w:val="auto"/>
        </w:rPr>
      </w:pPr>
    </w:p>
    <w:p>
      <w:pPr>
        <w:ind w:left="1400" w:hanging="650"/>
        <w:spacing w:after="0"/>
        <w:tabs>
          <w:tab w:leader="none" w:pos="14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400" w:right="740" w:hanging="650"/>
        <w:spacing w:after="0" w:line="236" w:lineRule="auto"/>
        <w:tabs>
          <w:tab w:leader="none" w:pos="13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Honest will organize monthly Sales &amp; Operations Planning Meetings with Supplier to share and review Forecasts. Honest agrees, on a case by case basis, and at Honest’s discretion, to share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1400" w:hanging="650"/>
        <w:spacing w:after="0"/>
        <w:tabs>
          <w:tab w:leader="none" w:pos="14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will use [***] efforts to fulfill any Purchase Order that exceeds any Forecast.</w:t>
      </w:r>
    </w:p>
    <w:p>
      <w:pPr>
        <w:spacing w:after="0" w:line="216"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Purchase Orders.</w:t>
      </w:r>
    </w:p>
    <w:p>
      <w:pPr>
        <w:spacing w:after="0" w:line="183" w:lineRule="exact"/>
        <w:rPr>
          <w:sz w:val="20"/>
          <w:szCs w:val="20"/>
          <w:color w:val="auto"/>
        </w:rPr>
      </w:pPr>
    </w:p>
    <w:p>
      <w:pPr>
        <w:ind w:left="1400" w:right="260" w:hanging="650"/>
        <w:spacing w:after="0" w:line="225" w:lineRule="auto"/>
        <w:tabs>
          <w:tab w:leader="none" w:pos="139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Honest shall provide to Supplier written purchase orders for Product in the form attached hereto as Exhibit D ("Purchase Orders"), and each Purchase Order shall be incorporated herein by reference and governed exclusively by the terms set</w:t>
      </w:r>
    </w:p>
    <w:p>
      <w:pPr>
        <w:sectPr>
          <w:pgSz w:w="11900" w:h="16838" w:orient="portrait"/>
          <w:cols w:equalWidth="0" w:num="1">
            <w:col w:w="11080"/>
          </w:cols>
          <w:pgMar w:left="320" w:top="895" w:right="499" w:bottom="1440" w:gutter="0" w:footer="0" w:header="0"/>
        </w:sectPr>
      </w:pPr>
    </w:p>
    <w:bookmarkStart w:id="116" w:name="page117"/>
    <w:bookmarkEnd w:id="116"/>
    <w:p>
      <w:pPr>
        <w:ind w:left="1300" w:right="40"/>
        <w:spacing w:after="0" w:line="236" w:lineRule="auto"/>
        <w:rPr>
          <w:sz w:val="20"/>
          <w:szCs w:val="20"/>
          <w:color w:val="auto"/>
        </w:rPr>
      </w:pPr>
      <w:r>
        <w:rPr>
          <w:rFonts w:ascii="Times New Roman" w:cs="Times New Roman" w:eastAsia="Times New Roman" w:hAnsi="Times New Roman"/>
          <w:sz w:val="22"/>
          <w:szCs w:val="22"/>
          <w:color w:val="auto"/>
        </w:rPr>
        <w:t>forth in the Purchase Order and herein. In the event a provision in any Purchase Order is inconsistent with the terms and conditions of this Agreement, the terms of this Agreement shall control.</w:t>
      </w:r>
    </w:p>
    <w:p>
      <w:pPr>
        <w:spacing w:after="0" w:line="173" w:lineRule="exact"/>
        <w:rPr>
          <w:sz w:val="20"/>
          <w:szCs w:val="20"/>
          <w:color w:val="auto"/>
        </w:rPr>
      </w:pPr>
    </w:p>
    <w:p>
      <w:pPr>
        <w:ind w:left="1300" w:right="200" w:hanging="650"/>
        <w:spacing w:after="0" w:line="238" w:lineRule="auto"/>
        <w:tabs>
          <w:tab w:leader="none" w:pos="12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Starting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days after the Effective Date, Honest shall provide Supplier with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Purchase Orders of Products (the “Purchase Orders”).</w:t>
      </w:r>
    </w:p>
    <w:p>
      <w:pPr>
        <w:spacing w:after="0" w:line="173" w:lineRule="exact"/>
        <w:rPr>
          <w:sz w:val="20"/>
          <w:szCs w:val="20"/>
          <w:color w:val="auto"/>
        </w:rPr>
      </w:pPr>
    </w:p>
    <w:p>
      <w:pPr>
        <w:ind w:right="6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2.4 Honest Unique Materials. </w:t>
      </w:r>
      <w:r>
        <w:rPr>
          <w:rFonts w:ascii="Times New Roman" w:cs="Times New Roman" w:eastAsia="Times New Roman" w:hAnsi="Times New Roman"/>
          <w:sz w:val="22"/>
          <w:szCs w:val="22"/>
          <w:color w:val="auto"/>
        </w:rPr>
        <w:t>All Honest Unique Materials shall be ordered by Supplier as set forth on Exhibit 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annexed hereto. Supplier may order [***] so long as Supplier is purchasing such Honest Unique Materials, in order to meet the Forecast, in accordance with the provisions of Exhibit E; provided that, in the event Supplier wishes to exceed the maximum order quantities set forth on Exhibit E, the prior written approval of Honest shall be required.</w:t>
      </w:r>
    </w:p>
    <w:p>
      <w:pPr>
        <w:spacing w:after="0" w:line="148"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2.5 Excess and Obsolete. </w:t>
      </w:r>
      <w:r>
        <w:rPr>
          <w:rFonts w:ascii="Times New Roman" w:cs="Times New Roman" w:eastAsia="Times New Roman" w:hAnsi="Times New Roman"/>
          <w:sz w:val="22"/>
          <w:szCs w:val="22"/>
          <w:color w:val="auto"/>
        </w:rPr>
        <w:t>Honest and Supplier will establish a quarterly Excess &amp; Obsolete (“E&amp;O”) review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assess the E&amp;O levels of the previous quarter's Honest Unique Materials and other materials and create a program to reduce and prevent potential E&amp;O status for future Honest Unique Materials and other materials, including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1"/>
          <w:szCs w:val="21"/>
          <w:b w:val="1"/>
          <w:bCs w:val="1"/>
          <w:color w:val="auto"/>
        </w:rPr>
        <w:t>Changes to Product Specifications. [***]</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Delivery; Shipments; Rejected Goods; Recall; Discontinuance.</w:t>
      </w:r>
    </w:p>
    <w:p>
      <w:pPr>
        <w:spacing w:after="0" w:line="183" w:lineRule="exact"/>
        <w:rPr>
          <w:sz w:val="20"/>
          <w:szCs w:val="20"/>
          <w:color w:val="auto"/>
        </w:rPr>
      </w:pPr>
    </w:p>
    <w:p>
      <w:pPr>
        <w:ind w:left="1300" w:right="280" w:hanging="650"/>
        <w:spacing w:after="0" w:line="210" w:lineRule="auto"/>
        <w:tabs>
          <w:tab w:leader="none" w:pos="129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deliver to Honest or its designee the specified quantity of Product conforming to the Product Specifications set forth in this Agreement at the delivery destination and by the delivery date specified in a Purchase Order. Supplier agrees to maintain an average monthly on time and in full delivery ("OTIF") performance of [***] during the Term (as defined herein) [***]</w:t>
      </w:r>
    </w:p>
    <w:p>
      <w:pPr>
        <w:spacing w:after="0" w:line="2" w:lineRule="exact"/>
        <w:rPr>
          <w:rFonts w:ascii="Times New Roman" w:cs="Times New Roman" w:eastAsia="Times New Roman" w:hAnsi="Times New Roman"/>
          <w:sz w:val="22"/>
          <w:szCs w:val="22"/>
          <w:color w:val="auto"/>
        </w:rPr>
      </w:pPr>
    </w:p>
    <w:p>
      <w:pPr>
        <w:ind w:left="1300" w:hanging="650"/>
        <w:spacing w:after="0" w:line="214" w:lineRule="auto"/>
        <w:tabs>
          <w:tab w:leader="none" w:pos="12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notify the other before declaring any recall of, or field corrective action to, any Product supplied to Honest under this Agreement and each Party shall reasonably cooperate with the other in connection with any such recall. Supplier shall indemnify Honest and bear all direct costs relating to the recall and shall reimburse Honest for its direct losses incurred in connection with such a</w:t>
      </w:r>
    </w:p>
    <w:p>
      <w:pPr>
        <w:sectPr>
          <w:pgSz w:w="11900" w:h="16838" w:orient="portrait"/>
          <w:cols w:equalWidth="0" w:num="1">
            <w:col w:w="10820"/>
          </w:cols>
          <w:pgMar w:left="420" w:top="1084" w:right="659" w:bottom="1440" w:gutter="0" w:footer="0" w:header="0"/>
        </w:sectPr>
      </w:pPr>
    </w:p>
    <w:bookmarkStart w:id="117" w:name="page118"/>
    <w:bookmarkEnd w:id="117"/>
    <w:p>
      <w:pPr>
        <w:ind w:left="650" w:right="60"/>
        <w:spacing w:after="0" w:line="218" w:lineRule="auto"/>
        <w:rPr>
          <w:sz w:val="20"/>
          <w:szCs w:val="20"/>
          <w:color w:val="auto"/>
        </w:rPr>
      </w:pPr>
      <w:r>
        <w:rPr>
          <w:rFonts w:ascii="Times New Roman" w:cs="Times New Roman" w:eastAsia="Times New Roman" w:hAnsi="Times New Roman"/>
          <w:sz w:val="21"/>
          <w:szCs w:val="21"/>
          <w:color w:val="auto"/>
        </w:rPr>
        <w:t>recall to the extent the recall is attributable to a breach of any of Supplier's warranties under this Agreement or is otherwise attributable to a defect in the Products caused by Supplier, including, without limitation, [***]. Honest shall indemnify Supplier and bear all direct costs relating to the recall and shall reimburse Supplier for its direct losses incurred in connection with such recall to the extent the recall is attributable to a breach of any of Honest's warranties under this Agreement or is otherwise attributable to Honest. [***] The Parties shall follow the procedures set forth in Section 6.3 hereof to make any claim for indemnity under this Section 2.7(b).</w:t>
      </w:r>
    </w:p>
    <w:p>
      <w:pPr>
        <w:spacing w:after="0" w:line="4" w:lineRule="exact"/>
        <w:rPr>
          <w:sz w:val="20"/>
          <w:szCs w:val="20"/>
          <w:color w:val="auto"/>
        </w:rPr>
      </w:pPr>
    </w:p>
    <w:p>
      <w:pPr>
        <w:ind w:left="650" w:hanging="650"/>
        <w:spacing w:after="0" w:line="204" w:lineRule="auto"/>
        <w:tabs>
          <w:tab w:leader="none" w:pos="64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not discontinue any Product without providing Honest at least [***] advance written notice of the commencement of such discontinuance and agrees that, during such [***] notice period, Honest may purchase an amount of Product equal to [***] the total amount of the applicable Forecast at the time of such notice and Supplier shall use commercially reasonable efforts to supply such amount at the pricing agreed upon herein for such volume of Product. This obligation of Supplier shall continue in the event of a Change of Control of Supplier or Honest.</w:t>
      </w:r>
    </w:p>
    <w:p>
      <w:pPr>
        <w:spacing w:after="0" w:line="5" w:lineRule="exact"/>
        <w:rPr>
          <w:rFonts w:ascii="Times New Roman" w:cs="Times New Roman" w:eastAsia="Times New Roman" w:hAnsi="Times New Roman"/>
          <w:sz w:val="22"/>
          <w:szCs w:val="22"/>
          <w:color w:val="auto"/>
        </w:rPr>
      </w:pPr>
    </w:p>
    <w:p>
      <w:pPr>
        <w:ind w:left="650" w:right="80" w:hanging="650"/>
        <w:spacing w:after="0" w:line="208" w:lineRule="auto"/>
        <w:tabs>
          <w:tab w:leader="none" w:pos="64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Honest may inspect any shipments of Product for compliance with Product Specifications or any other Quality Control Procedure (as defined herein) and will notify Supplier if the Product does not meet any Product Specifications, warranty or Quality Control Procedures within [***] days following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case of quality issues resulting in a Non- Conformity (NC) report, Honest may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If any Products delivered under this Section 2.7 or any Purchase Order are rejected by Honest or classified by Supplier as non-conforming or defective ("Rejected Products") pursuant to the terms hereof, Supplier will request Honest's approval (not to be unreasonably withheld) before [***]. Nothing in this subsection shall prejudice or limit Honest’s rights to pursue any other remedy available to Honest under this Agreement or the law.</w:t>
      </w:r>
    </w:p>
    <w:p>
      <w:pPr>
        <w:spacing w:after="0" w:line="1" w:lineRule="exact"/>
        <w:rPr>
          <w:rFonts w:ascii="Times New Roman" w:cs="Times New Roman" w:eastAsia="Times New Roman" w:hAnsi="Times New Roman"/>
          <w:sz w:val="22"/>
          <w:szCs w:val="22"/>
          <w:color w:val="auto"/>
        </w:rPr>
      </w:pPr>
    </w:p>
    <w:p>
      <w:pPr>
        <w:ind w:left="650" w:hanging="650"/>
        <w:spacing w:after="0" w:line="217" w:lineRule="auto"/>
        <w:tabs>
          <w:tab w:leader="none" w:pos="65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will [***] for the return of any Rejected Product.</w:t>
      </w:r>
    </w:p>
    <w:p>
      <w:pPr>
        <w:ind w:left="650" w:hanging="650"/>
        <w:spacing w:after="0"/>
        <w:tabs>
          <w:tab w:leader="none" w:pos="65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ind w:left="10"/>
        <w:spacing w:after="0"/>
        <w:tabs>
          <w:tab w:leader="none" w:pos="629"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Pricing; Rebates; Payment; Currency.</w:t>
      </w:r>
    </w:p>
    <w:p>
      <w:pPr>
        <w:spacing w:after="0" w:line="210" w:lineRule="exact"/>
        <w:rPr>
          <w:sz w:val="20"/>
          <w:szCs w:val="20"/>
          <w:color w:val="auto"/>
        </w:rPr>
      </w:pPr>
    </w:p>
    <w:p>
      <w:pPr>
        <w:ind w:left="650" w:hanging="650"/>
        <w:spacing w:after="0"/>
        <w:tabs>
          <w:tab w:leader="none" w:pos="6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prices for Products are [***].</w:t>
      </w:r>
    </w:p>
    <w:p>
      <w:pPr>
        <w:ind w:left="650" w:hanging="650"/>
        <w:spacing w:after="0"/>
        <w:tabs>
          <w:tab w:leader="none" w:pos="6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Honest shall receive from Supplier: [***].</w:t>
      </w:r>
    </w:p>
    <w:p>
      <w:pPr>
        <w:spacing w:after="0" w:line="3" w:lineRule="exact"/>
        <w:rPr>
          <w:rFonts w:ascii="Times New Roman" w:cs="Times New Roman" w:eastAsia="Times New Roman" w:hAnsi="Times New Roman"/>
          <w:sz w:val="22"/>
          <w:szCs w:val="22"/>
          <w:color w:val="auto"/>
        </w:rPr>
      </w:pPr>
    </w:p>
    <w:p>
      <w:pPr>
        <w:ind w:left="650" w:right="260" w:hanging="650"/>
        <w:spacing w:after="0" w:line="256" w:lineRule="auto"/>
        <w:tabs>
          <w:tab w:leader="none" w:pos="64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otherwise agreed by Honest in writing, Supplier shall invoice Honest for Product ordered at the time of delivery. Invoices shall be payable within [***] </w:t>
      </w:r>
      <w:r>
        <w:rPr>
          <w:rFonts w:ascii="Times New Roman" w:cs="Times New Roman" w:eastAsia="Times New Roman" w:hAnsi="Times New Roman"/>
          <w:sz w:val="18"/>
          <w:szCs w:val="18"/>
          <w:color w:val="auto"/>
        </w:rPr>
        <w:t>of date of delivery. Each invoice shall set forth, in U.S. Dollars,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the applicable price for the shipment properly determined in accordance with the provisions of this Agreement. [***].</w:t>
      </w:r>
    </w:p>
    <w:p>
      <w:pPr>
        <w:spacing w:after="0" w:line="2" w:lineRule="exact"/>
        <w:rPr>
          <w:rFonts w:ascii="Times New Roman" w:cs="Times New Roman" w:eastAsia="Times New Roman" w:hAnsi="Times New Roman"/>
          <w:sz w:val="21"/>
          <w:szCs w:val="21"/>
          <w:color w:val="auto"/>
        </w:rPr>
      </w:pPr>
    </w:p>
    <w:p>
      <w:pPr>
        <w:ind w:left="650" w:right="2600" w:hanging="650"/>
        <w:spacing w:after="0" w:line="226" w:lineRule="auto"/>
        <w:tabs>
          <w:tab w:leader="none" w:pos="64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Agreement shall be denominated, reported and paid in U.S. Dollars.</w:t>
      </w:r>
    </w:p>
    <w:p>
      <w:pPr>
        <w:ind w:left="650" w:hanging="650"/>
        <w:spacing w:after="0" w:line="204" w:lineRule="auto"/>
        <w:tabs>
          <w:tab w:leader="none" w:pos="6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 except as authorized by bankruptcy laws.</w:t>
      </w:r>
    </w:p>
    <w:p>
      <w:pPr>
        <w:ind w:left="650" w:hanging="650"/>
        <w:spacing w:after="0" w:line="217" w:lineRule="auto"/>
        <w:tabs>
          <w:tab w:leader="none" w:pos="6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650" w:hanging="650"/>
        <w:spacing w:after="0"/>
        <w:tabs>
          <w:tab w:leader="none" w:pos="6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for the Products, as of the Effective Date, shall be as set forth in Exhibit G [***].</w:t>
      </w:r>
    </w:p>
    <w:p>
      <w:pPr>
        <w:spacing w:after="0" w:line="165" w:lineRule="exact"/>
        <w:rPr>
          <w:sz w:val="20"/>
          <w:szCs w:val="20"/>
          <w:color w:val="auto"/>
        </w:rPr>
      </w:pPr>
    </w:p>
    <w:p>
      <w:pPr>
        <w:ind w:left="10"/>
        <w:spacing w:after="0"/>
        <w:tabs>
          <w:tab w:leader="none" w:pos="469"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b w:val="1"/>
          <w:bCs w:val="1"/>
          <w:color w:val="auto"/>
        </w:rPr>
        <w:t>Exclusivity; Right of First Refusal.</w:t>
      </w:r>
    </w:p>
    <w:p>
      <w:pPr>
        <w:spacing w:after="0" w:line="210" w:lineRule="exact"/>
        <w:rPr>
          <w:sz w:val="20"/>
          <w:szCs w:val="20"/>
          <w:color w:val="auto"/>
        </w:rPr>
      </w:pPr>
    </w:p>
    <w:p>
      <w:pPr>
        <w:ind w:left="650" w:hanging="650"/>
        <w:spacing w:after="0"/>
        <w:tabs>
          <w:tab w:leader="none" w:pos="65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50" w:hanging="650"/>
        <w:spacing w:after="0"/>
        <w:tabs>
          <w:tab w:leader="none" w:pos="65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ectPr>
          <w:pgSz w:w="11900" w:h="16838" w:orient="portrait"/>
          <w:cols w:equalWidth="0" w:num="1">
            <w:col w:w="10330"/>
          </w:cols>
          <w:pgMar w:left="1070" w:top="1368" w:right="499" w:bottom="1440" w:gutter="0" w:footer="0" w:header="0"/>
        </w:sectPr>
      </w:pPr>
    </w:p>
    <w:bookmarkStart w:id="118" w:name="page119"/>
    <w:bookmarkEnd w:id="11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QUALITY CONTROL AND REGULATORY OBLIGATIONS</w:t>
      </w:r>
    </w:p>
    <w:p>
      <w:pPr>
        <w:spacing w:after="0" w:line="205" w:lineRule="exact"/>
        <w:rPr>
          <w:sz w:val="20"/>
          <w:szCs w:val="20"/>
          <w:color w:val="auto"/>
        </w:rPr>
      </w:pPr>
    </w:p>
    <w:p>
      <w:pPr>
        <w:ind w:right="280"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3.1 Quality Control. </w:t>
      </w:r>
      <w:r>
        <w:rPr>
          <w:rFonts w:ascii="Times New Roman" w:cs="Times New Roman" w:eastAsia="Times New Roman" w:hAnsi="Times New Roman"/>
          <w:sz w:val="22"/>
          <w:szCs w:val="22"/>
          <w:color w:val="auto"/>
        </w:rPr>
        <w:t>Supplier shall maintain and follow a quality control and testing program consistent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Specifications, cGMP and Applicable Laws and comply with the Quality Agreement (the foregoing, collectively, "Quality Control Procedures"). All Product supplied to Honest hereunder shall be manufactured in accordance with cGMP and all Applicable Laws, including, without limitation, all laws and regulations of such territories applicable to the transportation, storage, use, handling and disposal of hazardous materials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1"/>
          <w:szCs w:val="21"/>
          <w:color w:val="auto"/>
        </w:rPr>
        <w:t>(collectively, "Regulatory Standards"). Quality control testing shall include all testing associated with the production of the Product, including but not limited to, incoming component and raw material testing, in process testing and final release testing. Supplier shall furnish Honest with a certificate of analysis for each Lot of Products before releasing shipment to Honest.</w:t>
      </w:r>
    </w:p>
    <w:p>
      <w:pPr>
        <w:spacing w:after="0" w:line="148" w:lineRule="exact"/>
        <w:rPr>
          <w:sz w:val="20"/>
          <w:szCs w:val="20"/>
          <w:color w:val="auto"/>
        </w:rPr>
      </w:pPr>
    </w:p>
    <w:p>
      <w:pPr>
        <w:ind w:right="1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3.2 Vendor Compliance Statement. </w:t>
      </w:r>
      <w:r>
        <w:rPr>
          <w:rFonts w:ascii="Times New Roman" w:cs="Times New Roman" w:eastAsia="Times New Roman" w:hAnsi="Times New Roman"/>
          <w:sz w:val="22"/>
          <w:szCs w:val="22"/>
          <w:color w:val="auto"/>
        </w:rPr>
        <w:t>Supplier shall execute Honest's Vendor Compliance Statement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Statement"). Supplier will promptly, but in no event [***] later, notify Honest in the event it receives an inquiry or notice from any Regulatory Authority or becomes aware of any potential negative media coverage with respect to the services contemplated in this Agreement, the Products or the Supplier Facilities.</w:t>
      </w:r>
    </w:p>
    <w:p>
      <w:pPr>
        <w:spacing w:after="0" w:line="200" w:lineRule="exact"/>
        <w:rPr>
          <w:sz w:val="20"/>
          <w:szCs w:val="20"/>
          <w:color w:val="auto"/>
        </w:rPr>
      </w:pPr>
    </w:p>
    <w:p>
      <w:pPr>
        <w:spacing w:after="0" w:line="2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ARTICLE 4 INTELLECTUAL PROPERTY</w:t>
      </w:r>
    </w:p>
    <w:p>
      <w:pPr>
        <w:spacing w:after="0" w:line="233"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4.1 Intellectual Property Ownership. </w:t>
      </w:r>
      <w:r>
        <w:rPr>
          <w:rFonts w:ascii="Times New Roman" w:cs="Times New Roman" w:eastAsia="Times New Roman" w:hAnsi="Times New Roman"/>
          <w:sz w:val="22"/>
          <w:szCs w:val="22"/>
          <w:color w:val="auto"/>
        </w:rPr>
        <w:t>Supplier shall exclusively own all right, title and interest in and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Supplier Technology, and Honest shall exclusively own all right, title and interest in and to the Honest IP. To the extent necessary for Honest to exercise its rights in the sale, marketing and distribution of the Products, Supplier hereby grants Honest a fully paid, nonexclusive, royalty-free license to use the Supplier Technology, as applicable and as necessary for Honest to exercise its rights under this Agreement and to market and sell the Products in the ordinary course of its business as contemplated hereunder. The license(s) granted pursuant to this Section 4.1 shall survive termination or expiration of this Agreement only to the extent necessary to market and sell any remaining inventory of Products acquired prior to such termination or expiration. Honest understands and agrees that its use of the Supplier Technology in connection with this Agreement shall not create any right, title or interest in or to such Supplier Technology, including any intellectual property related thereto, and that all such use and goodwill associated therewith shall inure to the benefit of Supplier. It is not the intent of this Agreement to provide for joint developments. If the Parties anticipate any collaborative activities that could result in the creation of intellectual property other than Honest IP or Supplier Technology, the Parties shall, before engaging in such collaborative activities, execute a separate written agreement specifying, inter alia, the objective and scope of such collaboration, as well as ownership and treatment of intellectual property rights resulting therefrom.</w:t>
      </w:r>
    </w:p>
    <w:p>
      <w:pPr>
        <w:spacing w:after="0" w:line="156"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4.2 Honest IP. </w:t>
      </w:r>
      <w:r>
        <w:rPr>
          <w:rFonts w:ascii="Times New Roman" w:cs="Times New Roman" w:eastAsia="Times New Roman" w:hAnsi="Times New Roman"/>
          <w:sz w:val="22"/>
          <w:szCs w:val="22"/>
          <w:color w:val="auto"/>
        </w:rPr>
        <w:t>Honest grants Supplier the limited right to use the Honest IP during the Term only as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under this Agreement, and for no other purpose. Supplier shall not make use of any Honest IP except as specifically provided for in this Agreement or as authorized in writing by Honest, and all such authorized use shall inure to the benefit of Honest. Supplier understands and agrees that its use of Honest IP in connection with this Agreement shall not create any right, title or interest in or to such Honest IP and that all such use and goodwill associated with such Honest IP shall inure to the benefit of Honest.</w:t>
      </w:r>
    </w:p>
    <w:p>
      <w:pPr>
        <w:spacing w:after="0" w:line="14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4.3</w:t>
        <w:tab/>
        <w:t>Information Pertaining to Products.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Supplier agrees to, as soon as reasonably practicable, provide Honest</w:t>
      </w:r>
    </w:p>
    <w:p>
      <w:pPr>
        <w:ind w:right="400"/>
        <w:spacing w:after="0" w:line="221" w:lineRule="auto"/>
        <w:rPr>
          <w:sz w:val="20"/>
          <w:szCs w:val="20"/>
          <w:color w:val="auto"/>
        </w:rPr>
      </w:pPr>
      <w:r>
        <w:rPr>
          <w:rFonts w:ascii="Times New Roman" w:cs="Times New Roman" w:eastAsia="Times New Roman" w:hAnsi="Times New Roman"/>
          <w:sz w:val="20"/>
          <w:szCs w:val="20"/>
          <w:color w:val="auto"/>
        </w:rPr>
        <w:t>with any of the information set forth in (a)-(f) herein, to the extent Honest requires such information to comply with Applicable Laws related to Product claims:</w:t>
      </w:r>
    </w:p>
    <w:p>
      <w:pPr>
        <w:sectPr>
          <w:pgSz w:w="11900" w:h="16838" w:orient="portrait"/>
          <w:cols w:equalWidth="0" w:num="1">
            <w:col w:w="10980"/>
          </w:cols>
          <w:pgMar w:left="420" w:top="1134" w:right="499" w:bottom="1440" w:gutter="0" w:footer="0" w:header="0"/>
        </w:sectPr>
      </w:pPr>
    </w:p>
    <w:bookmarkStart w:id="119" w:name="page120"/>
    <w:bookmarkEnd w:id="119"/>
    <w:p>
      <w:pPr>
        <w:ind w:left="1400" w:right="1020" w:hanging="650"/>
        <w:spacing w:after="0" w:line="271" w:lineRule="auto"/>
        <w:tabs>
          <w:tab w:leader="none" w:pos="139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Finished Product specifications as applicable - physical properties such as dimensional, physical and performance specifications;</w:t>
      </w:r>
    </w:p>
    <w:p>
      <w:pPr>
        <w:spacing w:after="0" w:line="144" w:lineRule="exact"/>
        <w:rPr>
          <w:rFonts w:ascii="Times New Roman" w:cs="Times New Roman" w:eastAsia="Times New Roman" w:hAnsi="Times New Roman"/>
          <w:sz w:val="22"/>
          <w:szCs w:val="22"/>
          <w:color w:val="auto"/>
        </w:rPr>
      </w:pPr>
    </w:p>
    <w:p>
      <w:pPr>
        <w:ind w:left="1400" w:right="260" w:hanging="650"/>
        <w:spacing w:after="0" w:line="271" w:lineRule="auto"/>
        <w:tabs>
          <w:tab w:leader="none" w:pos="13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materials list (including material trade names and any other information or codes needed to identify raw materials used);</w:t>
      </w:r>
    </w:p>
    <w:p>
      <w:pPr>
        <w:spacing w:after="0" w:line="144" w:lineRule="exact"/>
        <w:rPr>
          <w:rFonts w:ascii="Times New Roman" w:cs="Times New Roman" w:eastAsia="Times New Roman" w:hAnsi="Times New Roman"/>
          <w:sz w:val="22"/>
          <w:szCs w:val="22"/>
          <w:color w:val="auto"/>
        </w:rPr>
      </w:pPr>
    </w:p>
    <w:p>
      <w:pPr>
        <w:ind w:left="1400" w:right="860" w:hanging="650"/>
        <w:spacing w:after="0" w:line="271" w:lineRule="auto"/>
        <w:tabs>
          <w:tab w:leader="none" w:pos="139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stability, efficacy, chemical analysis testing (including dioxin testing) and safety data for all testing protocols;</w:t>
      </w:r>
    </w:p>
    <w:p>
      <w:pPr>
        <w:spacing w:after="0" w:line="144" w:lineRule="exact"/>
        <w:rPr>
          <w:rFonts w:ascii="Times New Roman" w:cs="Times New Roman" w:eastAsia="Times New Roman" w:hAnsi="Times New Roman"/>
          <w:sz w:val="22"/>
          <w:szCs w:val="22"/>
          <w:color w:val="auto"/>
        </w:rPr>
      </w:pPr>
    </w:p>
    <w:p>
      <w:pPr>
        <w:ind w:left="1400" w:right="2120" w:hanging="650"/>
        <w:spacing w:after="0" w:line="271" w:lineRule="auto"/>
        <w:tabs>
          <w:tab w:leader="none" w:pos="13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documentation identifying the supplier for each raw material (including a breakdown of subcomponents);</w:t>
      </w:r>
    </w:p>
    <w:p>
      <w:pPr>
        <w:spacing w:after="0" w:line="144" w:lineRule="exact"/>
        <w:rPr>
          <w:rFonts w:ascii="Times New Roman" w:cs="Times New Roman" w:eastAsia="Times New Roman" w:hAnsi="Times New Roman"/>
          <w:sz w:val="22"/>
          <w:szCs w:val="22"/>
          <w:color w:val="auto"/>
        </w:rPr>
      </w:pPr>
    </w:p>
    <w:p>
      <w:pPr>
        <w:ind w:left="1400" w:hanging="650"/>
        <w:spacing w:after="0"/>
        <w:tabs>
          <w:tab w:leader="none" w:pos="14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documentation to support certifications and claims pertaining to any certifications; and</w:t>
      </w:r>
    </w:p>
    <w:p>
      <w:pPr>
        <w:spacing w:after="0" w:line="206" w:lineRule="exact"/>
        <w:rPr>
          <w:rFonts w:ascii="Times New Roman" w:cs="Times New Roman" w:eastAsia="Times New Roman" w:hAnsi="Times New Roman"/>
          <w:sz w:val="22"/>
          <w:szCs w:val="22"/>
          <w:color w:val="auto"/>
        </w:rPr>
      </w:pPr>
    </w:p>
    <w:p>
      <w:pPr>
        <w:ind w:left="1400" w:hanging="650"/>
        <w:spacing w:after="0"/>
        <w:tabs>
          <w:tab w:leader="none" w:pos="14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or documentation requested by Honest to comply with Applicable Laws.</w:t>
      </w:r>
    </w:p>
    <w:p>
      <w:pPr>
        <w:spacing w:after="0" w:line="175" w:lineRule="exact"/>
        <w:rPr>
          <w:sz w:val="20"/>
          <w:szCs w:val="20"/>
          <w:color w:val="auto"/>
        </w:rPr>
      </w:pPr>
    </w:p>
    <w:p>
      <w:pPr>
        <w:jc w:val="both"/>
        <w:ind w:right="40" w:firstLine="729"/>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4.4 Highly Confidential Information. </w:t>
      </w:r>
      <w:r>
        <w:rPr>
          <w:rFonts w:ascii="Times New Roman" w:cs="Times New Roman" w:eastAsia="Times New Roman" w:hAnsi="Times New Roman"/>
          <w:sz w:val="22"/>
          <w:szCs w:val="22"/>
          <w:color w:val="auto"/>
        </w:rPr>
        <w:t>Should Honest require other claim information, or should Supplier deem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information to be highly confidential and notify Honest of such, then Supplier agrees to share such information pursuant to a separate disclosure agreement mutually agreed upon by the Parties.</w:t>
      </w:r>
    </w:p>
    <w:p>
      <w:pPr>
        <w:spacing w:after="0" w:line="187" w:lineRule="exact"/>
        <w:rPr>
          <w:sz w:val="20"/>
          <w:szCs w:val="20"/>
          <w:color w:val="auto"/>
        </w:rPr>
      </w:pPr>
    </w:p>
    <w:p>
      <w:pPr>
        <w:ind w:left="100" w:right="3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4.5 Labels</w:t>
      </w:r>
      <w:r>
        <w:rPr>
          <w:rFonts w:ascii="Times New Roman" w:cs="Times New Roman" w:eastAsia="Times New Roman" w:hAnsi="Times New Roman"/>
          <w:sz w:val="22"/>
          <w:szCs w:val="22"/>
          <w:color w:val="auto"/>
        </w:rPr>
        <w:t>. Honest will be responsible for the labeling, advertising, and distribution of the Products and assumes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for being the “labeler” under Applicable Laws.</w:t>
      </w:r>
    </w:p>
    <w:p>
      <w:pPr>
        <w:spacing w:after="0" w:line="176"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100" w:right="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4.7 Further Assurances. </w:t>
      </w:r>
      <w:r>
        <w:rPr>
          <w:rFonts w:ascii="Times New Roman" w:cs="Times New Roman" w:eastAsia="Times New Roman" w:hAnsi="Times New Roman"/>
          <w:sz w:val="22"/>
          <w:szCs w:val="22"/>
          <w:color w:val="auto"/>
        </w:rPr>
        <w:t>Each Party agrees to assist the other Party, or its designee, in every proper way to secure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Party's rights in their intellectual property pursuant to this Article 4, including the execution of all applications, specifications, oaths, assignments and all other instruments which the other Party shall deem necessary to apply for and obtain such rights and to assign and convey to such Party, its successors, assigns and nominees the sole and exclusive rights, title and interest in and to such Party’s intellectual property.</w:t>
      </w:r>
    </w:p>
    <w:p>
      <w:pPr>
        <w:spacing w:after="0" w:line="200" w:lineRule="exact"/>
        <w:rPr>
          <w:sz w:val="20"/>
          <w:szCs w:val="20"/>
          <w:color w:val="auto"/>
        </w:rPr>
      </w:pP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ARTICLE 5 REPRESENTATIONS AND WARRANTIES</w:t>
      </w:r>
    </w:p>
    <w:p>
      <w:pPr>
        <w:spacing w:after="0" w:line="247" w:lineRule="exact"/>
        <w:rPr>
          <w:sz w:val="20"/>
          <w:szCs w:val="20"/>
          <w:color w:val="auto"/>
        </w:rPr>
      </w:pPr>
    </w:p>
    <w:p>
      <w:pPr>
        <w:ind w:left="100" w:right="5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5.1 Mutual Representations and Warranties. </w:t>
      </w:r>
      <w:r>
        <w:rPr>
          <w:rFonts w:ascii="Times New Roman" w:cs="Times New Roman" w:eastAsia="Times New Roman" w:hAnsi="Times New Roman"/>
          <w:sz w:val="22"/>
          <w:szCs w:val="22"/>
          <w:color w:val="auto"/>
        </w:rPr>
        <w:t>Each Party hereby represents and warrants to the other Party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76" w:lineRule="exact"/>
        <w:rPr>
          <w:sz w:val="20"/>
          <w:szCs w:val="20"/>
          <w:color w:val="auto"/>
        </w:rPr>
      </w:pPr>
    </w:p>
    <w:p>
      <w:pPr>
        <w:ind w:left="1400" w:right="140" w:hanging="650"/>
        <w:spacing w:after="0" w:line="262" w:lineRule="auto"/>
        <w:tabs>
          <w:tab w:leader="none" w:pos="139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Existence and Power. </w:t>
      </w:r>
      <w:r>
        <w:rPr>
          <w:rFonts w:ascii="Times New Roman" w:cs="Times New Roman" w:eastAsia="Times New Roman" w:hAnsi="Times New Roman"/>
          <w:sz w:val="22"/>
          <w:szCs w:val="22"/>
          <w:color w:val="auto"/>
        </w:rPr>
        <w:t>It is duly organized, validly existing and in good standing under the laws of the State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country in which it is organized.</w:t>
      </w:r>
    </w:p>
    <w:p>
      <w:pPr>
        <w:spacing w:after="0" w:line="149" w:lineRule="exact"/>
        <w:rPr>
          <w:rFonts w:ascii="Times New Roman" w:cs="Times New Roman" w:eastAsia="Times New Roman" w:hAnsi="Times New Roman"/>
          <w:sz w:val="22"/>
          <w:szCs w:val="22"/>
          <w:color w:val="auto"/>
        </w:rPr>
      </w:pPr>
    </w:p>
    <w:p>
      <w:pPr>
        <w:ind w:left="1400" w:hanging="650"/>
        <w:spacing w:after="0" w:line="218" w:lineRule="auto"/>
        <w:tabs>
          <w:tab w:leader="none" w:pos="139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Due Authorization and Enforcement of Obligations</w:t>
      </w:r>
      <w:r>
        <w:rPr>
          <w:rFonts w:ascii="Times New Roman" w:cs="Times New Roman" w:eastAsia="Times New Roman" w:hAnsi="Times New Roman"/>
          <w:sz w:val="22"/>
          <w:szCs w:val="22"/>
          <w:color w:val="auto"/>
        </w:rPr>
        <w:t>. It has the power and authority and the legal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this Agreement to perform its obligations hereunder, and it has taken all necessary action on its part to authorize the performance of such obligations. This Agreement has been duly executed and delivered on behalf of such Party, and constitutes a legal, valid, binding obligation, enforceable against such Party in accordance with its terms.</w:t>
      </w:r>
    </w:p>
    <w:p>
      <w:pPr>
        <w:sectPr>
          <w:pgSz w:w="11900" w:h="16838" w:orient="portrait"/>
          <w:cols w:equalWidth="0" w:num="1">
            <w:col w:w="11100"/>
          </w:cols>
          <w:pgMar w:left="320" w:top="1111" w:right="479" w:bottom="1440" w:gutter="0" w:footer="0" w:header="0"/>
        </w:sectPr>
      </w:pPr>
    </w:p>
    <w:bookmarkStart w:id="120" w:name="page121"/>
    <w:bookmarkEnd w:id="120"/>
    <w:p>
      <w:pPr>
        <w:ind w:left="1300" w:right="200" w:hanging="650"/>
        <w:spacing w:after="0" w:line="227" w:lineRule="auto"/>
        <w:tabs>
          <w:tab w:leader="none" w:pos="129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Conflict. </w:t>
      </w:r>
      <w:r>
        <w:rPr>
          <w:rFonts w:ascii="Times New Roman" w:cs="Times New Roman" w:eastAsia="Times New Roman" w:hAnsi="Times New Roman"/>
          <w:sz w:val="22"/>
          <w:szCs w:val="22"/>
          <w:color w:val="auto"/>
        </w:rPr>
        <w:t>The execution and delivery of this Agreement and the performance of such Party's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(i) do not conflict with or violate any requirement of Applicable Laws and (ii) do not conflict with, or constitute a default or require any consent under, any contractual obligation of such Party.</w:t>
      </w:r>
    </w:p>
    <w:p>
      <w:pPr>
        <w:spacing w:after="0" w:line="146" w:lineRule="exact"/>
        <w:rPr>
          <w:rFonts w:ascii="Times New Roman" w:cs="Times New Roman" w:eastAsia="Times New Roman" w:hAnsi="Times New Roman"/>
          <w:sz w:val="22"/>
          <w:szCs w:val="22"/>
          <w:color w:val="auto"/>
        </w:rPr>
      </w:pPr>
    </w:p>
    <w:p>
      <w:pPr>
        <w:ind w:left="1300" w:right="120" w:hanging="650"/>
        <w:spacing w:after="0" w:line="221" w:lineRule="auto"/>
        <w:tabs>
          <w:tab w:leader="none" w:pos="129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Compliance with Anti-Bribery Laws. </w:t>
      </w:r>
      <w:r>
        <w:rPr>
          <w:rFonts w:ascii="Times New Roman" w:cs="Times New Roman" w:eastAsia="Times New Roman" w:hAnsi="Times New Roman"/>
          <w:sz w:val="22"/>
          <w:szCs w:val="22"/>
          <w:color w:val="auto"/>
        </w:rPr>
        <w:t>In carrying out its responsibilities under this Agreement, each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comply with all applicable anti-bribery laws, including the U.S. Foreign Corrupt Practices Act of 1977, as amended, and anti- bribery laws in the countries where such Party has its principal place of business and where such Party conducts activities under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5.1 Warranties of Supplier.</w:t>
      </w:r>
    </w:p>
    <w:p>
      <w:pPr>
        <w:spacing w:after="0" w:line="210" w:lineRule="exact"/>
        <w:rPr>
          <w:sz w:val="20"/>
          <w:szCs w:val="20"/>
          <w:color w:val="auto"/>
        </w:rPr>
      </w:pPr>
    </w:p>
    <w:p>
      <w:pPr>
        <w:ind w:left="1300" w:hanging="650"/>
        <w:spacing w:after="0" w:line="215" w:lineRule="auto"/>
        <w:tabs>
          <w:tab w:leader="none" w:pos="1295"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Supplier represents and warrants that all Products delivered hereunder shall: (i) conform to the Product Specifications; (ii) be merchantable; (iii) be free of defects in workmanship or material; (iv) be fit for their intended ordinary purposes and for the particular purpose for which they are intended as per their own instructions of use; (v) be free and clear of any and all encumbrances, liens or other Third Party claims; and (vi) be manufactured, packaged, tested, handled, distributed, dispensed and shipped in compliance with all Applicable Laws, the Quality Control Procedures and the Regulatory Standards.</w:t>
      </w:r>
    </w:p>
    <w:p>
      <w:pPr>
        <w:spacing w:after="0" w:line="165" w:lineRule="exact"/>
        <w:rPr>
          <w:rFonts w:ascii="Times New Roman" w:cs="Times New Roman" w:eastAsia="Times New Roman" w:hAnsi="Times New Roman"/>
          <w:sz w:val="22"/>
          <w:szCs w:val="22"/>
          <w:b w:val="1"/>
          <w:bCs w:val="1"/>
          <w:color w:val="auto"/>
        </w:rPr>
      </w:pPr>
    </w:p>
    <w:p>
      <w:pPr>
        <w:jc w:val="both"/>
        <w:ind w:left="1300" w:right="160" w:hanging="650"/>
        <w:spacing w:after="0" w:line="257" w:lineRule="auto"/>
        <w:tabs>
          <w:tab w:leader="none" w:pos="1294"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Supplier warrants that it will maintain all Product certifications in good standing and will maintain trademark licensing agreements for Third Party certifiers. Supplier will provide Honest with copies of such certifications as reasonably requested by Honest.</w:t>
      </w:r>
    </w:p>
    <w:p>
      <w:pPr>
        <w:spacing w:after="0" w:line="159" w:lineRule="exact"/>
        <w:rPr>
          <w:rFonts w:ascii="Times New Roman" w:cs="Times New Roman" w:eastAsia="Times New Roman" w:hAnsi="Times New Roman"/>
          <w:sz w:val="22"/>
          <w:szCs w:val="22"/>
          <w:b w:val="1"/>
          <w:bCs w:val="1"/>
          <w:color w:val="auto"/>
        </w:rPr>
      </w:pPr>
    </w:p>
    <w:p>
      <w:pPr>
        <w:jc w:val="both"/>
        <w:ind w:left="1300" w:right="240" w:hanging="650"/>
        <w:spacing w:after="0" w:line="248" w:lineRule="auto"/>
        <w:tabs>
          <w:tab w:leader="none" w:pos="1297"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Supplier warrants that the Supplier Facilities comply in all material respects with all Applicable Laws, are in good standing with any required or applicable Regulatory Authority, are fully compliant with cGMP and that all employees working on the Products whose responsibilities involve work which must be performed under cGMP standards have been properly trained in the requirements of those standards.</w:t>
      </w:r>
    </w:p>
    <w:p>
      <w:pPr>
        <w:spacing w:after="0" w:line="151" w:lineRule="exact"/>
        <w:rPr>
          <w:rFonts w:ascii="Times New Roman" w:cs="Times New Roman" w:eastAsia="Times New Roman" w:hAnsi="Times New Roman"/>
          <w:sz w:val="22"/>
          <w:szCs w:val="22"/>
          <w:b w:val="1"/>
          <w:bCs w:val="1"/>
          <w:color w:val="auto"/>
        </w:rPr>
      </w:pPr>
    </w:p>
    <w:p>
      <w:pPr>
        <w:ind w:left="1300" w:right="60" w:hanging="650"/>
        <w:spacing w:after="0" w:line="210" w:lineRule="auto"/>
        <w:tabs>
          <w:tab w:leader="none" w:pos="1294"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Infringement. </w:t>
      </w:r>
      <w:r>
        <w:rPr>
          <w:rFonts w:ascii="Times New Roman" w:cs="Times New Roman" w:eastAsia="Times New Roman" w:hAnsi="Times New Roman"/>
          <w:sz w:val="22"/>
          <w:szCs w:val="22"/>
          <w:color w:val="auto"/>
        </w:rPr>
        <w:t>Supplier represents, warrants and covenants to Honest that, except for the Honest IP, and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the Territory, it owns or possesses sufficient legal rights to all: (a) patents, patent applications and inventions; (b) trademarks, service marks, trade names, trade dress, logos, registrations and applications for registration thereof, together with all of the goodwill associated therewith; (c)copyrights (registered or unregistered) and copyrightable works and registrations and applications for registrations thereof; (d) trade secrets and other confidential information; and (e) licenses, information and proprietary rights and processes in each case necessary for its business as now conducted and as presently proposed to be conducted without any conflict with, or infringement of, the rights of others. Supplier further represents, warrants and covenants to Honest that Supplier will not, in the course of performing obligations hereunder, infringe or misappropriate, and none of the Products, the Supplier Technology used in the Products or any element thereof will infringe or misappropriate, any intellectual property of any Person in the Territory.</w:t>
      </w:r>
    </w:p>
    <w:p>
      <w:pPr>
        <w:spacing w:after="0" w:line="157" w:lineRule="exact"/>
        <w:rPr>
          <w:sz w:val="20"/>
          <w:szCs w:val="20"/>
          <w:color w:val="auto"/>
        </w:rPr>
      </w:pPr>
    </w:p>
    <w:p>
      <w:pPr>
        <w:ind w:right="4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5.2 Warranties of Honest</w:t>
      </w:r>
      <w:r>
        <w:rPr>
          <w:rFonts w:ascii="Times New Roman" w:cs="Times New Roman" w:eastAsia="Times New Roman" w:hAnsi="Times New Roman"/>
          <w:sz w:val="22"/>
          <w:szCs w:val="22"/>
          <w:color w:val="auto"/>
        </w:rPr>
        <w:t>. Honest represents, warrants and covenants to Supplier and only within the Territory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with respect to the Honest IP, it owns or possesses sufficient legal rights to all: (a) patents, patent applications and inventions; (b) trademarks, service marks, trade names, trade dress, logos, registrations and applications for registration thereof; (c) copyrights (registered or unregistered) and copyrightable works and registrations and</w:t>
      </w:r>
    </w:p>
    <w:p>
      <w:pPr>
        <w:sectPr>
          <w:pgSz w:w="11900" w:h="16838" w:orient="portrait"/>
          <w:cols w:equalWidth="0" w:num="1">
            <w:col w:w="10960"/>
          </w:cols>
          <w:pgMar w:left="420" w:top="1094" w:right="519" w:bottom="1440" w:gutter="0" w:footer="0" w:header="0"/>
        </w:sectPr>
      </w:pPr>
    </w:p>
    <w:bookmarkStart w:id="121" w:name="page122"/>
    <w:bookmarkEnd w:id="121"/>
    <w:p>
      <w:pPr>
        <w:ind w:right="420"/>
        <w:spacing w:after="0" w:line="225" w:lineRule="auto"/>
        <w:rPr>
          <w:sz w:val="20"/>
          <w:szCs w:val="20"/>
          <w:color w:val="auto"/>
        </w:rPr>
      </w:pPr>
      <w:r>
        <w:rPr>
          <w:rFonts w:ascii="Times New Roman" w:cs="Times New Roman" w:eastAsia="Times New Roman" w:hAnsi="Times New Roman"/>
          <w:sz w:val="22"/>
          <w:szCs w:val="22"/>
          <w:color w:val="auto"/>
        </w:rPr>
        <w:t>applications for registrations thereof; and (d) trade secrets and other confidential information. Honest further represents, warrants and covenants to Supplier that the Honest IP does not infringe or misappropriate any intellectual property of any Person in the Territory.</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6 INDEMNIFICATION</w:t>
      </w:r>
    </w:p>
    <w:p>
      <w:pPr>
        <w:spacing w:after="0" w:line="220"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6.1 Supplier Indemnity. </w:t>
      </w:r>
      <w:r>
        <w:rPr>
          <w:rFonts w:ascii="Times New Roman" w:cs="Times New Roman" w:eastAsia="Times New Roman" w:hAnsi="Times New Roman"/>
          <w:sz w:val="21"/>
          <w:szCs w:val="21"/>
          <w:color w:val="auto"/>
        </w:rPr>
        <w:t>Supplier agrees to indemnify, hold harmless, and defend Honest and its Affiliates and sub-licensees, and their respective directors, officers, employees and agents (the "Honest Indemnitees"), from and against any and all claims, costs, expenses, liabilities, damages, losses and harm (including reasonable attorneys' fees and expenses regardless of outcome) ("Losses") arising out of or resulting from any Third Party costs, suits, claims, actions or demands (collectively, "Claims") resulting from or caused by: (a) Supplier's manufacture or supply of the Products as provided for in this Agreement;</w:t>
      </w:r>
    </w:p>
    <w:p>
      <w:pPr>
        <w:spacing w:after="0" w:line="1" w:lineRule="exact"/>
        <w:rPr>
          <w:sz w:val="20"/>
          <w:szCs w:val="20"/>
          <w:color w:val="auto"/>
        </w:rPr>
      </w:pPr>
    </w:p>
    <w:p>
      <w:pPr>
        <w:jc w:val="both"/>
        <w:ind w:right="760" w:firstLine="2"/>
        <w:spacing w:after="0" w:line="228" w:lineRule="auto"/>
        <w:tabs>
          <w:tab w:leader="none" w:pos="30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Supplier's gross negligence, recklessness or willful misconduct of any Supplier Indemnitee (as defined herein); or Supplier's breach of its obligations, covenants, warranties or representations under this Agreement, including, without limitation, those set forth in Section 5.2 hereof, except in each case to the extent caused by any Honest Indemnitee.</w:t>
      </w:r>
    </w:p>
    <w:p>
      <w:pPr>
        <w:spacing w:after="0" w:line="148"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6.2 Honest Indemnity. </w:t>
      </w:r>
      <w:r>
        <w:rPr>
          <w:rFonts w:ascii="Times New Roman" w:cs="Times New Roman" w:eastAsia="Times New Roman" w:hAnsi="Times New Roman"/>
          <w:sz w:val="22"/>
          <w:szCs w:val="22"/>
          <w:color w:val="auto"/>
        </w:rPr>
        <w:t>Honest agrees to indemnify, hold harmless, and defend Supplier and its Affiliates and sub-licensees, and their respective directors, officers, employees and agents (the "Supplier Indemnitees") from and against any and all Losses arising out of or resulting from any Claims resulting from or caused by: (a) any Honest Indemnitee; or (b) Honest's breach of its obligations, covenants, warranties or representations under this Agreement, except in each case to the extent caused by any Supplier Indemnitee.</w:t>
      </w:r>
    </w:p>
    <w:p>
      <w:pPr>
        <w:spacing w:after="0" w:line="147"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6.3 Indemnification Procedures. </w:t>
      </w:r>
      <w:r>
        <w:rPr>
          <w:rFonts w:ascii="Times New Roman" w:cs="Times New Roman" w:eastAsia="Times New Roman" w:hAnsi="Times New Roman"/>
          <w:sz w:val="21"/>
          <w:szCs w:val="21"/>
          <w:color w:val="auto"/>
        </w:rPr>
        <w:t>The indemnified Party shall provide the indemnifying Party with prompt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Claim asserted by a Third Party which may give rise to indemnification obligations pursuant to this Article 6 and the exclusive right to defend (with the reasonable cooperation of the indemnified Party) or settle any such claim; provided, however, that the indemnifying Party shall not enter into any settlement without the indemnified Party's prior written consent, such consent not to be unreasonably withheld. The indemnified Party shall have the right to participate, at its own expense and with counsel of its choice, in the defense of any claim or suit that has been assumed by the indemnifying Party.</w:t>
      </w:r>
    </w:p>
    <w:p>
      <w:pPr>
        <w:spacing w:after="0" w:line="134" w:lineRule="exact"/>
        <w:rPr>
          <w:sz w:val="20"/>
          <w:szCs w:val="20"/>
          <w:color w:val="auto"/>
        </w:rPr>
      </w:pPr>
    </w:p>
    <w:p>
      <w:pPr>
        <w:ind w:right="380"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6.4 Insurance. </w:t>
      </w:r>
      <w:r>
        <w:rPr>
          <w:rFonts w:ascii="Times New Roman" w:cs="Times New Roman" w:eastAsia="Times New Roman" w:hAnsi="Times New Roman"/>
          <w:sz w:val="22"/>
          <w:szCs w:val="22"/>
          <w:color w:val="auto"/>
        </w:rPr>
        <w:t>Supplier, at its sole cost and expense, will maintain appropriate insurance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Commercial General Liability Insurance with Broad Form Contractual Liability; premises, operations coverage including products and completed operations and Personal Injury/Property Damage Coverage, with limits of not less than[***]. Supplier agrees coverage will remain in place until one (1) year after this Agreement ends. A Certificate of Insurance indicating such coverage will be delivered to Honest upon execution of this Agreement. The Certificate will (a) indicate that the policy will not change or terminate without at least [***] notice to Honest, (b) indicate that Honest shall be listed as an additional insured on the commercial general liability policy and (c) indicate that the insurer waives its subrogation rights against Honest.</w:t>
      </w:r>
    </w:p>
    <w:p>
      <w:pPr>
        <w:spacing w:after="0" w:line="148"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6.5 LIMITATION OF LIABILITY. </w:t>
      </w:r>
      <w:r>
        <w:rPr>
          <w:rFonts w:ascii="Times New Roman" w:cs="Times New Roman" w:eastAsia="Times New Roman" w:hAnsi="Times New Roman"/>
          <w:sz w:val="22"/>
          <w:szCs w:val="22"/>
          <w:color w:val="auto"/>
        </w:rPr>
        <w:t>NEITHER PARTY SHALL BE LIABLE TO THE OTHER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CONSEQUENTIAL, INCIDENTAL, PUNITIVE OR INDIRECT DAMAGES ARISING FROM OR RELATING TO ANY BREACH OF THIS AGREEMENT, REGARDLESS OF ANY NOTICE OF THE POSSIBILITY OF SUCH DAMAGES. NOTWITHSTANDING THE FOREGOING, NOTHING IN THIS PARAGRAPH IS INTENDED TO LIMIT OR RESTRICT THE INDEMNIFICATION RIGHTS OR OBLIGATIONS OF ANY PARTY UNDER THIS ARTICLE 6, OR DAMAGES AVAILABLE FOR BREACHES OF THE CONFIDENTIALITY OBLIGATIONS SET FORTH IN ARTICLE 8.</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7</w:t>
      </w:r>
    </w:p>
    <w:p>
      <w:pPr>
        <w:sectPr>
          <w:pgSz w:w="11900" w:h="16838" w:orient="portrait"/>
          <w:cols w:equalWidth="0" w:num="1">
            <w:col w:w="10940"/>
          </w:cols>
          <w:pgMar w:left="420" w:top="1098" w:right="539" w:bottom="1440" w:gutter="0" w:footer="0" w:header="0"/>
        </w:sectPr>
      </w:pPr>
    </w:p>
    <w:bookmarkStart w:id="122" w:name="page123"/>
    <w:bookmarkEnd w:id="12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220" w:lineRule="exact"/>
        <w:rPr>
          <w:sz w:val="20"/>
          <w:szCs w:val="20"/>
          <w:color w:val="auto"/>
        </w:rPr>
      </w:pPr>
    </w:p>
    <w:p>
      <w:pPr>
        <w:ind w:left="400" w:firstLine="324"/>
        <w:spacing w:after="0" w:line="216" w:lineRule="auto"/>
        <w:rPr>
          <w:sz w:val="20"/>
          <w:szCs w:val="20"/>
          <w:color w:val="auto"/>
        </w:rPr>
      </w:pPr>
      <w:r>
        <w:rPr>
          <w:rFonts w:ascii="Times New Roman" w:cs="Times New Roman" w:eastAsia="Times New Roman" w:hAnsi="Times New Roman"/>
          <w:sz w:val="22"/>
          <w:szCs w:val="22"/>
          <w:b w:val="1"/>
          <w:bCs w:val="1"/>
          <w:color w:val="auto"/>
        </w:rPr>
        <w:t>7.1 Term</w:t>
      </w:r>
      <w:r>
        <w:rPr>
          <w:rFonts w:ascii="Times New Roman" w:cs="Times New Roman" w:eastAsia="Times New Roman" w:hAnsi="Times New Roman"/>
          <w:sz w:val="22"/>
          <w:szCs w:val="22"/>
          <w:color w:val="auto"/>
        </w:rPr>
        <w:t>. This Agreement shall commence on the Effective Date and continue until January 1, 2027 unless earlier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by either Party in accordance with this Article 7 (the "Initial Term"). Assuming the Agreement is not otherwise terminated, at least six (6) months prior to the end of the then-current term, both Parties agree to discuss and determine whether this Agreement shall be renewed for an additional year (a "Renewal Term"). Thereafter, and upon the Parties’ mutual agreement, the Agreement shall be renewed for such Renewal Term. The Initial Term and the Renewal Term(s) shall be collectively referred to as the "Term."</w:t>
      </w:r>
    </w:p>
    <w:p>
      <w:pPr>
        <w:spacing w:after="0" w:line="186"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7.2 Termination for Material Breach. </w:t>
      </w:r>
      <w:r>
        <w:rPr>
          <w:rFonts w:ascii="Times New Roman" w:cs="Times New Roman" w:eastAsia="Times New Roman" w:hAnsi="Times New Roman"/>
          <w:sz w:val="22"/>
          <w:szCs w:val="22"/>
          <w:color w:val="auto"/>
        </w:rPr>
        <w:t>Either Party shall have the right to terminate this Agreement (a)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or (b) in part with respect to an individual Product(s), if a material breach pertains to such Product(s) (in such case, a "Terminated Product"), in each case, upon written notice to the other Party, if the other Party commits any material breach of this Agreement that such breaching Party fails to cure within thirty (30) days following written notice from the non-breaching Party specifying such breach.</w:t>
      </w:r>
    </w:p>
    <w:p>
      <w:pPr>
        <w:spacing w:after="0" w:line="151" w:lineRule="exact"/>
        <w:rPr>
          <w:sz w:val="20"/>
          <w:szCs w:val="20"/>
          <w:color w:val="auto"/>
        </w:rPr>
      </w:pPr>
    </w:p>
    <w:p>
      <w:pPr>
        <w:ind w:right="140"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7.3 Termination for Bankruptcy. </w:t>
      </w:r>
      <w:r>
        <w:rPr>
          <w:rFonts w:ascii="Times New Roman" w:cs="Times New Roman" w:eastAsia="Times New Roman" w:hAnsi="Times New Roman"/>
          <w:sz w:val="21"/>
          <w:szCs w:val="21"/>
          <w:color w:val="auto"/>
        </w:rPr>
        <w:t>Either Party may immediately terminate this Agreement upon the occurrence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of the following: (a) the entry of a decree or order for relief by a court having jurisdiction in the premises in respect of the other Party in an involuntary case under any applicable national, federal or state insolvency or other similar law, and the continuance of any such decree or order unstayed and in effect for a period of sixty (60) consecutive days; or (b) the filing by the other Party of a petition for relief under any applicable national, federal or state insolvency or other similar law.</w:t>
      </w:r>
    </w:p>
    <w:p>
      <w:pPr>
        <w:spacing w:after="0" w:line="14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 xml:space="preserve">Termination upon a Change of Control. </w:t>
      </w:r>
      <w:r>
        <w:rPr>
          <w:rFonts w:ascii="Times New Roman" w:cs="Times New Roman" w:eastAsia="Times New Roman" w:hAnsi="Times New Roman"/>
          <w:sz w:val="21"/>
          <w:szCs w:val="21"/>
          <w:color w:val="auto"/>
        </w:rPr>
        <w:t>Honest shall be permitted to terminate the Agreement with twelve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months’ prior written notice, in the event that a Change of Control of Honest has occurred at any time during the Term.</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 xml:space="preserve">Certain Obligations Upon Termination. </w:t>
      </w:r>
      <w:r>
        <w:rPr>
          <w:rFonts w:ascii="Times New Roman" w:cs="Times New Roman" w:eastAsia="Times New Roman" w:hAnsi="Times New Roman"/>
          <w:sz w:val="21"/>
          <w:szCs w:val="21"/>
          <w:color w:val="auto"/>
        </w:rPr>
        <w:t>In the event this Agreement is terminated under this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Honest agrees to purchase from Supplier any remaining Products and Honest Unique Materials at Supplier's cost.</w:t>
      </w:r>
    </w:p>
    <w:p>
      <w:pPr>
        <w:spacing w:after="0" w:line="165" w:lineRule="exact"/>
        <w:rPr>
          <w:sz w:val="20"/>
          <w:szCs w:val="20"/>
          <w:color w:val="auto"/>
        </w:rPr>
      </w:pPr>
    </w:p>
    <w:p>
      <w:pPr>
        <w:ind w:right="14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7.6 Surviving Obligations. </w:t>
      </w:r>
      <w:r>
        <w:rPr>
          <w:rFonts w:ascii="Times New Roman" w:cs="Times New Roman" w:eastAsia="Times New Roman" w:hAnsi="Times New Roman"/>
          <w:sz w:val="22"/>
          <w:szCs w:val="22"/>
          <w:color w:val="auto"/>
        </w:rPr>
        <w:t>Termination or expiration of this Agreement shall not (a) affect any other rights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Party which may have accrued up to the date of such termination or expiration or (b) relieve Honest of its obligation to pay to Supplier sums due in respect of Product delivered prior to termination or expiration of this Agreement. The provisions of Sections 3.1, 4.1, 4.2, 4.6, 5.2(a), 5.2(c), 5.3 and Articles 6, 8 and 10 shall survive the termination or expiration of this Agreement.</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8 CONFIDENTIALITY</w:t>
      </w:r>
    </w:p>
    <w:p>
      <w:pPr>
        <w:spacing w:after="0" w:line="220"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8.1 Confidentiality Obligations. </w:t>
      </w:r>
      <w:r>
        <w:rPr>
          <w:rFonts w:ascii="Times New Roman" w:cs="Times New Roman" w:eastAsia="Times New Roman" w:hAnsi="Times New Roman"/>
          <w:sz w:val="22"/>
          <w:szCs w:val="22"/>
          <w:color w:val="auto"/>
        </w:rPr>
        <w:t>During the term of this Agreement and for a period of [***] thereafter (except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 secrets, in which case the Receiving Party will maintain confidentiality for as long as such Confidential Information remains a trade secret), a Receiving Party hereunder will maintain all Confidential Information as confidential and will not disclose any Confidential Information or use any Confidential Information for any purpose, except: (a) as expressly authorized by this Agreement; (b) as expressly authorized by the Disclosing Party in writing; (c) as permitted by Section 8.3; or (d) to its employees, agents, consultants, authorized subcontractors and other representatives who require access to such information to accomplish the purposes of this Agreement (“Representatives”), so long as such Representatives are bound by obligations regarding the confidentiality of the Confidential Information that are consistent</w:t>
      </w:r>
    </w:p>
    <w:p>
      <w:pPr>
        <w:sectPr>
          <w:pgSz w:w="11900" w:h="16838" w:orient="portrait"/>
          <w:cols w:equalWidth="0" w:num="1">
            <w:col w:w="10960"/>
          </w:cols>
          <w:pgMar w:left="420" w:top="891" w:right="519" w:bottom="1440" w:gutter="0" w:footer="0" w:header="0"/>
        </w:sectPr>
      </w:pPr>
    </w:p>
    <w:bookmarkStart w:id="123" w:name="page124"/>
    <w:bookmarkEnd w:id="123"/>
    <w:p>
      <w:pPr>
        <w:spacing w:after="0" w:line="225" w:lineRule="auto"/>
        <w:rPr>
          <w:sz w:val="20"/>
          <w:szCs w:val="20"/>
          <w:color w:val="auto"/>
        </w:rPr>
      </w:pPr>
      <w:r>
        <w:rPr>
          <w:rFonts w:ascii="Times New Roman" w:cs="Times New Roman" w:eastAsia="Times New Roman" w:hAnsi="Times New Roman"/>
          <w:sz w:val="21"/>
          <w:szCs w:val="21"/>
          <w:color w:val="auto"/>
        </w:rPr>
        <w:t>with, and no less protective to the Disclosing Party than, the terms of this Agreement. The Receiving Party may use the Confidential Information only to the extent required to accomplish the purposes of this Agreement. The Receiving Party will use at least the same standard of care as it uses to protect its own confidential information to ensure that its Representatives do not disclose or make any unauthorized use of the Confidential Information, but in no event less than reasonable care. The Receiving Party shall remain liable to the Disclosing Party for any actions of its Representatives with respect to the Disclosing Party’s Confidential Information and for compliance by such Representatives with all the obligations hereunder.</w:t>
      </w:r>
    </w:p>
    <w:p>
      <w:pPr>
        <w:spacing w:after="0" w:line="163" w:lineRule="exact"/>
        <w:rPr>
          <w:sz w:val="20"/>
          <w:szCs w:val="20"/>
          <w:color w:val="auto"/>
        </w:rPr>
      </w:pPr>
    </w:p>
    <w:p>
      <w:pPr>
        <w:ind w:right="36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The Receiving Party will not have any obligations under this Agreement with respect to a specific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Confidential Information if the Receiving Party can demonstrate with competent evidence that such Confidential Information:</w:t>
      </w:r>
    </w:p>
    <w:p>
      <w:pPr>
        <w:spacing w:after="0" w:line="166" w:lineRule="exact"/>
        <w:rPr>
          <w:sz w:val="20"/>
          <w:szCs w:val="20"/>
          <w:color w:val="auto"/>
        </w:rPr>
      </w:pPr>
    </w:p>
    <w:p>
      <w:pPr>
        <w:ind w:left="1940" w:hanging="642"/>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 the public domain at the time it was disclosed to the Receiving Party;</w:t>
      </w:r>
    </w:p>
    <w:p>
      <w:pPr>
        <w:sectPr>
          <w:pgSz w:w="11900" w:h="16838" w:orient="portrait"/>
          <w:cols w:equalWidth="0" w:num="1">
            <w:col w:w="10940"/>
          </w:cols>
          <w:pgMar w:left="420" w:top="1125" w:right="539" w:bottom="1440" w:gutter="0" w:footer="0" w:header="0"/>
        </w:sectPr>
      </w:pPr>
    </w:p>
    <w:bookmarkStart w:id="124" w:name="page125"/>
    <w:bookmarkEnd w:id="124"/>
    <w:p>
      <w:pPr>
        <w:ind w:left="1940" w:right="400" w:hanging="642"/>
        <w:spacing w:after="0" w:line="271" w:lineRule="auto"/>
        <w:tabs>
          <w:tab w:leader="none" w:pos="193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the public domain subsequent to the time it was disclosed to the Receiving Party, through no fault of the Receiving Party;</w:t>
      </w:r>
    </w:p>
    <w:p>
      <w:pPr>
        <w:spacing w:after="0" w:line="144" w:lineRule="exact"/>
        <w:rPr>
          <w:rFonts w:ascii="Times New Roman" w:cs="Times New Roman" w:eastAsia="Times New Roman" w:hAnsi="Times New Roman"/>
          <w:sz w:val="22"/>
          <w:szCs w:val="22"/>
          <w:color w:val="auto"/>
        </w:rPr>
      </w:pPr>
    </w:p>
    <w:p>
      <w:pPr>
        <w:ind w:left="1940" w:right="980" w:hanging="642"/>
        <w:spacing w:after="0" w:line="271" w:lineRule="auto"/>
        <w:tabs>
          <w:tab w:leader="none" w:pos="19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 the Receiving Party's possession free of any obligation of confidence at the time it was disclosed to the Receiving Party;</w:t>
      </w:r>
    </w:p>
    <w:p>
      <w:pPr>
        <w:spacing w:after="0" w:line="157" w:lineRule="exact"/>
        <w:rPr>
          <w:rFonts w:ascii="Times New Roman" w:cs="Times New Roman" w:eastAsia="Times New Roman" w:hAnsi="Times New Roman"/>
          <w:sz w:val="22"/>
          <w:szCs w:val="22"/>
          <w:color w:val="auto"/>
        </w:rPr>
      </w:pPr>
    </w:p>
    <w:p>
      <w:pPr>
        <w:ind w:left="1940" w:right="180" w:hanging="642"/>
        <w:spacing w:after="0" w:line="258" w:lineRule="auto"/>
        <w:tabs>
          <w:tab w:leader="none" w:pos="193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rightfully communicated to the Receiving Party free of any obligation of confidence subsequent to the time it was disclosed to the Receiving Party; or</w:t>
      </w:r>
    </w:p>
    <w:p>
      <w:pPr>
        <w:spacing w:after="0" w:line="171" w:lineRule="exact"/>
        <w:rPr>
          <w:rFonts w:ascii="Times New Roman" w:cs="Times New Roman" w:eastAsia="Times New Roman" w:hAnsi="Times New Roman"/>
          <w:sz w:val="22"/>
          <w:szCs w:val="22"/>
          <w:color w:val="auto"/>
        </w:rPr>
      </w:pPr>
    </w:p>
    <w:p>
      <w:pPr>
        <w:ind w:left="1940" w:right="340" w:hanging="642"/>
        <w:spacing w:after="0" w:line="271" w:lineRule="auto"/>
        <w:tabs>
          <w:tab w:leader="none" w:pos="19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developed by employees or agents of the Receiving Party who had no access to any Confidential Information.</w:t>
      </w:r>
    </w:p>
    <w:p>
      <w:pPr>
        <w:spacing w:after="0" w:line="113"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8.3 Authorized Disclosure. </w:t>
      </w:r>
      <w:r>
        <w:rPr>
          <w:rFonts w:ascii="Times New Roman" w:cs="Times New Roman" w:eastAsia="Times New Roman" w:hAnsi="Times New Roman"/>
          <w:sz w:val="22"/>
          <w:szCs w:val="22"/>
          <w:color w:val="auto"/>
        </w:rPr>
        <w:t>Notwithstanding Section 8.1, a Receiving Party may disclose Confidential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violating its obligations under this Agreement, to the extent the disclosure is required by Applicable Laws or by a valid order of a court or other governmental body having jurisdiction, provided that the Receiving Party gives reasonable prior written notice to the Disclosing Party of such required disclosure and, at the request and expense of the Disclosing Party, cooperates with the Disclosing Party's efforts to obtain a protective order preventing or limiting the disclosure, requiring that the Confidential Information so disclosed be used only for the purposes for which the law or order requires, and/or to obtain other confidential treatment of the Confidential Information so disclosed.</w:t>
      </w:r>
    </w:p>
    <w:p>
      <w:pPr>
        <w:spacing w:after="0" w:line="200" w:lineRule="exact"/>
        <w:rPr>
          <w:sz w:val="20"/>
          <w:szCs w:val="20"/>
          <w:color w:val="auto"/>
        </w:rPr>
      </w:pPr>
    </w:p>
    <w:p>
      <w:pPr>
        <w:spacing w:after="0" w:line="24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ARTICLE 9 CONTINUOUS IMPROVEMENT</w:t>
      </w:r>
    </w:p>
    <w:p>
      <w:pPr>
        <w:spacing w:after="0" w:line="2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color w:val="auto"/>
        </w:rPr>
        <w:t>The Continuous Improvement program aims to generate cost savings and productivity gains [***].</w:t>
      </w:r>
    </w:p>
    <w:p>
      <w:pPr>
        <w:spacing w:after="0" w:line="193"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color w:val="auto"/>
        </w:rPr>
        <w:t>Qualifying cost reduction initiatives require cooperation between Honest and Supplier, and any such projects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be qualified, quantified, and agreed upon before implementation. [***].</w:t>
      </w:r>
    </w:p>
    <w:p>
      <w:pPr>
        <w:spacing w:after="0" w:line="12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color w:val="auto"/>
        </w:rPr>
        <w:t>These projects may include [***].</w:t>
      </w:r>
    </w:p>
    <w:p>
      <w:pPr>
        <w:spacing w:after="0" w:line="1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color w:val="auto"/>
        </w:rPr>
        <w:t>[***].</w:t>
      </w:r>
    </w:p>
    <w:p>
      <w:pPr>
        <w:sectPr>
          <w:pgSz w:w="11900" w:h="16838" w:orient="portrait"/>
          <w:cols w:equalWidth="0" w:num="1">
            <w:col w:w="11020"/>
          </w:cols>
          <w:pgMar w:left="420" w:top="1381" w:right="459" w:bottom="1440" w:gutter="0" w:footer="0" w:header="0"/>
        </w:sectPr>
      </w:pPr>
    </w:p>
    <w:bookmarkStart w:id="125" w:name="page126"/>
    <w:bookmarkEnd w:id="125"/>
    <w:p>
      <w:pPr>
        <w:spacing w:after="0" w:line="1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ARTICLE 10 GENERAL TERMS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Independent Contractors; Subcontractors.</w:t>
      </w:r>
    </w:p>
    <w:p>
      <w:pPr>
        <w:spacing w:after="0" w:line="183" w:lineRule="exact"/>
        <w:rPr>
          <w:sz w:val="20"/>
          <w:szCs w:val="20"/>
          <w:color w:val="auto"/>
        </w:rPr>
      </w:pPr>
    </w:p>
    <w:p>
      <w:pPr>
        <w:ind w:left="1940" w:right="660" w:hanging="1290"/>
        <w:spacing w:after="0" w:line="225" w:lineRule="auto"/>
        <w:tabs>
          <w:tab w:leader="none" w:pos="193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fulfilling its obligations under this Agreement, each Party shall be acting as an independent contractor. Neither Party is granted any right or authority to assume or to create any obligation or responsibility, express or implied, on behalf of or in the name of the other Party.</w:t>
      </w:r>
    </w:p>
    <w:p>
      <w:pPr>
        <w:spacing w:after="0" w:line="152" w:lineRule="exact"/>
        <w:rPr>
          <w:rFonts w:ascii="Times New Roman" w:cs="Times New Roman" w:eastAsia="Times New Roman" w:hAnsi="Times New Roman"/>
          <w:sz w:val="22"/>
          <w:szCs w:val="22"/>
          <w:color w:val="auto"/>
        </w:rPr>
      </w:pPr>
    </w:p>
    <w:p>
      <w:pPr>
        <w:ind w:left="1940" w:right="40" w:hanging="1290"/>
        <w:spacing w:after="0" w:line="212" w:lineRule="auto"/>
        <w:tabs>
          <w:tab w:leader="none" w:pos="193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Supplier determines that a subcontractor is required to fully manufacture any of the Products under this Agreement, Supplier shall (i) seek Honest's prior written approval of such subcontractor (such approval not to be unreasonably withheld) and (ii) upon such approval, require such subcontractor to comply with the terms and conditions of this Agreement, including, without limitation, the Regulatory Standards and the Compliance Statement. Supplier shall hold Honest harmless from any loss or liability incurred by Honest as a result of Supplier's failure to comply with this Section 10.l(b). Supplier shall be liable for any acts or omissions of any subcontractor to the same extent as if they were the acts or omissions of Supplier.</w:t>
      </w:r>
    </w:p>
    <w:p>
      <w:pPr>
        <w:spacing w:after="0" w:line="166" w:lineRule="exact"/>
        <w:rPr>
          <w:sz w:val="20"/>
          <w:szCs w:val="20"/>
          <w:color w:val="auto"/>
        </w:rPr>
      </w:pPr>
    </w:p>
    <w:p>
      <w:pPr>
        <w:ind w:right="20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10.1 Publicity. </w:t>
      </w:r>
      <w:r>
        <w:rPr>
          <w:rFonts w:ascii="Times New Roman" w:cs="Times New Roman" w:eastAsia="Times New Roman" w:hAnsi="Times New Roman"/>
          <w:sz w:val="22"/>
          <w:szCs w:val="22"/>
          <w:color w:val="auto"/>
        </w:rPr>
        <w:t>Supplier shall not make any announcement, take or release any photographs (except for its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 purposes for performance under this Agreement) or release any information concerning this Agreement or any part thereof or with respect to its business relationship with Honest to any member of the public, press, any business entity or any official body, except as required by Applicable Laws, unless prior written consent is obtained from Honest (not to be unreasonably withheld).</w:t>
      </w:r>
    </w:p>
    <w:p>
      <w:pPr>
        <w:spacing w:after="0" w:line="151"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10.2 Notices. </w:t>
      </w:r>
      <w:r>
        <w:rPr>
          <w:rFonts w:ascii="Times New Roman" w:cs="Times New Roman" w:eastAsia="Times New Roman" w:hAnsi="Times New Roman"/>
          <w:sz w:val="22"/>
          <w:szCs w:val="22"/>
          <w:color w:val="auto"/>
        </w:rPr>
        <w:t>All notices, requests, claims, demands and other communications hereunder shall be in writing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given (and shall be deemed to have been duly given upon receipt) by delivery in person or via internationally recognized overnight delivery, or by registered or certified mail (postage prepaid, return receipt requested), by electronic mail (e-mail) or by facsimile with confirming letter sent by mail as provided above, to the address for each Party set forth on the first page hereof, in the case of Honest, to the attention of the General Counsel, and in the case of Supplier, to the attention of Head of Legal, Americas Division, with a copy to General Manager, North America (or, in each case, at such other address for which such Party gives notice hereunder).</w:t>
      </w:r>
    </w:p>
    <w:p>
      <w:pPr>
        <w:spacing w:after="0" w:line="149"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10.3 Governing Law; Venue; Dispute Resolution. </w:t>
      </w:r>
      <w:r>
        <w:rPr>
          <w:rFonts w:ascii="Times New Roman" w:cs="Times New Roman" w:eastAsia="Times New Roman" w:hAnsi="Times New Roman"/>
          <w:sz w:val="22"/>
          <w:szCs w:val="22"/>
          <w:color w:val="auto"/>
        </w:rPr>
        <w:t>This Agreement is made in accordance with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under the laws of the State of California, without regard to its conflicts of law principles. If a dispute arises from or relates to this Agreement, or the breach thereof, or in respect of any legal relationship associated with or derived from this Agreement, including matters of intellectual property, and if the dispute cannot be settled through good faith negotiations between the Parties within [***] days, the Parties agree to endeavor first to settle the dispute by mediation administered by JAMS. A request for mediation under this Agreement shall be transmitted by the requesting Party in writing after the expiration of the [***] day negotiation period, under the notice provisions of this</w:t>
      </w:r>
    </w:p>
    <w:p>
      <w:pPr>
        <w:sectPr>
          <w:pgSz w:w="11900" w:h="16838" w:orient="portrait"/>
          <w:cols w:equalWidth="0" w:num="1">
            <w:col w:w="11000"/>
          </w:cols>
          <w:pgMar w:left="420" w:top="1440" w:right="479" w:bottom="1440" w:gutter="0" w:footer="0" w:header="0"/>
        </w:sectPr>
      </w:pPr>
    </w:p>
    <w:bookmarkStart w:id="126" w:name="page127"/>
    <w:bookmarkEnd w:id="126"/>
    <w:p>
      <w:pPr>
        <w:spacing w:after="0" w:line="18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Agreement. Mediation under this Agreement shall be completed within [***] days after transmittal of a request for mediation, or as soon as reasonably practicable thereafter.</w:t>
      </w:r>
    </w:p>
    <w:p>
      <w:pPr>
        <w:spacing w:after="0" w:line="131"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22"/>
          <w:szCs w:val="22"/>
          <w:color w:val="auto"/>
        </w:rPr>
        <w:t>Any and all disputes arising out of or in connection with this Agreement, or the breach thereof, or in respect of any legal relationship associated with or derived from this Agreement, including matters of intellectual property, which are not resolved through mediation within the allotted time period, shall be arbitrated and finally resolved by and in accordance with the JAMS Comprehensive Arbitration Rules &amp; Procedures (“JAMS Rules”), modified as follows:</w:t>
      </w:r>
    </w:p>
    <w:p>
      <w:pPr>
        <w:spacing w:after="0" w:line="152" w:lineRule="exact"/>
        <w:rPr>
          <w:sz w:val="20"/>
          <w:szCs w:val="20"/>
          <w:color w:val="auto"/>
        </w:rPr>
      </w:pPr>
    </w:p>
    <w:p>
      <w:pPr>
        <w:ind w:left="1940" w:right="200" w:hanging="642"/>
        <w:spacing w:after="0" w:line="229" w:lineRule="auto"/>
        <w:tabs>
          <w:tab w:leader="none" w:pos="19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 of the arbitration shall be the JAMS location at 555 West Fifth Street, Los Angeles, California 90013, or the closest JAMS location then existing in Los Angeles;</w:t>
      </w:r>
    </w:p>
    <w:p>
      <w:pPr>
        <w:ind w:left="1940" w:right="900" w:hanging="642"/>
        <w:spacing w:after="0" w:line="230" w:lineRule="auto"/>
        <w:tabs>
          <w:tab w:leader="none" w:pos="193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notify JAMS in writing to commence the arbitration proceeding under JAMS Rule 5;</w:t>
      </w:r>
    </w:p>
    <w:p>
      <w:pPr>
        <w:spacing w:after="0" w:line="1" w:lineRule="exact"/>
        <w:rPr>
          <w:rFonts w:ascii="Times New Roman" w:cs="Times New Roman" w:eastAsia="Times New Roman" w:hAnsi="Times New Roman"/>
          <w:sz w:val="22"/>
          <w:szCs w:val="22"/>
          <w:color w:val="auto"/>
        </w:rPr>
      </w:pPr>
    </w:p>
    <w:p>
      <w:pPr>
        <w:ind w:left="1940" w:right="280" w:hanging="642"/>
        <w:spacing w:after="0" w:line="206" w:lineRule="auto"/>
        <w:tabs>
          <w:tab w:leader="none" w:pos="19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JAMS Rule 7 shall be modified as follows: Within [***] days following the commencement initiation of the proceeding, the Parties shall select a mutually acceptable independent, impartial and conflicts-free arbitrator with prior judicial experience as a trial court judge to preside in the resolution of all issues in this proceeding ("Arbitrator"). If the Parties are unable to agree on a mutually acceptable Arbitrator within such period, each Party will select one (1) independent, impartial and conflicts-free Arbitrator and those two (2) Arbitrators will select a third independent, impartial and conflicts-free Arbitrator within [***] thereafter. None of the Arbitrators selected may be current or former employees, officers or directors of either Party or its Affiliates;</w:t>
      </w:r>
    </w:p>
    <w:p>
      <w:pPr>
        <w:spacing w:after="0" w:line="4" w:lineRule="exact"/>
        <w:rPr>
          <w:rFonts w:ascii="Times New Roman" w:cs="Times New Roman" w:eastAsia="Times New Roman" w:hAnsi="Times New Roman"/>
          <w:sz w:val="22"/>
          <w:szCs w:val="22"/>
          <w:color w:val="auto"/>
        </w:rPr>
      </w:pPr>
    </w:p>
    <w:p>
      <w:pPr>
        <w:ind w:left="1940" w:hanging="642"/>
        <w:spacing w:after="0" w:line="224" w:lineRule="auto"/>
        <w:tabs>
          <w:tab w:leader="none" w:pos="193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JAMS Rule 17(b) shall be modified to allow each Party to take up to three (3) depositions of an opposing Party or individuals under the control of the opposing Party; and</w:t>
      </w:r>
    </w:p>
    <w:p>
      <w:pPr>
        <w:ind w:left="1940" w:right="60" w:hanging="642"/>
        <w:spacing w:after="0" w:line="210" w:lineRule="auto"/>
        <w:tabs>
          <w:tab w:leader="none" w:pos="19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share equally in the payment of all administrative fees and costs for any mediation and/or arbitration before JAMS (including the mediator's fee and the Arbitrator's fee, as applicable). The judgment on any award rendered by the Arbitrator may be entered in any court having jurisdiction thereof; provided, however, that each party will have a right to seek injunctive or other equitable relief in a federal or state court located in the State of California, County of Los Angeles. The Parties hereby irrevocably submit to the exclusive jurisdiction of such courts and waive the defense of inconvenient forum to the maintenance of any such action or proceeding in such venue.</w:t>
      </w:r>
    </w:p>
    <w:p>
      <w:pPr>
        <w:spacing w:after="0" w:line="151" w:lineRule="exact"/>
        <w:rPr>
          <w:sz w:val="20"/>
          <w:szCs w:val="20"/>
          <w:color w:val="auto"/>
        </w:rPr>
      </w:pPr>
    </w:p>
    <w:p>
      <w:pPr>
        <w:ind w:right="32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10.4 Entire Agreement. </w:t>
      </w:r>
      <w:r>
        <w:rPr>
          <w:rFonts w:ascii="Times New Roman" w:cs="Times New Roman" w:eastAsia="Times New Roman" w:hAnsi="Times New Roman"/>
          <w:sz w:val="22"/>
          <w:szCs w:val="22"/>
          <w:color w:val="auto"/>
        </w:rPr>
        <w:t>This Agreement, together with the Exhibits attached hereto, constitutes the entire,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and exclusive agreement between the Parties and supersedes all previous agreements or representations, written or oral, with respect to the subject matter of this Agreement and all other subsequent agreements or representations (including invoices) unless otherwise agreed upon in writing. This Agreement may not be modified or amended except in a writing signed by a duly authorized representative of each Party. Exhibits attached hereto may be modified, substituted and updated only by mutual written agreement of the Parties.</w:t>
      </w:r>
    </w:p>
    <w:p>
      <w:pPr>
        <w:sectPr>
          <w:pgSz w:w="11900" w:h="16838" w:orient="portrait"/>
          <w:cols w:equalWidth="0" w:num="1">
            <w:col w:w="11040"/>
          </w:cols>
          <w:pgMar w:left="420" w:top="1440" w:right="439" w:bottom="1440" w:gutter="0" w:footer="0" w:header="0"/>
        </w:sectPr>
      </w:pPr>
    </w:p>
    <w:bookmarkStart w:id="127" w:name="page128"/>
    <w:bookmarkEnd w:id="127"/>
    <w:p>
      <w:pPr>
        <w:spacing w:after="0" w:line="167" w:lineRule="exact"/>
        <w:rPr>
          <w:sz w:val="20"/>
          <w:szCs w:val="20"/>
          <w:color w:val="auto"/>
        </w:rPr>
      </w:pPr>
    </w:p>
    <w:p>
      <w:pPr>
        <w:ind w:right="12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10.5 Force Majeure. </w:t>
      </w:r>
      <w:r>
        <w:rPr>
          <w:rFonts w:ascii="Times New Roman" w:cs="Times New Roman" w:eastAsia="Times New Roman" w:hAnsi="Times New Roman"/>
          <w:sz w:val="22"/>
          <w:szCs w:val="22"/>
          <w:color w:val="auto"/>
        </w:rPr>
        <w:t>Each Party shall be excused from liability for the failure or delay in performance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under this Agreement by reason of any event beyond such Party's reasonable control, including, but not limited to, Acts of God, other natural forces or war. Such excuse from liability shall be effective only to the extent and duration of the event(s) causing the failure or delay in performance and provided that the Party seeking relief has not caused such event(s) to occur. Notice of a Party's failure or delay in performance due to force majeure must be given to the other Party within [***] after its occurrence. All delivery dates under this Agreement that have been affected by force majeure shall be tolled for the duration of such force majeure.</w:t>
      </w:r>
    </w:p>
    <w:p>
      <w:pPr>
        <w:spacing w:after="0" w:line="176" w:lineRule="exact"/>
        <w:rPr>
          <w:sz w:val="20"/>
          <w:szCs w:val="20"/>
          <w:color w:val="auto"/>
        </w:rPr>
      </w:pPr>
    </w:p>
    <w:p>
      <w:pPr>
        <w:ind w:right="60"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10.6 Assignment</w:t>
      </w:r>
      <w:r>
        <w:rPr>
          <w:rFonts w:ascii="Times New Roman" w:cs="Times New Roman" w:eastAsia="Times New Roman" w:hAnsi="Times New Roman"/>
          <w:sz w:val="21"/>
          <w:szCs w:val="21"/>
          <w:color w:val="auto"/>
        </w:rPr>
        <w:t>. Any attempted assignment or transfer of the rights or delegation of the obligations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void without the prior written consent of the non- assigning or non-delegating Party; provided, however, that Honest may assign or transfer its rights or delegate its obligations under this Agreement without such consent to an Affiliate of Honest or in the event of a Change of Control of Honest. In the case of any permitted assignment or transfer of, or delegation under, this Agreement, including by or through any Change of Control, this Agreement shall be binding upon, and inure to the benefit of, the successors, transferees, executors, heirs, representatives, administrators and assigns of the Parties hereto, and any acquirer, assignee, successor, Person being delegated to or other direct or indirect transferee by or through a Change of Control shall agree in writing to be so bound to perform under the same terms and conditions of this Agreement.</w:t>
      </w:r>
    </w:p>
    <w:p>
      <w:pPr>
        <w:spacing w:after="0" w:line="176"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10.7 Construction. </w:t>
      </w:r>
      <w:r>
        <w:rPr>
          <w:rFonts w:ascii="Times New Roman" w:cs="Times New Roman" w:eastAsia="Times New Roman" w:hAnsi="Times New Roman"/>
          <w:sz w:val="22"/>
          <w:szCs w:val="22"/>
          <w:color w:val="auto"/>
        </w:rPr>
        <w:t>Except where the context otherwise requires, wherever used, the singular will include the plural,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plural the singular, and the use of any gender will be applicable to all genders. Unless used in combination with the word "either," the word "or" is used throughout this Agreement in the inclusive sense (and/or). Unless expressly provided otherwise, references to Sections are references to Sections of this Agreement. The captions of this Agreement are for convenience of reference only and in no way define, describe, extend or limit the scope or intent of this Agreement or the intent of any provision contained in this Agreement. The term "including" as used in this Agreement will mean including, without limiting the generality of any description preceding such term. No rule of strict construction will be applied against either Party.</w:t>
      </w:r>
    </w:p>
    <w:p>
      <w:pPr>
        <w:spacing w:after="0" w:line="18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10.8 Severability. </w:t>
      </w:r>
      <w:r>
        <w:rPr>
          <w:rFonts w:ascii="Times New Roman" w:cs="Times New Roman" w:eastAsia="Times New Roman" w:hAnsi="Times New Roman"/>
          <w:sz w:val="22"/>
          <w:szCs w:val="22"/>
          <w:color w:val="auto"/>
        </w:rPr>
        <w:t>In the event that any provision or term of this Agreement as applied to either Party or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shall be adjudged by a court to be void, invalid, illegal, unconscionable (procedurally and/or substantively), or unenforceable, such determination shall in no way affect: (a) any other provision of this Agreement; (b) the application of such provision or term in any other circumstances; or (c) the validity or enforceability of this Agreement as a whole; provided, however, that if the provision or term declared void, invalid, illegal or unenforceable is material to a Party for whom such provision or term provided a benefit or protection, such Party can seek other remedies, including, without limitation, rescission or reformation, based on the term being declared void, invalid, illegal or unenforceable.</w:t>
      </w:r>
    </w:p>
    <w:p>
      <w:pPr>
        <w:spacing w:after="0" w:line="176" w:lineRule="exact"/>
        <w:rPr>
          <w:sz w:val="20"/>
          <w:szCs w:val="20"/>
          <w:color w:val="auto"/>
        </w:rPr>
      </w:pPr>
    </w:p>
    <w:p>
      <w:pPr>
        <w:ind w:right="50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10.9 Waiver. </w:t>
      </w:r>
      <w:r>
        <w:rPr>
          <w:rFonts w:ascii="Times New Roman" w:cs="Times New Roman" w:eastAsia="Times New Roman" w:hAnsi="Times New Roman"/>
          <w:sz w:val="22"/>
          <w:szCs w:val="22"/>
          <w:color w:val="auto"/>
        </w:rPr>
        <w:t>The failure of a Party to insist upon strict performance of any provision of this Agreement 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any right arising out of this Agreement shall neither impair that provision or right nor constitute a waiver of that provision or right, in whole or in part, in that instance or in any other instance.</w:t>
      </w:r>
    </w:p>
    <w:p>
      <w:pPr>
        <w:sectPr>
          <w:pgSz w:w="11900" w:h="16838" w:orient="portrait"/>
          <w:cols w:equalWidth="0" w:num="1">
            <w:col w:w="10940"/>
          </w:cols>
          <w:pgMar w:left="420" w:top="1440" w:right="539" w:bottom="1440" w:gutter="0" w:footer="0" w:header="0"/>
        </w:sectPr>
      </w:pPr>
    </w:p>
    <w:bookmarkStart w:id="128" w:name="page129"/>
    <w:bookmarkEnd w:id="128"/>
    <w:p>
      <w:pPr>
        <w:spacing w:after="0" w:line="167"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10.10 Counterparts. </w:t>
      </w:r>
      <w:r>
        <w:rPr>
          <w:rFonts w:ascii="Times New Roman" w:cs="Times New Roman" w:eastAsia="Times New Roman" w:hAnsi="Times New Roman"/>
          <w:sz w:val="22"/>
          <w:szCs w:val="22"/>
          <w:color w:val="auto"/>
        </w:rPr>
        <w:t>This Agreement may be executed by exchange of signature pages by facsimile and/or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(as defined in the Electronic Signatures in Global and National Commerce Act of 2000) in a manner agreed upon by the Parties hereto; and/or in any number of counterparts, each of which shall be an original as against any Party whose signature appears thereon and all of which together shall constitute one and the same instrument.</w:t>
      </w:r>
    </w:p>
    <w:p>
      <w:pPr>
        <w:sectPr>
          <w:pgSz w:w="11900" w:h="16838" w:orient="portrait"/>
          <w:cols w:equalWidth="0" w:num="1">
            <w:col w:w="11020"/>
          </w:cols>
          <w:pgMar w:left="320" w:top="1440" w:right="559" w:bottom="1440" w:gutter="0" w:footer="0" w:header="0"/>
        </w:sectPr>
      </w:pPr>
    </w:p>
    <w:bookmarkStart w:id="129" w:name="page130"/>
    <w:bookmarkEnd w:id="129"/>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hereby, the Parties have caused this Agreement to be executed by their duly authorized representatives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340" w:type="dxa"/>
            <w:vAlign w:val="bottom"/>
          </w:tcPr>
          <w:p>
            <w:pPr>
              <w:spacing w:after="0"/>
              <w:rPr>
                <w:sz w:val="24"/>
                <w:szCs w:val="24"/>
                <w:color w:val="auto"/>
              </w:rPr>
            </w:pPr>
          </w:p>
        </w:tc>
        <w:tc>
          <w:tcPr>
            <w:tcW w:w="50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THE HONEST COMPANY, INC.</w:t>
            </w:r>
          </w:p>
        </w:tc>
        <w:tc>
          <w:tcPr>
            <w:tcW w:w="4240" w:type="dxa"/>
            <w:vAlign w:val="bottom"/>
            <w:gridSpan w:val="3"/>
          </w:tcPr>
          <w:p>
            <w:pPr>
              <w:ind w:left="1760"/>
              <w:spacing w:after="0"/>
              <w:rPr>
                <w:sz w:val="20"/>
                <w:szCs w:val="20"/>
                <w:color w:val="auto"/>
              </w:rPr>
            </w:pPr>
            <w:r>
              <w:rPr>
                <w:rFonts w:ascii="Times New Roman" w:cs="Times New Roman" w:eastAsia="Times New Roman" w:hAnsi="Times New Roman"/>
                <w:sz w:val="20"/>
                <w:szCs w:val="20"/>
                <w:b w:val="1"/>
                <w:bCs w:val="1"/>
                <w:color w:val="auto"/>
              </w:rPr>
              <w:t>Valor Brands LLC</w:t>
            </w:r>
          </w:p>
        </w:tc>
      </w:tr>
      <w:tr>
        <w:trPr>
          <w:trHeight w:val="212"/>
        </w:trPr>
        <w:tc>
          <w:tcPr>
            <w:tcW w:w="53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By: /s/ Dave Loretta</w:t>
            </w:r>
          </w:p>
        </w:tc>
        <w:tc>
          <w:tcPr>
            <w:tcW w:w="4240" w:type="dxa"/>
            <w:vAlign w:val="bottom"/>
            <w:gridSpan w:val="3"/>
          </w:tcPr>
          <w:p>
            <w:pPr>
              <w:ind w:left="1760"/>
              <w:spacing w:after="0" w:line="212" w:lineRule="exact"/>
              <w:rPr>
                <w:sz w:val="20"/>
                <w:szCs w:val="20"/>
                <w:color w:val="auto"/>
              </w:rPr>
            </w:pPr>
            <w:r>
              <w:rPr>
                <w:rFonts w:ascii="Times New Roman" w:cs="Times New Roman" w:eastAsia="Times New Roman" w:hAnsi="Times New Roman"/>
                <w:sz w:val="20"/>
                <w:szCs w:val="20"/>
                <w:color w:val="auto"/>
              </w:rPr>
              <w:t>By: /s/ Paul Wood</w:t>
            </w: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1"/>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Dave Loretta</w:t>
            </w:r>
          </w:p>
        </w:tc>
        <w:tc>
          <w:tcPr>
            <w:tcW w:w="424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Name: Paul Wood</w:t>
            </w:r>
          </w:p>
        </w:tc>
      </w:tr>
      <w:tr>
        <w:trPr>
          <w:trHeight w:val="257"/>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EVP &amp; CFO</w:t>
            </w:r>
          </w:p>
        </w:tc>
        <w:tc>
          <w:tcPr>
            <w:tcW w:w="424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w w:val="97"/>
              </w:rPr>
              <w:t>Title: President, North America</w:t>
            </w:r>
          </w:p>
        </w:tc>
      </w:tr>
      <w:tr>
        <w:trPr>
          <w:trHeight w:val="258"/>
        </w:trPr>
        <w:tc>
          <w:tcPr>
            <w:tcW w:w="5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1/4/2024</w:t>
            </w:r>
          </w:p>
        </w:tc>
        <w:tc>
          <w:tcPr>
            <w:tcW w:w="4240" w:type="dxa"/>
            <w:vAlign w:val="bottom"/>
            <w:gridSpan w:val="3"/>
          </w:tcPr>
          <w:p>
            <w:pPr>
              <w:ind w:left="1760"/>
              <w:spacing w:after="0"/>
              <w:rPr>
                <w:sz w:val="20"/>
                <w:szCs w:val="20"/>
                <w:color w:val="auto"/>
              </w:rPr>
            </w:pPr>
            <w:r>
              <w:rPr>
                <w:rFonts w:ascii="Times New Roman" w:cs="Times New Roman" w:eastAsia="Times New Roman" w:hAnsi="Times New Roman"/>
                <w:sz w:val="20"/>
                <w:szCs w:val="20"/>
                <w:color w:val="auto"/>
              </w:rPr>
              <w:t>Date: 1/4/2024</w:t>
            </w:r>
          </w:p>
        </w:tc>
      </w:tr>
    </w:tbl>
    <w:p>
      <w:pPr>
        <w:sectPr>
          <w:pgSz w:w="11900" w:h="16838" w:orient="portrait"/>
          <w:cols w:equalWidth="0" w:num="1">
            <w:col w:w="11000"/>
          </w:cols>
          <w:pgMar w:left="420" w:top="1440" w:right="4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2"/>
          <w:szCs w:val="22"/>
          <w:color w:val="auto"/>
        </w:rPr>
        <w:t>EXHIBIT</w:t>
      </w:r>
    </w:p>
    <w:p>
      <w:pPr>
        <w:jc w:val="center"/>
        <w:ind w:right="19"/>
        <w:spacing w:after="0"/>
        <w:rPr>
          <w:sz w:val="20"/>
          <w:szCs w:val="20"/>
          <w:color w:val="auto"/>
        </w:rPr>
      </w:pPr>
      <w:r>
        <w:rPr>
          <w:rFonts w:ascii="Arial" w:cs="Arial" w:eastAsia="Arial" w:hAnsi="Arial"/>
          <w:sz w:val="21"/>
          <w:szCs w:val="21"/>
          <w:color w:val="auto"/>
        </w:rPr>
        <w:t>A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352" w:right="1440" w:bottom="1440" w:gutter="0" w:footer="0" w:header="0"/>
        </w:sectPr>
      </w:pPr>
    </w:p>
    <w:bookmarkStart w:id="131" w:name="page132"/>
    <w:bookmarkEnd w:id="131"/>
    <w:p>
      <w:pPr>
        <w:spacing w:after="0" w:line="253" w:lineRule="exact"/>
        <w:rPr>
          <w:sz w:val="20"/>
          <w:szCs w:val="20"/>
          <w:color w:val="auto"/>
        </w:rPr>
      </w:pPr>
    </w:p>
    <w:p>
      <w:pPr>
        <w:jc w:val="right"/>
        <w:ind w:right="4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EXHIBIT B (Product Specifications)</w:t>
      </w:r>
    </w:p>
    <w:p>
      <w:pPr>
        <w:sectPr>
          <w:pgSz w:w="11900" w:h="16838" w:orient="portrait"/>
          <w:cols w:equalWidth="0" w:num="1">
            <w:col w:w="10099"/>
          </w:cols>
          <w:pgMar w:left="360" w:top="1440" w:right="1440" w:bottom="1440" w:gutter="0" w:footer="0" w:header="0"/>
        </w:sectPr>
      </w:pPr>
    </w:p>
    <w:bookmarkStart w:id="132" w:name="page133"/>
    <w:bookmarkEnd w:id="132"/>
    <w:p>
      <w:pPr>
        <w:jc w:val="right"/>
        <w:ind w:right="4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EXHIBIT C (Manufacturing Facilities)</w:t>
      </w:r>
    </w:p>
    <w:p>
      <w:pPr>
        <w:sectPr>
          <w:pgSz w:w="11900" w:h="16838" w:orient="portrait"/>
          <w:cols w:equalWidth="0" w:num="1">
            <w:col w:w="10099"/>
          </w:cols>
          <w:pgMar w:left="360" w:top="882" w:right="1440" w:bottom="1440" w:gutter="0" w:footer="0" w:header="0"/>
        </w:sectPr>
      </w:pPr>
    </w:p>
    <w:bookmarkStart w:id="133" w:name="page134"/>
    <w:bookmarkEnd w:id="133"/>
    <w:p>
      <w:pPr>
        <w:jc w:val="right"/>
        <w:ind w:right="4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EXHIBIT D (Form of Purchase Order)</w:t>
      </w:r>
    </w:p>
    <w:p>
      <w:pPr>
        <w:sectPr>
          <w:pgSz w:w="11900" w:h="16838" w:orient="portrait"/>
          <w:cols w:equalWidth="0" w:num="1">
            <w:col w:w="10099"/>
          </w:cols>
          <w:pgMar w:left="360" w:top="882" w:right="1440" w:bottom="1440" w:gutter="0" w:footer="0" w:header="0"/>
        </w:sectPr>
      </w:pPr>
    </w:p>
    <w:bookmarkStart w:id="134" w:name="page135"/>
    <w:bookmarkEnd w:id="134"/>
    <w:p>
      <w:pPr>
        <w:jc w:val="right"/>
        <w:ind w:right="4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EXHIBIT E (Honest Unique Materials)</w:t>
      </w:r>
    </w:p>
    <w:p>
      <w:pPr>
        <w:sectPr>
          <w:pgSz w:w="11900" w:h="16838" w:orient="portrait"/>
          <w:cols w:equalWidth="0" w:num="1">
            <w:col w:w="10099"/>
          </w:cols>
          <w:pgMar w:left="360" w:top="882" w:right="1440" w:bottom="1440" w:gutter="0" w:footer="0" w:header="0"/>
        </w:sectPr>
      </w:pPr>
    </w:p>
    <w:bookmarkStart w:id="135" w:name="page136"/>
    <w:bookmarkEnd w:id="135"/>
    <w:p>
      <w:pPr>
        <w:jc w:val="right"/>
        <w:ind w:right="4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EXHIBIT F ([***])</w:t>
      </w:r>
    </w:p>
    <w:p>
      <w:pPr>
        <w:sectPr>
          <w:pgSz w:w="11900" w:h="16838" w:orient="portrait"/>
          <w:cols w:equalWidth="0" w:num="1">
            <w:col w:w="10119"/>
          </w:cols>
          <w:pgMar w:left="340" w:top="882" w:right="1440" w:bottom="1440" w:gutter="0" w:footer="0" w:header="0"/>
        </w:sectPr>
      </w:pPr>
    </w:p>
    <w:bookmarkStart w:id="136" w:name="page137"/>
    <w:bookmarkEnd w:id="136"/>
    <w:p>
      <w:pPr>
        <w:jc w:val="right"/>
        <w:ind w:right="4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EXHIBIT G ([***])</w:t>
      </w:r>
    </w:p>
    <w:p>
      <w:pPr>
        <w:sectPr>
          <w:pgSz w:w="11900" w:h="16838" w:orient="portrait"/>
          <w:cols w:equalWidth="0" w:num="1">
            <w:col w:w="10119"/>
          </w:cols>
          <w:pgMar w:left="340" w:top="882" w:right="1440" w:bottom="1440" w:gutter="0" w:footer="0" w:header="0"/>
        </w:sectPr>
      </w:pPr>
    </w:p>
    <w:bookmarkStart w:id="137" w:name="page138"/>
    <w:bookmarkEnd w:id="137"/>
    <w:p>
      <w:pPr>
        <w:ind w:left="10020"/>
        <w:spacing w:after="0"/>
        <w:rPr>
          <w:sz w:val="20"/>
          <w:szCs w:val="20"/>
          <w:color w:val="auto"/>
        </w:rPr>
      </w:pPr>
      <w:r>
        <w:rPr>
          <w:rFonts w:ascii="Times New Roman" w:cs="Times New Roman" w:eastAsia="Times New Roman" w:hAnsi="Times New Roman"/>
          <w:sz w:val="21"/>
          <w:szCs w:val="21"/>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Dorria L. Ball</w:t>
      </w:r>
    </w:p>
    <w:p>
      <w:pPr>
        <w:spacing w:after="0"/>
        <w:rPr>
          <w:sz w:val="20"/>
          <w:szCs w:val="20"/>
          <w:color w:val="auto"/>
        </w:rPr>
      </w:pPr>
      <w:r>
        <w:rPr>
          <w:rFonts w:ascii="Times New Roman" w:cs="Times New Roman" w:eastAsia="Times New Roman" w:hAnsi="Times New Roman"/>
          <w:sz w:val="22"/>
          <w:szCs w:val="22"/>
          <w:color w:val="auto"/>
        </w:rPr>
        <w:t>Port Chester, NY</w:t>
      </w:r>
    </w:p>
    <w:p>
      <w:pPr>
        <w:spacing w:after="0" w:line="17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Employment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Dorria:</w:t>
      </w:r>
    </w:p>
    <w:p>
      <w:pPr>
        <w:spacing w:after="0" w:line="17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Honest Company,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pleased to offer you at-will employment in the position of SVP, Chief People Officer on the terms and conditions set forth in this letter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left="660" w:hanging="4"/>
        <w:spacing w:after="0" w:line="212" w:lineRule="auto"/>
        <w:tabs>
          <w:tab w:leader="none" w:pos="130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by the Company. </w:t>
      </w:r>
      <w:r>
        <w:rPr>
          <w:rFonts w:ascii="Times New Roman" w:cs="Times New Roman" w:eastAsia="Times New Roman" w:hAnsi="Times New Roman"/>
          <w:sz w:val="22"/>
          <w:szCs w:val="22"/>
          <w:color w:val="auto"/>
        </w:rPr>
        <w:t>This Agreement and your employment under the terms hereunder shall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on January 2,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Chief Executive Officer (“CEO”), to whom you will report. Your primary work location, at which the Company expects you to work on a regular basis, shall be the Company’s office located in Los Angeles, California. The Company reserves the right to reasonably require you to perform your duties at places other than your primary office location from time to time, and to require reasonable business travel.</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179" w:lineRule="exact"/>
        <w:rPr>
          <w:sz w:val="20"/>
          <w:szCs w:val="20"/>
          <w:color w:val="auto"/>
        </w:rPr>
      </w:pPr>
    </w:p>
    <w:p>
      <w:pPr>
        <w:jc w:val="both"/>
        <w:ind w:left="66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 Base Salary. </w:t>
      </w:r>
      <w:r>
        <w:rPr>
          <w:rFonts w:ascii="Times New Roman" w:cs="Times New Roman" w:eastAsia="Times New Roman" w:hAnsi="Times New Roman"/>
          <w:sz w:val="22"/>
          <w:szCs w:val="22"/>
          <w:color w:val="auto"/>
        </w:rPr>
        <w:t>For services to be rendered hereunder, you shall receive a base salary at the rate of $</w:t>
      </w:r>
      <w:r>
        <w:rPr>
          <w:rFonts w:ascii="Times New Roman" w:cs="Times New Roman" w:eastAsia="Times New Roman" w:hAnsi="Times New Roman"/>
          <w:sz w:val="22"/>
          <w:szCs w:val="22"/>
          <w:b w:val="1"/>
          <w:bCs w:val="1"/>
          <w:color w:val="auto"/>
        </w:rPr>
        <w:t xml:space="preserve"> 350,000 </w:t>
      </w:r>
      <w:r>
        <w:rPr>
          <w:rFonts w:ascii="Times New Roman" w:cs="Times New Roman" w:eastAsia="Times New Roman" w:hAnsi="Times New Roman"/>
          <w:sz w:val="22"/>
          <w:szCs w:val="22"/>
          <w:color w:val="auto"/>
        </w:rPr>
        <w:t>per year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subject to standard payroll deductions and withholdings and payable in accordance with the Company’s regular payroll schedule.</w:t>
      </w:r>
    </w:p>
    <w:p>
      <w:pPr>
        <w:spacing w:after="0" w:line="146" w:lineRule="exact"/>
        <w:rPr>
          <w:sz w:val="20"/>
          <w:szCs w:val="20"/>
          <w:color w:val="auto"/>
        </w:rPr>
      </w:pPr>
    </w:p>
    <w:p>
      <w:pPr>
        <w:jc w:val="both"/>
        <w:ind w:left="660" w:firstLine="648"/>
        <w:spacing w:after="0" w:line="206" w:lineRule="auto"/>
        <w:rPr>
          <w:sz w:val="20"/>
          <w:szCs w:val="20"/>
          <w:color w:val="auto"/>
        </w:rPr>
      </w:pPr>
      <w:r>
        <w:rPr>
          <w:rFonts w:ascii="Times New Roman" w:cs="Times New Roman" w:eastAsia="Times New Roman" w:hAnsi="Times New Roman"/>
          <w:sz w:val="22"/>
          <w:szCs w:val="22"/>
          <w:b w:val="1"/>
          <w:bCs w:val="1"/>
          <w:color w:val="auto"/>
        </w:rPr>
        <w:t xml:space="preserve">11.2. Annual Bonus. </w:t>
      </w:r>
      <w:r>
        <w:rPr>
          <w:rFonts w:ascii="Times New Roman" w:cs="Times New Roman" w:eastAsia="Times New Roman" w:hAnsi="Times New Roman"/>
          <w:sz w:val="22"/>
          <w:szCs w:val="22"/>
          <w:color w:val="auto"/>
        </w:rPr>
        <w:t>You will be eligible for an annual discretionary bonus with a target amount of</w:t>
      </w:r>
      <w:r>
        <w:rPr>
          <w:rFonts w:ascii="Times New Roman" w:cs="Times New Roman" w:eastAsia="Times New Roman" w:hAnsi="Times New Roman"/>
          <w:sz w:val="22"/>
          <w:szCs w:val="22"/>
          <w:b w:val="1"/>
          <w:bCs w:val="1"/>
          <w:color w:val="auto"/>
        </w:rPr>
        <w:t xml:space="preserve"> 55</w:t>
      </w:r>
      <w:r>
        <w:rPr>
          <w:rFonts w:ascii="Times New Roman" w:cs="Times New Roman" w:eastAsia="Times New Roman" w:hAnsi="Times New Roman"/>
          <w:sz w:val="22"/>
          <w:szCs w:val="22"/>
          <w:color w:val="auto"/>
        </w:rPr>
        <w:t>% 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then current annual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Whether you receive an Annual Bonus for any given year, and the amount of any such Annual Bonus, will be determined by the Board of Directors of the Company and/or its Compensation Committee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you will not have earned, and will not be paid, any pro-rated bonus. The Annual Bonus, if earned, shall be paid to you in a lump sum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that follows the performance year, subject to applicable payroll deductions and withholdings.</w:t>
      </w:r>
    </w:p>
    <w:p>
      <w:pPr>
        <w:spacing w:after="0" w:line="147" w:lineRule="exact"/>
        <w:rPr>
          <w:sz w:val="20"/>
          <w:szCs w:val="20"/>
          <w:color w:val="auto"/>
        </w:rPr>
      </w:pPr>
    </w:p>
    <w:p>
      <w:pPr>
        <w:jc w:val="both"/>
        <w:ind w:left="66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11.3. Equity</w:t>
      </w:r>
      <w:r>
        <w:rPr>
          <w:rFonts w:ascii="Times New Roman" w:cs="Times New Roman" w:eastAsia="Times New Roman" w:hAnsi="Times New Roman"/>
          <w:sz w:val="22"/>
          <w:szCs w:val="22"/>
          <w:color w:val="auto"/>
        </w:rPr>
        <w:t>. Subject to the approval of the Board and you remaining employed by the Company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the Company will grant you restricted stock units (“RSUs”) having a grant date value approximately equal to $650,000 as soon as administratively practicable following the Effective Date, with the number of RSUs to be calculated by dividing the grant value by the 30-day</w:t>
      </w:r>
    </w:p>
    <w:p>
      <w:pPr>
        <w:sectPr>
          <w:pgSz w:w="11900" w:h="16838" w:orient="portrait"/>
          <w:cols w:equalWidth="0" w:num="1">
            <w:col w:w="11240"/>
          </w:cols>
          <w:pgMar w:left="320" w:top="94" w:right="339" w:bottom="1440" w:gutter="0" w:footer="0" w:header="0"/>
        </w:sectPr>
      </w:pPr>
    </w:p>
    <w:bookmarkStart w:id="138" w:name="page139"/>
    <w:bookmarkEnd w:id="138"/>
    <w:p>
      <w:pPr>
        <w:spacing w:after="0" w:line="198" w:lineRule="exact"/>
        <w:rPr>
          <w:sz w:val="20"/>
          <w:szCs w:val="20"/>
          <w:color w:val="auto"/>
        </w:rPr>
      </w:pPr>
    </w:p>
    <w:p>
      <w:pPr>
        <w:jc w:val="both"/>
        <w:ind w:left="4"/>
        <w:spacing w:after="0" w:line="211" w:lineRule="auto"/>
        <w:rPr>
          <w:sz w:val="20"/>
          <w:szCs w:val="20"/>
          <w:color w:val="auto"/>
        </w:rPr>
      </w:pPr>
      <w:r>
        <w:rPr>
          <w:rFonts w:ascii="Times New Roman" w:cs="Times New Roman" w:eastAsia="Times New Roman" w:hAnsi="Times New Roman"/>
          <w:sz w:val="22"/>
          <w:szCs w:val="22"/>
          <w:color w:val="auto"/>
        </w:rPr>
        <w:t>trailing average closing price of a share of the Company’s common stock on the date of grant. The RSUs will be granted under and governed by the Company’s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Company’s standard restricted stock unit award agreement and grant notice approved by the Board for use under the Plan, and subject to compliance with Section 409A of the Internal Revenue Code and any other applicable law. Twenty-five percent (25%) of the RSUs will vest on the Company quarterly vesting date next following the one-year anniversary of the Effective Date, and one-twelfth (1/12th) of the remaining RSUs will vest on each of the next twelve (12) Company quarterly vesting dates thereafter, subject to your Continuous Service (as defined in the Plan) on each vesting date. For clarity, the Board will determine the Company quarterly vesting dates at the time of grant in its sole and absolute discretion. You will be eligible for future equity awards consistent with other executive officers, as determined by the Board in its sole discretion. RSU awards are generally subject to income and employment tax withholding upon settlement.</w:t>
      </w:r>
    </w:p>
    <w:p>
      <w:pPr>
        <w:spacing w:after="0" w:line="148" w:lineRule="exact"/>
        <w:rPr>
          <w:sz w:val="20"/>
          <w:szCs w:val="20"/>
          <w:color w:val="auto"/>
        </w:rPr>
      </w:pPr>
    </w:p>
    <w:p>
      <w:pPr>
        <w:jc w:val="both"/>
        <w:ind w:left="4"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 Relocation. </w:t>
      </w:r>
      <w:r>
        <w:rPr>
          <w:rFonts w:ascii="Times New Roman" w:cs="Times New Roman" w:eastAsia="Times New Roman" w:hAnsi="Times New Roman"/>
          <w:sz w:val="22"/>
          <w:szCs w:val="22"/>
          <w:color w:val="auto"/>
        </w:rPr>
        <w:t>For the purposes of relocation to the Southern California area or travel to Southern California,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be entitled to a lump sum of $50,000, grossed up for applicable tax withholdings, to be paid on the first payroll cycle following the Effective Date.</w:t>
      </w:r>
    </w:p>
    <w:p>
      <w:pPr>
        <w:spacing w:after="0" w:line="146" w:lineRule="exact"/>
        <w:rPr>
          <w:sz w:val="20"/>
          <w:szCs w:val="20"/>
          <w:color w:val="auto"/>
        </w:rPr>
      </w:pPr>
    </w:p>
    <w:p>
      <w:pPr>
        <w:jc w:val="both"/>
        <w:ind w:left="4" w:hanging="4"/>
        <w:spacing w:after="0" w:line="221" w:lineRule="auto"/>
        <w:tabs>
          <w:tab w:leader="none" w:pos="70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You will be eligible for reimbursement of all reasonable, necessary and documented out-of-pocket business, entertainment, and travel expenses, excluding travel expenses to and from your current residence and Southern California, incurred by you in connection with the performance of your duties hereunder in accordance with the Company's expense reimbursement policies and procedures.</w:t>
      </w:r>
    </w:p>
    <w:p>
      <w:pPr>
        <w:spacing w:after="0" w:line="148" w:lineRule="exact"/>
        <w:rPr>
          <w:rFonts w:ascii="Times New Roman" w:cs="Times New Roman" w:eastAsia="Times New Roman" w:hAnsi="Times New Roman"/>
          <w:sz w:val="22"/>
          <w:szCs w:val="22"/>
          <w:b w:val="1"/>
          <w:bCs w:val="1"/>
          <w:color w:val="auto"/>
        </w:rPr>
      </w:pPr>
    </w:p>
    <w:p>
      <w:pPr>
        <w:jc w:val="both"/>
        <w:ind w:left="4" w:hanging="4"/>
        <w:spacing w:after="0" w:line="216" w:lineRule="auto"/>
        <w:tabs>
          <w:tab w:leader="none" w:pos="652"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Policies; Standard Company Benefits</w:t>
      </w:r>
      <w:r>
        <w:rPr>
          <w:rFonts w:ascii="Times New Roman" w:cs="Times New Roman" w:eastAsia="Times New Roman" w:hAnsi="Times New Roman"/>
          <w:sz w:val="22"/>
          <w:szCs w:val="22"/>
          <w:color w:val="auto"/>
        </w:rPr>
        <w:t>. The employment relationship between the parties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w:t>
      </w:r>
    </w:p>
    <w:p>
      <w:pPr>
        <w:spacing w:after="0" w:line="145" w:lineRule="exact"/>
        <w:rPr>
          <w:rFonts w:ascii="Times New Roman" w:cs="Times New Roman" w:eastAsia="Times New Roman" w:hAnsi="Times New Roman"/>
          <w:sz w:val="22"/>
          <w:szCs w:val="22"/>
          <w:b w:val="1"/>
          <w:bCs w:val="1"/>
          <w:color w:val="auto"/>
        </w:rPr>
      </w:pPr>
    </w:p>
    <w:p>
      <w:pPr>
        <w:jc w:val="both"/>
        <w:ind w:left="4" w:hanging="4"/>
        <w:spacing w:after="0" w:line="216" w:lineRule="auto"/>
        <w:tabs>
          <w:tab w:leader="none" w:pos="652"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w:t>
      </w:r>
      <w:r>
        <w:rPr>
          <w:rFonts w:ascii="Times New Roman" w:cs="Times New Roman" w:eastAsia="Times New Roman" w:hAnsi="Times New Roman"/>
          <w:sz w:val="22"/>
          <w:szCs w:val="22"/>
          <w:color w:val="auto"/>
        </w:rPr>
        <w:t>Your employment relationship is at-will. Either you or the Company may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p>
    <w:p>
      <w:pPr>
        <w:spacing w:after="0" w:line="145" w:lineRule="exact"/>
        <w:rPr>
          <w:rFonts w:ascii="Times New Roman" w:cs="Times New Roman" w:eastAsia="Times New Roman" w:hAnsi="Times New Roman"/>
          <w:sz w:val="22"/>
          <w:szCs w:val="22"/>
          <w:b w:val="1"/>
          <w:bCs w:val="1"/>
          <w:color w:val="auto"/>
        </w:rPr>
      </w:pPr>
    </w:p>
    <w:p>
      <w:pPr>
        <w:jc w:val="both"/>
        <w:ind w:left="4" w:hanging="4"/>
        <w:spacing w:after="0" w:line="218" w:lineRule="auto"/>
        <w:tabs>
          <w:tab w:leader="none" w:pos="652"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Outside Activities During Employment. </w:t>
      </w:r>
      <w:r>
        <w:rPr>
          <w:rFonts w:ascii="Times New Roman" w:cs="Times New Roman" w:eastAsia="Times New Roman" w:hAnsi="Times New Roman"/>
          <w:sz w:val="22"/>
          <w:szCs w:val="22"/>
          <w:color w:val="auto"/>
        </w:rPr>
        <w:t>Except with the prior written consent of the Board (which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unreasonably withheld), you will not during the term of your employment with the Company undertake or engage in any other employment, occupation or business enterprise, other than ones in which you are a passive investor and the wind down of your executive coaching business. You may engage in civic and not-for-profit activities so long as such activities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1440" w:right="339" w:bottom="1440" w:gutter="0" w:footer="0" w:header="0"/>
        </w:sectPr>
      </w:pPr>
    </w:p>
    <w:bookmarkStart w:id="139" w:name="page140"/>
    <w:bookmarkEnd w:id="139"/>
    <w:p>
      <w:pPr>
        <w:spacing w:after="0" w:line="198" w:lineRule="exact"/>
        <w:rPr>
          <w:sz w:val="20"/>
          <w:szCs w:val="20"/>
          <w:color w:val="auto"/>
        </w:rPr>
      </w:pPr>
    </w:p>
    <w:p>
      <w:pPr>
        <w:jc w:val="both"/>
        <w:ind w:left="4"/>
        <w:spacing w:after="0" w:line="225" w:lineRule="auto"/>
        <w:rPr>
          <w:sz w:val="20"/>
          <w:szCs w:val="20"/>
          <w:color w:val="auto"/>
        </w:rPr>
      </w:pPr>
      <w:r>
        <w:rPr>
          <w:rFonts w:ascii="Times New Roman" w:cs="Times New Roman" w:eastAsia="Times New Roman" w:hAnsi="Times New Roman"/>
          <w:sz w:val="22"/>
          <w:szCs w:val="22"/>
          <w:color w:val="auto"/>
        </w:rPr>
        <w:t>not materially interfere with the performance of your duties hereunder. You agree not to acquire, assume or participate in, directly or indirectly, any position, investment or interest known to be adverse or antagonistic to the Company, its business or prospects, financial or otherwise.</w:t>
      </w:r>
    </w:p>
    <w:p>
      <w:pPr>
        <w:spacing w:after="0" w:line="148" w:lineRule="exact"/>
        <w:rPr>
          <w:sz w:val="20"/>
          <w:szCs w:val="20"/>
          <w:color w:val="auto"/>
        </w:rPr>
      </w:pPr>
    </w:p>
    <w:p>
      <w:pPr>
        <w:ind w:left="644" w:hanging="644"/>
        <w:spacing w:after="0"/>
        <w:tabs>
          <w:tab w:leader="none" w:pos="644"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Severance.</w:t>
      </w:r>
    </w:p>
    <w:p>
      <w:pPr>
        <w:spacing w:after="0" w:line="179" w:lineRule="exact"/>
        <w:rPr>
          <w:sz w:val="20"/>
          <w:szCs w:val="20"/>
          <w:color w:val="auto"/>
        </w:rPr>
      </w:pPr>
    </w:p>
    <w:p>
      <w:pPr>
        <w:jc w:val="both"/>
        <w:ind w:left="4"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11.1. Involuntary Termination. </w:t>
      </w:r>
      <w:r>
        <w:rPr>
          <w:rFonts w:ascii="Times New Roman" w:cs="Times New Roman" w:eastAsia="Times New Roman" w:hAnsi="Times New Roman"/>
          <w:sz w:val="22"/>
          <w:szCs w:val="22"/>
          <w:color w:val="auto"/>
        </w:rPr>
        <w:t>If you are subject to an Involuntary Termination and provided that you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compliance with the terms of this Agreement (including the conditions described in Section 7.3 below), the Company shall provide you with the following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left="4" w:firstLine="1292"/>
        <w:spacing w:after="0" w:line="206" w:lineRule="auto"/>
        <w:tabs>
          <w:tab w:leader="none" w:pos="1943"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Cash Severance. </w:t>
      </w:r>
      <w:r>
        <w:rPr>
          <w:rFonts w:ascii="Times New Roman" w:cs="Times New Roman" w:eastAsia="Times New Roman" w:hAnsi="Times New Roman"/>
          <w:sz w:val="22"/>
          <w:szCs w:val="22"/>
          <w:color w:val="auto"/>
        </w:rPr>
        <w:t>The Company shall pay you, as severance, the equivalent of 6 months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of your Base Salary in effect as of the date of your employment termination, subject to standard payroll deductions and withholdings and an amount equal to 6 months of health insurance under COBRA on an after-tax basis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The Severance will be paid as a continuation on the Company’s regular payroll, beginning no later than the first regularly-scheduled payroll date following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your Separation from Service, provided the Separation Agreement (as discussed in Section 7.3) has become effective.</w:t>
      </w:r>
    </w:p>
    <w:p>
      <w:pPr>
        <w:spacing w:after="0" w:line="149" w:lineRule="exact"/>
        <w:rPr>
          <w:rFonts w:ascii="Times New Roman" w:cs="Times New Roman" w:eastAsia="Times New Roman" w:hAnsi="Times New Roman"/>
          <w:sz w:val="22"/>
          <w:szCs w:val="22"/>
          <w:b w:val="1"/>
          <w:bCs w:val="1"/>
          <w:color w:val="auto"/>
        </w:rPr>
      </w:pPr>
    </w:p>
    <w:p>
      <w:pPr>
        <w:jc w:val="both"/>
        <w:ind w:left="4" w:firstLine="1292"/>
        <w:spacing w:after="0" w:line="207" w:lineRule="auto"/>
        <w:tabs>
          <w:tab w:leader="none" w:pos="1942"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Continued Group Health Plan Benefits. </w:t>
      </w:r>
      <w:r>
        <w:rPr>
          <w:rFonts w:ascii="Times New Roman" w:cs="Times New Roman" w:eastAsia="Times New Roman" w:hAnsi="Times New Roman"/>
          <w:sz w:val="22"/>
          <w:szCs w:val="22"/>
          <w:color w:val="auto"/>
        </w:rPr>
        <w:t>If you are eligible for and timely elect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group health plan coverage under the Consolidated Omnibus Budget Reconciliation Act of 1985 or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 Period</w:t>
      </w:r>
      <w:r>
        <w:rPr>
          <w:rFonts w:ascii="Times New Roman" w:cs="Times New Roman" w:eastAsia="Times New Roman" w:hAnsi="Times New Roman"/>
          <w:sz w:val="22"/>
          <w:szCs w:val="22"/>
          <w:color w:val="auto"/>
        </w:rPr>
        <w:t>”), (B) the expiration of your eligibility for continuation coverage under COBRA, or (C) the date when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 w:cs="Times New Roman" w:eastAsia="Times New Roman" w:hAnsi="Times New Roman"/>
          <w:sz w:val="22"/>
          <w:szCs w:val="22"/>
          <w:b w:val="1"/>
          <w:bCs w:val="1"/>
          <w:i w:val="1"/>
          <w:iCs w:val="1"/>
          <w:color w:val="auto"/>
        </w:rPr>
        <w:t>Special Severance Payment</w:t>
      </w:r>
      <w:r>
        <w:rPr>
          <w:rFonts w:ascii="Times New Roman" w:cs="Times New Roman" w:eastAsia="Times New Roman" w:hAnsi="Times New Roman"/>
          <w:sz w:val="22"/>
          <w:szCs w:val="22"/>
          <w:color w:val="auto"/>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976" w:top="1440" w:right="339" w:bottom="1440" w:gutter="0" w:footer="0" w:header="0"/>
        </w:sectPr>
      </w:pPr>
    </w:p>
    <w:bookmarkStart w:id="140" w:name="page141"/>
    <w:bookmarkEnd w:id="140"/>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notify the Company of such event, and all payments and obligations under this subsection shall cease.</w:t>
      </w:r>
    </w:p>
    <w:p>
      <w:pPr>
        <w:spacing w:after="0" w:line="175" w:lineRule="exact"/>
        <w:rPr>
          <w:sz w:val="20"/>
          <w:szCs w:val="20"/>
          <w:color w:val="auto"/>
        </w:rPr>
      </w:pPr>
    </w:p>
    <w:p>
      <w:pPr>
        <w:jc w:val="both"/>
        <w:ind w:left="4"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 Termination for Cause; Resignation Without Good Reason; Death or Disability. </w:t>
      </w:r>
      <w:r>
        <w:rPr>
          <w:rFonts w:ascii="Times New Roman" w:cs="Times New Roman" w:eastAsia="Times New Roman" w:hAnsi="Times New Roman"/>
          <w:sz w:val="22"/>
          <w:szCs w:val="22"/>
          <w:color w:val="auto"/>
        </w:rPr>
        <w:t>If you resign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spacing w:after="0" w:line="148" w:lineRule="exact"/>
        <w:rPr>
          <w:sz w:val="20"/>
          <w:szCs w:val="20"/>
          <w:color w:val="auto"/>
        </w:rPr>
      </w:pPr>
    </w:p>
    <w:p>
      <w:pPr>
        <w:jc w:val="both"/>
        <w:ind w:left="4"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11.3. Conditions to Receipt of Severance Benefits. </w:t>
      </w:r>
      <w:r>
        <w:rPr>
          <w:rFonts w:ascii="Times New Roman" w:cs="Times New Roman" w:eastAsia="Times New Roman" w:hAnsi="Times New Roman"/>
          <w:sz w:val="22"/>
          <w:szCs w:val="22"/>
          <w:color w:val="auto"/>
        </w:rPr>
        <w:t>The receipt of the Severance Benefits will be subject to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signing and not revoking a separation agreement and release of claims in a form reasonably satisfactory to the Company (the “</w:t>
      </w:r>
      <w:r>
        <w:rPr>
          <w:rFonts w:ascii="Times New Roman" w:cs="Times New Roman" w:eastAsia="Times New Roman" w:hAnsi="Times New Roman"/>
          <w:sz w:val="22"/>
          <w:szCs w:val="22"/>
          <w:b w:val="1"/>
          <w:bCs w:val="1"/>
          <w:color w:val="auto"/>
        </w:rPr>
        <w:t>Separation Agreement</w:t>
      </w:r>
      <w:r>
        <w:rPr>
          <w:rFonts w:ascii="Times New Roman" w:cs="Times New Roman" w:eastAsia="Times New Roman" w:hAnsi="Times New Roman"/>
          <w:sz w:val="22"/>
          <w:szCs w:val="22"/>
          <w:color w:val="auto"/>
        </w:rPr>
        <w:t>”) by no later than the sixtieth (60th) day after your employment termination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Deadline</w:t>
      </w:r>
      <w:r>
        <w:rPr>
          <w:rFonts w:ascii="Times New Roman" w:cs="Times New Roman" w:eastAsia="Times New Roman" w:hAnsi="Times New Roman"/>
          <w:sz w:val="22"/>
          <w:szCs w:val="22"/>
          <w:color w:val="auto"/>
        </w:rPr>
        <w:t>”). No Severance Benefits will be paid or provided until the Separation Agreement becomes effective. You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resign from all positions and terminate any relationships as an employee, advisor, officer or director with the Company and any of its affiliates, each effective on the date of termination.</w:t>
      </w:r>
    </w:p>
    <w:p>
      <w:pPr>
        <w:spacing w:after="0" w:line="146" w:lineRule="exact"/>
        <w:rPr>
          <w:sz w:val="20"/>
          <w:szCs w:val="20"/>
          <w:color w:val="auto"/>
        </w:rPr>
      </w:pPr>
    </w:p>
    <w:p>
      <w:pPr>
        <w:ind w:left="644" w:hanging="644"/>
        <w:spacing w:after="0"/>
        <w:tabs>
          <w:tab w:leader="none" w:pos="64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79" w:lineRule="exact"/>
        <w:rPr>
          <w:sz w:val="20"/>
          <w:szCs w:val="20"/>
          <w:color w:val="auto"/>
        </w:rPr>
      </w:pPr>
    </w:p>
    <w:p>
      <w:pPr>
        <w:jc w:val="both"/>
        <w:ind w:left="4"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11.1. Cause. </w:t>
      </w: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any one of the following: (a) willful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breach by you of any material Company policy (including, but not limited to, the Company’s policies on nondiscrimination, anti-harassment, and confidential information) or your duties or obligations hereunder; (b) your willful engagement in conduct materially injurious to the Company, monetarily or otherwise; (c) acts of fraud, theft or other willful illegal acts calling into question your personal integrity, or conviction on a felony charge, whether or not related to your employment hereunder; or (d) your willful refusal to follow lawful instructions of the Board.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w:t>
      </w:r>
    </w:p>
    <w:p>
      <w:pPr>
        <w:spacing w:after="0" w:line="146" w:lineRule="exact"/>
        <w:rPr>
          <w:sz w:val="20"/>
          <w:szCs w:val="20"/>
          <w:color w:val="auto"/>
        </w:rPr>
      </w:pPr>
    </w:p>
    <w:p>
      <w:pPr>
        <w:jc w:val="both"/>
        <w:ind w:left="4"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 Code.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“Code” </w:t>
      </w:r>
      <w:r>
        <w:rPr>
          <w:rFonts w:ascii="Times New Roman" w:cs="Times New Roman" w:eastAsia="Times New Roman" w:hAnsi="Times New Roman"/>
          <w:sz w:val="22"/>
          <w:szCs w:val="22"/>
          <w:color w:val="auto"/>
        </w:rPr>
        <w:t>means the U.S. Internal Revenue Code of 1986 (as it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and may be amended from time to time) and any regulations and guidance that has been promulgated or may be promulgated from time to time thereunder and any state law of similar effect.</w:t>
      </w:r>
    </w:p>
    <w:p>
      <w:pPr>
        <w:spacing w:after="0" w:line="146" w:lineRule="exact"/>
        <w:rPr>
          <w:sz w:val="20"/>
          <w:szCs w:val="20"/>
          <w:color w:val="auto"/>
        </w:rPr>
      </w:pPr>
    </w:p>
    <w:p>
      <w:pPr>
        <w:jc w:val="both"/>
        <w:ind w:left="4"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11.3. Good Reason. </w:t>
      </w:r>
      <w:r>
        <w:rPr>
          <w:rFonts w:ascii="Times New Roman" w:cs="Times New Roman" w:eastAsia="Times New Roman" w:hAnsi="Times New Roman"/>
          <w:sz w:val="22"/>
          <w:szCs w:val="22"/>
          <w:color w:val="auto"/>
        </w:rPr>
        <w:t>For purposes of this Agreement, “Good Reason” means any one of the following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consent: (a) an assignment of duties or responsibilities (including reporting responsibilities) materially inconsistent with, or which materially reduce, your duties, authority, responsibilities and status with the Company; (b) an adverse change in your title; (c) any material reduction in 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976" w:top="1440" w:right="339" w:bottom="1440" w:gutter="0" w:footer="0" w:header="0"/>
        </w:sectPr>
      </w:pPr>
    </w:p>
    <w:bookmarkStart w:id="141" w:name="page142"/>
    <w:bookmarkEnd w:id="141"/>
    <w:p>
      <w:pPr>
        <w:spacing w:after="0" w:line="198" w:lineRule="exact"/>
        <w:rPr>
          <w:sz w:val="20"/>
          <w:szCs w:val="20"/>
          <w:color w:val="auto"/>
        </w:rPr>
      </w:pPr>
    </w:p>
    <w:p>
      <w:pPr>
        <w:ind w:left="4"/>
        <w:spacing w:after="0" w:line="226" w:lineRule="auto"/>
        <w:rPr>
          <w:sz w:val="20"/>
          <w:szCs w:val="20"/>
          <w:color w:val="auto"/>
        </w:rPr>
      </w:pPr>
      <w:r>
        <w:rPr>
          <w:rFonts w:ascii="Times New Roman" w:cs="Times New Roman" w:eastAsia="Times New Roman" w:hAnsi="Times New Roman"/>
          <w:sz w:val="21"/>
          <w:szCs w:val="21"/>
          <w:color w:val="auto"/>
        </w:rPr>
        <w:t>for Good Reason, you must provide written notice to the Company’s Board within thirty (30) days after the first occurrence of the event giving rise to Good Reason setting forth the basis for your resignation, allow the Company thirty</w:t>
      </w:r>
    </w:p>
    <w:p>
      <w:pPr>
        <w:spacing w:after="0" w:line="1" w:lineRule="exact"/>
        <w:rPr>
          <w:sz w:val="20"/>
          <w:szCs w:val="20"/>
          <w:color w:val="auto"/>
        </w:rPr>
      </w:pPr>
    </w:p>
    <w:p>
      <w:pPr>
        <w:jc w:val="both"/>
        <w:ind w:left="4" w:hanging="4"/>
        <w:spacing w:after="0" w:line="218" w:lineRule="auto"/>
        <w:tabs>
          <w:tab w:leader="none" w:pos="4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receipt of such written notice to cure such event, and if such event is not reasonably cured within such period, you must resign from all positions you then hold with the Company not later than thirty (30) days after the expiration of the cure period.</w:t>
      </w:r>
    </w:p>
    <w:p>
      <w:pPr>
        <w:spacing w:after="0" w:line="147" w:lineRule="exact"/>
        <w:rPr>
          <w:sz w:val="20"/>
          <w:szCs w:val="20"/>
          <w:color w:val="auto"/>
        </w:rPr>
      </w:pPr>
    </w:p>
    <w:p>
      <w:pPr>
        <w:jc w:val="both"/>
        <w:ind w:left="4"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11.4. Involuntary Termination.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spacing w:after="0" w:line="147" w:lineRule="exact"/>
        <w:rPr>
          <w:sz w:val="20"/>
          <w:szCs w:val="20"/>
          <w:color w:val="auto"/>
        </w:rPr>
      </w:pPr>
    </w:p>
    <w:p>
      <w:pPr>
        <w:jc w:val="both"/>
        <w:ind w:left="4"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 Separation from Service. </w:t>
      </w:r>
      <w:r>
        <w:rPr>
          <w:rFonts w:ascii="Times New Roman" w:cs="Times New Roman" w:eastAsia="Times New Roman" w:hAnsi="Times New Roman"/>
          <w:sz w:val="22"/>
          <w:szCs w:val="22"/>
          <w:color w:val="auto"/>
        </w:rPr>
        <w:t>For purposes of this Agreement, “Separation from Service” means a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service”, as defined under Treasury Regulation Section 1.409A-1(h).</w:t>
      </w:r>
    </w:p>
    <w:p>
      <w:pPr>
        <w:spacing w:after="0" w:line="146" w:lineRule="exact"/>
        <w:rPr>
          <w:sz w:val="20"/>
          <w:szCs w:val="20"/>
          <w:color w:val="auto"/>
        </w:rPr>
      </w:pPr>
    </w:p>
    <w:p>
      <w:pPr>
        <w:jc w:val="both"/>
        <w:ind w:left="4" w:hanging="4"/>
        <w:spacing w:after="0" w:line="211" w:lineRule="auto"/>
        <w:tabs>
          <w:tab w:leader="none" w:pos="652"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Proprietary Information Obligations. </w:t>
      </w:r>
      <w:r>
        <w:rPr>
          <w:rFonts w:ascii="Times New Roman" w:cs="Times New Roman" w:eastAsia="Times New Roman" w:hAnsi="Times New Roman"/>
          <w:sz w:val="22"/>
          <w:szCs w:val="22"/>
          <w:color w:val="auto"/>
        </w:rPr>
        <w:t>As a condition of your continued employment, you shall execute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abide by the Company’s standard form of Employee Confidential Information and Invention Assignment Agreement,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spacing w:after="0" w:line="151" w:lineRule="exact"/>
        <w:rPr>
          <w:rFonts w:ascii="Times New Roman" w:cs="Times New Roman" w:eastAsia="Times New Roman" w:hAnsi="Times New Roman"/>
          <w:sz w:val="22"/>
          <w:szCs w:val="22"/>
          <w:b w:val="1"/>
          <w:bCs w:val="1"/>
          <w:color w:val="auto"/>
        </w:rPr>
      </w:pPr>
    </w:p>
    <w:p>
      <w:pPr>
        <w:jc w:val="both"/>
        <w:ind w:left="4" w:hanging="4"/>
        <w:spacing w:after="0" w:line="220" w:lineRule="auto"/>
        <w:tabs>
          <w:tab w:leader="none" w:pos="652"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It is intended that all of the severance benefits and other payments payable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4"/>
          </w:cols>
          <w:pgMar w:left="976" w:top="1440" w:right="339" w:bottom="1440" w:gutter="0" w:footer="0" w:header="0"/>
        </w:sectPr>
      </w:pPr>
    </w:p>
    <w:bookmarkStart w:id="142" w:name="page143"/>
    <w:bookmarkEnd w:id="142"/>
    <w:p>
      <w:pPr>
        <w:spacing w:after="0" w:line="198" w:lineRule="exact"/>
        <w:rPr>
          <w:sz w:val="20"/>
          <w:szCs w:val="20"/>
          <w:color w:val="auto"/>
        </w:rPr>
      </w:pPr>
    </w:p>
    <w:p>
      <w:pPr>
        <w:jc w:val="both"/>
        <w:ind w:left="4"/>
        <w:spacing w:after="0" w:line="211" w:lineRule="auto"/>
        <w:rPr>
          <w:sz w:val="20"/>
          <w:szCs w:val="20"/>
          <w:color w:val="auto"/>
        </w:rPr>
      </w:pPr>
      <w:r>
        <w:rPr>
          <w:rFonts w:ascii="Times New Roman" w:cs="Times New Roman" w:eastAsia="Times New Roman" w:hAnsi="Times New Roman"/>
          <w:sz w:val="22"/>
          <w:szCs w:val="22"/>
          <w:color w:val="auto"/>
        </w:rPr>
        <w:t>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w:t>
      </w:r>
    </w:p>
    <w:p>
      <w:pPr>
        <w:spacing w:after="0" w:line="148" w:lineRule="exact"/>
        <w:rPr>
          <w:sz w:val="20"/>
          <w:szCs w:val="20"/>
          <w:color w:val="auto"/>
        </w:rPr>
      </w:pPr>
    </w:p>
    <w:p>
      <w:pPr>
        <w:ind w:left="644" w:hanging="644"/>
        <w:spacing w:after="0"/>
        <w:tabs>
          <w:tab w:leader="none" w:pos="644"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 of All Disputes.</w:t>
      </w:r>
    </w:p>
    <w:p>
      <w:pPr>
        <w:spacing w:after="0" w:line="179" w:lineRule="exact"/>
        <w:rPr>
          <w:sz w:val="20"/>
          <w:szCs w:val="20"/>
          <w:color w:val="auto"/>
        </w:rPr>
      </w:pPr>
    </w:p>
    <w:p>
      <w:pPr>
        <w:jc w:val="both"/>
        <w:ind w:left="4"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11.1. Agreement to Arbitrate</w:t>
      </w:r>
      <w:r>
        <w:rPr>
          <w:rFonts w:ascii="Times New Roman" w:cs="Times New Roman" w:eastAsia="Times New Roman" w:hAnsi="Times New Roman"/>
          <w:sz w:val="22"/>
          <w:szCs w:val="22"/>
          <w:color w:val="auto"/>
        </w:rPr>
        <w:t>. To ensure the timely and economical resolution of disputes that may arise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the negotiation, execution, interpretation, performance, breach or enforcement of this Agreement; or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your application, hiring, and employment with the Company (including but not limited to all statutory claims); or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the termination of your employment with the Company (including but not limited to all statutory claims). </w:t>
      </w:r>
      <w:r>
        <w:rPr>
          <w:rFonts w:ascii="Times New Roman" w:cs="Times New Roman" w:eastAsia="Times New Roman" w:hAnsi="Times New Roman"/>
          <w:sz w:val="22"/>
          <w:szCs w:val="22"/>
          <w:b w:val="1"/>
          <w:bCs w:val="1"/>
          <w:color w:val="auto"/>
        </w:rPr>
        <w:t>BY AGREEING TO THIS</w:t>
      </w:r>
    </w:p>
    <w:p>
      <w:pPr>
        <w:spacing w:after="0" w:line="5"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22"/>
          <w:szCs w:val="22"/>
          <w:b w:val="1"/>
          <w:bCs w:val="1"/>
          <w:color w:val="auto"/>
        </w:rPr>
        <w:t>ARBITRATION PROCEDURE, BOTH YOU AND THE COMPANY WAIVE THE RIGHT TO RESOLVE ANY SUCH DISPUTES THROUGH A TRIAL BY JURY OR JUDGE OR THROUGH AN ADMINISTRATIVE PROCEEDING.</w:t>
      </w:r>
    </w:p>
    <w:p>
      <w:pPr>
        <w:spacing w:after="0" w:line="147" w:lineRule="exact"/>
        <w:rPr>
          <w:sz w:val="20"/>
          <w:szCs w:val="20"/>
          <w:color w:val="auto"/>
        </w:rPr>
      </w:pPr>
    </w:p>
    <w:p>
      <w:pPr>
        <w:jc w:val="both"/>
        <w:ind w:left="4"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11.2. Arbitrator Authority</w:t>
      </w:r>
      <w:r>
        <w:rPr>
          <w:rFonts w:ascii="Times New Roman" w:cs="Times New Roman" w:eastAsia="Times New Roman" w:hAnsi="Times New Roman"/>
          <w:sz w:val="22"/>
          <w:szCs w:val="22"/>
          <w:color w:val="auto"/>
        </w:rPr>
        <w:t>. The arbitrator shall have the sole and exclusive authority to determine whether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claim or cause of action is subject to arbitration under this Section and to determine any procedural questions which grow out of such disputes, claims or causes of action and bear on their final disposition.</w:t>
      </w:r>
    </w:p>
    <w:p>
      <w:pPr>
        <w:spacing w:after="0" w:line="146" w:lineRule="exact"/>
        <w:rPr>
          <w:sz w:val="20"/>
          <w:szCs w:val="20"/>
          <w:color w:val="auto"/>
        </w:rPr>
      </w:pPr>
    </w:p>
    <w:p>
      <w:pPr>
        <w:jc w:val="both"/>
        <w:ind w:left="4"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11.3. Individual Capacity Only</w:t>
      </w:r>
      <w:r>
        <w:rPr>
          <w:rFonts w:ascii="Times New Roman" w:cs="Times New Roman" w:eastAsia="Times New Roman" w:hAnsi="Times New Roman"/>
          <w:sz w:val="22"/>
          <w:szCs w:val="22"/>
          <w:color w:val="auto"/>
        </w:rPr>
        <w:t>. All claims, disputes, or causes of action under this Section, whether by you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w:t>
      </w:r>
    </w:p>
    <w:p>
      <w:pPr>
        <w:spacing w:after="0" w:line="149" w:lineRule="exact"/>
        <w:rPr>
          <w:sz w:val="20"/>
          <w:szCs w:val="20"/>
          <w:color w:val="auto"/>
        </w:rPr>
      </w:pPr>
    </w:p>
    <w:p>
      <w:pPr>
        <w:jc w:val="both"/>
        <w:ind w:left="4"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11.4. Arbitration Process</w:t>
      </w:r>
      <w:r>
        <w:rPr>
          <w:rFonts w:ascii="Times New Roman" w:cs="Times New Roman" w:eastAsia="Times New Roman" w:hAnsi="Times New Roman"/>
          <w:sz w:val="22"/>
          <w:szCs w:val="22"/>
          <w:color w:val="auto"/>
        </w:rPr>
        <w:t>. Any arbitration proceeding under this Section shall be presided over by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and conducted by Judicial Arbitration and Mediation Services,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in Los Angeles County, California, or as otherwise agreed to by you and the Company, under the then applicable JAMS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4"/>
          </w:cols>
          <w:pgMar w:left="976" w:top="1440" w:right="339" w:bottom="1440" w:gutter="0" w:footer="0" w:header="0"/>
        </w:sectPr>
      </w:pPr>
    </w:p>
    <w:bookmarkStart w:id="143" w:name="page144"/>
    <w:bookmarkEnd w:id="143"/>
    <w:p>
      <w:pPr>
        <w:spacing w:after="0" w:line="198" w:lineRule="exact"/>
        <w:rPr>
          <w:sz w:val="20"/>
          <w:szCs w:val="20"/>
          <w:color w:val="auto"/>
        </w:rPr>
      </w:pPr>
    </w:p>
    <w:p>
      <w:pPr>
        <w:jc w:val="both"/>
        <w:ind w:left="4"/>
        <w:spacing w:after="0" w:line="212" w:lineRule="auto"/>
        <w:rPr>
          <w:sz w:val="20"/>
          <w:szCs w:val="20"/>
          <w:color w:val="auto"/>
        </w:rPr>
      </w:pPr>
      <w:r>
        <w:rPr>
          <w:rFonts w:ascii="Times New Roman" w:cs="Times New Roman" w:eastAsia="Times New Roman" w:hAnsi="Times New Roman"/>
          <w:sz w:val="22"/>
          <w:szCs w:val="22"/>
          <w:color w:val="auto"/>
        </w:rPr>
        <w:t xml:space="preserve">rules for the resolution of employment disputes (available upon request and also currently available at </w:t>
      </w:r>
      <w:r>
        <w:rPr>
          <w:rFonts w:ascii="Times New Roman" w:cs="Times New Roman" w:eastAsia="Times New Roman" w:hAnsi="Times New Roman"/>
          <w:sz w:val="22"/>
          <w:szCs w:val="22"/>
          <w:u w:val="single" w:color="auto"/>
          <w:color w:val="auto"/>
        </w:rPr>
        <w:t>http://www.jamsadr.com/rules-employment-arbitration/</w:t>
      </w:r>
      <w:r>
        <w:rPr>
          <w:rFonts w:ascii="Times New Roman" w:cs="Times New Roman" w:eastAsia="Times New Roman" w:hAnsi="Times New Roman"/>
          <w:sz w:val="22"/>
          <w:szCs w:val="22"/>
          <w:color w:val="auto"/>
        </w:rPr>
        <w:t xml:space="preserve">). You and the Company both have the right to be represented by legal counsel at any arbitration proceeding, at each party’s own expense. The Arbitrator shall: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have the authority to compel adequate discovery for the resolution of the dispute;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issue a written arbitration decision, to include the arbitrator’s essential findings and conclusions and a statement of the award; and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be authorized to award any or all remedies that you or the Company would be entitled to seek in a court of law. The Company shall pay all JAMS arbitration fees in excess of the amount of court fees that would be required of you if the dispute were decided in a court of law.</w:t>
      </w:r>
    </w:p>
    <w:p>
      <w:pPr>
        <w:spacing w:after="0" w:line="152" w:lineRule="exact"/>
        <w:rPr>
          <w:sz w:val="20"/>
          <w:szCs w:val="20"/>
          <w:color w:val="auto"/>
        </w:rPr>
      </w:pPr>
    </w:p>
    <w:p>
      <w:pPr>
        <w:jc w:val="both"/>
        <w:ind w:left="4" w:right="20"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11.5. Excluded Claims</w:t>
      </w:r>
      <w:r>
        <w:rPr>
          <w:rFonts w:ascii="Times New Roman" w:cs="Times New Roman" w:eastAsia="Times New Roman" w:hAnsi="Times New Roman"/>
          <w:sz w:val="21"/>
          <w:szCs w:val="21"/>
          <w:color w:val="auto"/>
        </w:rPr>
        <w:t>. This Arbitration section shall not apply to any action or claim that cannot be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In the event you intend to bring multiple claims, including any Excluded Claims, the Excluded Claims may be filed with a court, while any other claims will remain subject to mandatory arbitration.</w:t>
      </w:r>
    </w:p>
    <w:p>
      <w:pPr>
        <w:spacing w:after="0" w:line="148" w:lineRule="exact"/>
        <w:rPr>
          <w:sz w:val="20"/>
          <w:szCs w:val="20"/>
          <w:color w:val="auto"/>
        </w:rPr>
      </w:pPr>
    </w:p>
    <w:p>
      <w:pPr>
        <w:jc w:val="both"/>
        <w:ind w:left="4"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11.6. Injunctive Relief and Final Orders</w:t>
      </w:r>
      <w:r>
        <w:rPr>
          <w:rFonts w:ascii="Times New Roman" w:cs="Times New Roman" w:eastAsia="Times New Roman" w:hAnsi="Times New Roman"/>
          <w:sz w:val="22"/>
          <w:szCs w:val="22"/>
          <w:color w:val="auto"/>
        </w:rPr>
        <w:t>. Nothing in this Section is intended to prevent either you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spacing w:after="0" w:line="148" w:lineRule="exact"/>
        <w:rPr>
          <w:sz w:val="20"/>
          <w:szCs w:val="20"/>
          <w:color w:val="auto"/>
        </w:rPr>
      </w:pPr>
    </w:p>
    <w:p>
      <w:pPr>
        <w:jc w:val="both"/>
        <w:ind w:left="4" w:hanging="4"/>
        <w:spacing w:after="0" w:line="208" w:lineRule="auto"/>
        <w:tabs>
          <w:tab w:leader="none" w:pos="65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Provisions. </w:t>
      </w:r>
      <w:r>
        <w:rPr>
          <w:rFonts w:ascii="Times New Roman" w:cs="Times New Roman" w:eastAsia="Times New Roman" w:hAnsi="Times New Roman"/>
          <w:sz w:val="22"/>
          <w:szCs w:val="22"/>
          <w:color w:val="auto"/>
        </w:rPr>
        <w:t>This Agreement, together with the Confidential Information and Inventions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Times New Roman" w:cs="Times New Roman" w:eastAsia="Times New Roman" w:hAnsi="Times New Roman"/>
          <w:sz w:val="22"/>
          <w:szCs w:val="22"/>
          <w:b w:val="1"/>
          <w:bCs w:val="1"/>
          <w:color w:val="auto"/>
        </w:rPr>
        <w:t>Prior Agreements</w:t>
      </w:r>
      <w:r>
        <w:rPr>
          <w:rFonts w:ascii="Times New Roman" w:cs="Times New Roman" w:eastAsia="Times New Roman" w:hAnsi="Times New Roman"/>
          <w:sz w:val="22"/>
          <w:szCs w:val="22"/>
          <w:color w:val="auto"/>
        </w:rPr>
        <w:t>”). You agree and acknowledge that you are not eligible 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 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976" w:top="1440" w:right="339" w:bottom="1440" w:gutter="0" w:footer="0" w:header="0"/>
        </w:sectPr>
      </w:pPr>
    </w:p>
    <w:bookmarkStart w:id="144" w:name="page145"/>
    <w:bookmarkEnd w:id="144"/>
    <w:p>
      <w:pPr>
        <w:spacing w:after="0" w:line="19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 questions concerning the construction, validity and interpretation of this Agreement will be governed by the laws of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98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Best regards,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Honest Company, Inc.</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030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Carla Vernón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Dorria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487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Dorria L. Ball</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796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1440" w:right="1440" w:bottom="1440" w:gutter="0" w:footer="0" w:header="0"/>
        </w:sectPr>
      </w:pPr>
    </w:p>
    <w:bookmarkStart w:id="146" w:name="page147"/>
    <w:bookmarkEnd w:id="146"/>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Employee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440"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(Nos. 333-255848 and 333-263912) of The Honest Company, Inc. of our report dated March 8, 2024 relating to the financial statements, which appears in this Form 10-K.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ectPr>
          <w:pgSz w:w="11900" w:h="16838" w:orient="portrait"/>
          <w:cols w:equalWidth="0" w:num="1">
            <w:col w:w="11240"/>
          </w:cols>
          <w:pgMar w:left="320" w:top="1413" w:right="339" w:bottom="1440" w:gutter="0" w:footer="0" w:header="0"/>
        </w:sectPr>
      </w:pPr>
    </w:p>
    <w:bookmarkStart w:id="148" w:name="page149"/>
    <w:bookmarkEnd w:id="148"/>
    <w:p>
      <w:pPr>
        <w:ind w:left="94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Carla Vernón, certify that:</w:t>
      </w:r>
    </w:p>
    <w:p>
      <w:pPr>
        <w:spacing w:after="0" w:line="252" w:lineRule="exact"/>
        <w:rPr>
          <w:sz w:val="20"/>
          <w:szCs w:val="20"/>
          <w:color w:val="auto"/>
        </w:rPr>
      </w:pPr>
    </w:p>
    <w:p>
      <w:pPr>
        <w:ind w:left="560" w:hanging="545"/>
        <w:spacing w:after="0"/>
        <w:tabs>
          <w:tab w:leader="none" w:pos="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Honest Company, Inc.;</w:t>
      </w:r>
    </w:p>
    <w:p>
      <w:pPr>
        <w:spacing w:after="0" w:line="252" w:lineRule="exact"/>
        <w:rPr>
          <w:rFonts w:ascii="Times New Roman" w:cs="Times New Roman" w:eastAsia="Times New Roman" w:hAnsi="Times New Roman"/>
          <w:sz w:val="18"/>
          <w:szCs w:val="18"/>
          <w:color w:val="auto"/>
        </w:rPr>
      </w:pPr>
    </w:p>
    <w:p>
      <w:pPr>
        <w:jc w:val="both"/>
        <w:ind w:left="560" w:right="20" w:hanging="545"/>
        <w:spacing w:after="0" w:line="281" w:lineRule="auto"/>
        <w:tabs>
          <w:tab w:leader="none" w:pos="5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560" w:right="20" w:hanging="545"/>
        <w:spacing w:after="0" w:line="297" w:lineRule="auto"/>
        <w:tabs>
          <w:tab w:leader="none" w:pos="5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Times New Roman" w:cs="Times New Roman" w:eastAsia="Times New Roman" w:hAnsi="Times New Roman"/>
          <w:sz w:val="18"/>
          <w:szCs w:val="18"/>
          <w:color w:val="auto"/>
        </w:rPr>
      </w:pPr>
    </w:p>
    <w:p>
      <w:pPr>
        <w:jc w:val="both"/>
        <w:ind w:left="560" w:right="260" w:hanging="545"/>
        <w:spacing w:after="0" w:line="290" w:lineRule="auto"/>
        <w:tabs>
          <w:tab w:leader="none" w:pos="54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65" w:lineRule="exact"/>
        <w:rPr>
          <w:rFonts w:ascii="Times New Roman" w:cs="Times New Roman" w:eastAsia="Times New Roman" w:hAnsi="Times New Roman"/>
          <w:sz w:val="17"/>
          <w:szCs w:val="17"/>
          <w:color w:val="auto"/>
        </w:rPr>
      </w:pPr>
    </w:p>
    <w:p>
      <w:pPr>
        <w:ind w:left="1100" w:right="180" w:hanging="539"/>
        <w:spacing w:after="0" w:line="281" w:lineRule="auto"/>
        <w:tabs>
          <w:tab w:leader="none" w:pos="109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100" w:right="100" w:hanging="539"/>
        <w:spacing w:after="0" w:line="266" w:lineRule="auto"/>
        <w:tabs>
          <w:tab w:leader="none" w:pos="108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00" w:right="260" w:hanging="539"/>
        <w:spacing w:after="0" w:line="297" w:lineRule="auto"/>
        <w:tabs>
          <w:tab w:leader="none" w:pos="109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100" w:right="280" w:hanging="539"/>
        <w:spacing w:after="0" w:line="281" w:lineRule="auto"/>
        <w:tabs>
          <w:tab w:leader="none" w:pos="108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4" w:lineRule="exact"/>
        <w:rPr>
          <w:rFonts w:ascii="Times New Roman" w:cs="Times New Roman" w:eastAsia="Times New Roman" w:hAnsi="Times New Roman"/>
          <w:sz w:val="18"/>
          <w:szCs w:val="18"/>
          <w:color w:val="auto"/>
        </w:rPr>
      </w:pPr>
    </w:p>
    <w:p>
      <w:pPr>
        <w:ind w:left="560" w:right="220" w:hanging="545"/>
        <w:spacing w:after="0" w:line="412" w:lineRule="auto"/>
        <w:tabs>
          <w:tab w:leader="none" w:pos="54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060" w:hanging="485"/>
        <w:spacing w:after="0" w:line="282" w:lineRule="auto"/>
        <w:tabs>
          <w:tab w:leader="none" w:pos="1057"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100" w:right="220" w:hanging="539"/>
        <w:spacing w:after="0" w:line="313" w:lineRule="auto"/>
        <w:tabs>
          <w:tab w:leader="none" w:pos="108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20" w:top="1413" w:right="47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David Loretta certify that:</w:t>
      </w:r>
    </w:p>
    <w:p>
      <w:pPr>
        <w:spacing w:after="0" w:line="220" w:lineRule="exact"/>
        <w:rPr>
          <w:sz w:val="20"/>
          <w:szCs w:val="20"/>
          <w:color w:val="auto"/>
        </w:rPr>
      </w:pPr>
    </w:p>
    <w:p>
      <w:pPr>
        <w:ind w:left="1600" w:hanging="656"/>
        <w:spacing w:after="0"/>
        <w:tabs>
          <w:tab w:leader="none" w:pos="16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Honest Company, Inc.;</w:t>
      </w:r>
    </w:p>
    <w:p>
      <w:pPr>
        <w:spacing w:after="0" w:line="252" w:lineRule="exact"/>
        <w:rPr>
          <w:rFonts w:ascii="Times New Roman" w:cs="Times New Roman" w:eastAsia="Times New Roman" w:hAnsi="Times New Roman"/>
          <w:sz w:val="18"/>
          <w:szCs w:val="18"/>
          <w:color w:val="auto"/>
        </w:rPr>
      </w:pPr>
    </w:p>
    <w:p>
      <w:pPr>
        <w:jc w:val="both"/>
        <w:ind w:left="300" w:firstLine="644"/>
        <w:spacing w:after="0" w:line="281" w:lineRule="auto"/>
        <w:tabs>
          <w:tab w:leader="none" w:pos="15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jc w:val="both"/>
        <w:ind w:left="300" w:right="220" w:firstLine="644"/>
        <w:spacing w:after="0" w:line="328" w:lineRule="auto"/>
        <w:tabs>
          <w:tab w:leader="none" w:pos="15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00" w:right="100" w:firstLine="644"/>
        <w:spacing w:after="0" w:line="289" w:lineRule="auto"/>
        <w:tabs>
          <w:tab w:leader="none" w:pos="15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sz w:val="20"/>
          <w:szCs w:val="20"/>
          <w:color w:val="auto"/>
        </w:rPr>
      </w:pPr>
    </w:p>
    <w:p>
      <w:pPr>
        <w:jc w:val="both"/>
        <w:ind w:left="300" w:right="160" w:firstLine="644"/>
        <w:spacing w:after="0" w:line="281" w:lineRule="auto"/>
        <w:tabs>
          <w:tab w:leader="none" w:pos="15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300" w:firstLine="644"/>
        <w:spacing w:after="0" w:line="266" w:lineRule="auto"/>
        <w:tabs>
          <w:tab w:leader="none" w:pos="15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00" w:right="80" w:firstLine="644"/>
        <w:spacing w:after="0" w:line="281" w:lineRule="auto"/>
        <w:tabs>
          <w:tab w:leader="none" w:pos="15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300" w:right="280" w:firstLine="644"/>
        <w:spacing w:after="0" w:line="281" w:lineRule="auto"/>
        <w:tabs>
          <w:tab w:leader="none" w:pos="15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left="300" w:right="80" w:firstLine="644"/>
        <w:spacing w:after="0" w:line="274" w:lineRule="auto"/>
        <w:tabs>
          <w:tab w:leader="none" w:pos="15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ind w:left="300" w:right="240" w:firstLine="644"/>
        <w:spacing w:after="0" w:line="329" w:lineRule="auto"/>
        <w:tabs>
          <w:tab w:leader="none" w:pos="159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Times New Roman" w:cs="Times New Roman" w:eastAsia="Times New Roman" w:hAnsi="Times New Roman"/>
          <w:sz w:val="17"/>
          <w:szCs w:val="17"/>
          <w:color w:val="auto"/>
        </w:rPr>
      </w:pPr>
    </w:p>
    <w:p>
      <w:pPr>
        <w:ind w:left="300" w:right="620" w:firstLine="644"/>
        <w:spacing w:after="0" w:line="313" w:lineRule="auto"/>
        <w:tabs>
          <w:tab w:leader="none" w:pos="159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color w:val="auto"/>
        </w:rPr>
        <w:t>By: /s/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34290</wp:posOffset>
            </wp:positionV>
            <wp:extent cx="39344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David Loretta</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560"/>
          </w:cols>
          <w:pgMar w:left="680" w:top="1413" w:right="659" w:bottom="1440" w:gutter="0" w:footer="0" w:header="0"/>
        </w:sectPr>
      </w:pPr>
    </w:p>
    <w:bookmarkStart w:id="150" w:name="page151"/>
    <w:bookmarkEnd w:id="150"/>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In connection with the Annual Report on Form 10-K of The Honest Company, Inc. (the “Company”) for the period ended December 31, 2023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09" w:lineRule="exact"/>
        <w:rPr>
          <w:sz w:val="20"/>
          <w:szCs w:val="20"/>
          <w:color w:val="auto"/>
        </w:rPr>
      </w:pPr>
    </w:p>
    <w:p>
      <w:pPr>
        <w:ind w:left="560" w:hanging="504"/>
        <w:spacing w:after="0"/>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 connection with the Annual Report on Form 10-K of The Honest Company, Inc. (the “Company”) for the period ended December 31, 2023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09" w:lineRule="exact"/>
        <w:rPr>
          <w:sz w:val="20"/>
          <w:szCs w:val="20"/>
          <w:color w:val="auto"/>
        </w:rPr>
      </w:pPr>
    </w:p>
    <w:p>
      <w:pPr>
        <w:ind w:left="560" w:hanging="504"/>
        <w:spacing w:after="0"/>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David Loretta</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060"/>
          </w:cols>
          <w:pgMar w:left="320" w:top="1440" w:right="5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Honest Company,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7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The Honest Company,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determined that it</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certain circumstances. Certain capitalized terms used in this Policy have the meanings given to such terms in Section 3 below.</w:t>
      </w:r>
    </w:p>
    <w:p>
      <w:pPr>
        <w:spacing w:after="0" w:line="14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specified in the Incentive Compensation award is attained, even if the payment or grant of such Incentive Compensation occurs after the end of that period.</w:t>
      </w:r>
    </w:p>
    <w:p>
      <w:pPr>
        <w:spacing w:after="0" w:line="144"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w:t>
      </w:r>
    </w:p>
    <w:p>
      <w:pPr>
        <w:spacing w:after="0" w:line="204" w:lineRule="auto"/>
        <w:rPr>
          <w:sz w:val="20"/>
          <w:szCs w:val="20"/>
          <w:color w:val="auto"/>
        </w:rPr>
      </w:pPr>
      <w:r>
        <w:rPr>
          <w:rFonts w:ascii="Times New Roman" w:cs="Times New Roman" w:eastAsia="Times New Roman" w:hAnsi="Times New Roman"/>
          <w:sz w:val="20"/>
          <w:szCs w:val="20"/>
          <w:color w:val="auto"/>
        </w:rPr>
        <w:t>noncompliance of the Company with any financial reporting requirement under the securities laws, including any required accounting restatement to correct an error in previously issued financial statements that is material to the previously issued financial statements, or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would result in a material misstatement if the error were corrected in the current period or left uncorrected in the current period.</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reasonably should have concluded, that the Company is required to prepare an Accounting Restatement, or (b) the date that a court, regulator or other legally authorized body directs the Company to prepare an Accounting Restatement.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175"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administration, or finance), any other officer who performs a policy-making function, or any other person who performs</w:t>
      </w:r>
    </w:p>
    <w:p>
      <w:pPr>
        <w:sectPr>
          <w:pgSz w:w="11900" w:h="16838" w:orient="portrait"/>
          <w:cols w:equalWidth="0" w:num="1">
            <w:col w:w="11240"/>
          </w:cols>
          <w:pgMar w:left="320" w:top="9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similar policy-making functions for the Company. Executive officers of the Company’s parent(s) or subsidiaries are deemed executive</w:t>
      </w:r>
    </w:p>
    <w:p>
      <w:pPr>
        <w:spacing w:after="0" w:line="215" w:lineRule="auto"/>
        <w:rPr>
          <w:sz w:val="20"/>
          <w:szCs w:val="20"/>
          <w:color w:val="auto"/>
        </w:rPr>
      </w:pPr>
      <w:r>
        <w:rPr>
          <w:rFonts w:ascii="Times New Roman" w:cs="Times New Roman" w:eastAsia="Times New Roman" w:hAnsi="Times New Roman"/>
          <w:sz w:val="19"/>
          <w:szCs w:val="19"/>
          <w:color w:val="auto"/>
        </w:rPr>
        <w:t>officers of the Company if they perform such policy-making functions for the Company. Policy-making function is not intended to include policy-making functions that are not significant. Identification of an executive officer for purposes of this Policy would include at a minimum</w:t>
      </w:r>
    </w:p>
    <w:p>
      <w:pPr>
        <w:spacing w:after="0"/>
        <w:rPr>
          <w:sz w:val="20"/>
          <w:szCs w:val="20"/>
          <w:color w:val="auto"/>
        </w:rPr>
      </w:pPr>
      <w:r>
        <w:rPr>
          <w:rFonts w:ascii="Times New Roman" w:cs="Times New Roman" w:eastAsia="Times New Roman" w:hAnsi="Times New Roman"/>
          <w:sz w:val="20"/>
          <w:szCs w:val="20"/>
          <w:color w:val="auto"/>
        </w:rPr>
        <w:t>executive officers identified pursuant to Item 401(b) of Regulation S-K promulgated under the Exchange Act.</w:t>
      </w:r>
    </w:p>
    <w:p>
      <w:pPr>
        <w:spacing w:after="0" w:line="13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(except that a transition period of at least nine months shall count as a completed fiscal year). Notwithstanding the foregoing, the Lookback Period shall not include fiscal years completed prior to the Effective Date.</w:t>
      </w:r>
    </w:p>
    <w:p>
      <w:pPr>
        <w:spacing w:after="0" w:line="13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w:t>
      </w:r>
    </w:p>
    <w:p>
      <w:pPr>
        <w:spacing w:after="0" w:line="213" w:lineRule="auto"/>
        <w:rPr>
          <w:sz w:val="20"/>
          <w:szCs w:val="20"/>
          <w:color w:val="auto"/>
        </w:rPr>
      </w:pPr>
      <w:r>
        <w:rPr>
          <w:rFonts w:ascii="Times New Roman" w:cs="Times New Roman" w:eastAsia="Times New Roman" w:hAnsi="Times New Roman"/>
          <w:sz w:val="20"/>
          <w:szCs w:val="20"/>
          <w:color w:val="auto"/>
        </w:rPr>
        <w:t>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w:t>
      </w:r>
    </w:p>
    <w:p>
      <w:pPr>
        <w:spacing w:after="0" w:line="204" w:lineRule="auto"/>
        <w:rPr>
          <w:sz w:val="20"/>
          <w:szCs w:val="20"/>
          <w:color w:val="auto"/>
        </w:rPr>
      </w:pPr>
      <w:r>
        <w:rPr>
          <w:rFonts w:ascii="Times New Roman" w:cs="Times New Roman" w:eastAsia="Times New Roman" w:hAnsi="Times New Roman"/>
          <w:sz w:val="20"/>
          <w:szCs w:val="20"/>
          <w:color w:val="auto"/>
        </w:rPr>
        <w:t>deductions). For any compensation plans or programs that take into account Incentive Compensation, the amount of Recoverable Incentive Compensation for purposes of this Policy shall include, without limitation, the amount contributed to any notional account based on</w:t>
      </w:r>
    </w:p>
    <w:p>
      <w:pPr>
        <w:spacing w:after="0" w:line="211" w:lineRule="auto"/>
        <w:rPr>
          <w:sz w:val="20"/>
          <w:szCs w:val="20"/>
          <w:color w:val="auto"/>
        </w:rPr>
      </w:pPr>
      <w:r>
        <w:rPr>
          <w:rFonts w:ascii="Times New Roman" w:cs="Times New Roman" w:eastAsia="Times New Roman" w:hAnsi="Times New Roman"/>
          <w:sz w:val="20"/>
          <w:szCs w:val="20"/>
          <w:color w:val="auto"/>
        </w:rPr>
        <w:t>Recoverable Incentive Compensation and any earnings to date on that notional amount. For any Incentive Compensation that is based 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stock price or TSR, where the Recoverable Incentive Compensation is not subject to mathematical recalculation directly from the information in an Accounting Restatement, the Administrator will determine the amount of Recoverable Incentive Compensation based on a reasonable</w:t>
      </w:r>
    </w:p>
    <w:p>
      <w:pPr>
        <w:spacing w:after="0" w:line="211" w:lineRule="auto"/>
        <w:rPr>
          <w:sz w:val="20"/>
          <w:szCs w:val="20"/>
          <w:color w:val="auto"/>
        </w:rPr>
      </w:pPr>
      <w:r>
        <w:rPr>
          <w:rFonts w:ascii="Times New Roman" w:cs="Times New Roman" w:eastAsia="Times New Roman" w:hAnsi="Times New Roman"/>
          <w:sz w:val="20"/>
          <w:szCs w:val="20"/>
          <w:color w:val="auto"/>
        </w:rPr>
        <w:t>estimate of the effect of the Accounting Restatement on the stock price or TSR upon which the Incentive Compensation was received. The</w:t>
      </w:r>
    </w:p>
    <w:p>
      <w:pPr>
        <w:spacing w:after="0" w:line="221" w:lineRule="auto"/>
        <w:rPr>
          <w:sz w:val="20"/>
          <w:szCs w:val="20"/>
          <w:color w:val="auto"/>
        </w:rPr>
      </w:pPr>
      <w:r>
        <w:rPr>
          <w:rFonts w:ascii="Times New Roman" w:cs="Times New Roman" w:eastAsia="Times New Roman" w:hAnsi="Times New Roman"/>
          <w:sz w:val="20"/>
          <w:szCs w:val="20"/>
          <w:color w:val="auto"/>
        </w:rPr>
        <w:t>Company shall maintain documentation of the determination of that reasonable estimate and provide such documentation to the Exchange in accordance with the Listing Standards.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162"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161"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4" w:val="left"/>
        </w:tabs>
        <w:numPr>
          <w:ilvl w:val="1"/>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4" w:lineRule="exact"/>
        <w:rPr>
          <w:rFonts w:ascii="Times New Roman" w:cs="Times New Roman" w:eastAsia="Times New Roman" w:hAnsi="Times New Roman"/>
          <w:sz w:val="20"/>
          <w:szCs w:val="20"/>
          <w:b w:val="1"/>
          <w:bCs w:val="1"/>
          <w:color w:val="auto"/>
        </w:rPr>
      </w:pPr>
    </w:p>
    <w:p>
      <w:pPr>
        <w:jc w:val="both"/>
        <w:ind w:firstLine="656"/>
        <w:spacing w:after="0" w:line="228" w:lineRule="auto"/>
        <w:tabs>
          <w:tab w:leader="none" w:pos="1295" w:val="left"/>
        </w:tabs>
        <w:numPr>
          <w:ilvl w:val="1"/>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 Accounting Restatement, the Company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31" w:lineRule="exact"/>
        <w:rPr>
          <w:rFonts w:ascii="Times New Roman" w:cs="Times New Roman" w:eastAsia="Times New Roman" w:hAnsi="Times New Roman"/>
          <w:sz w:val="19"/>
          <w:szCs w:val="19"/>
          <w:b w:val="1"/>
          <w:bCs w:val="1"/>
          <w:color w:val="auto"/>
        </w:rPr>
      </w:pPr>
    </w:p>
    <w:p>
      <w:pPr>
        <w:ind w:left="1300" w:hanging="644"/>
        <w:spacing w:after="0"/>
        <w:tabs>
          <w:tab w:leader="none" w:pos="1300" w:val="left"/>
        </w:tabs>
        <w:numPr>
          <w:ilvl w:val="1"/>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4" w:right="339" w:bottom="1440" w:gutter="0" w:footer="0" w:header="0"/>
        </w:sectPr>
      </w:pPr>
    </w:p>
    <w:bookmarkStart w:id="154" w:name="page155"/>
    <w:bookmarkEnd w:id="154"/>
    <w:p>
      <w:pPr>
        <w:jc w:val="both"/>
        <w:ind w:left="660" w:firstLine="644"/>
        <w:spacing w:after="0" w:line="220" w:lineRule="auto"/>
        <w:tabs>
          <w:tab w:leader="none" w:pos="1954"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33"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2"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5"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6"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30" w:lineRule="exact"/>
        <w:rPr>
          <w:rFonts w:ascii="Times New Roman" w:cs="Times New Roman" w:eastAsia="Times New Roman" w:hAnsi="Times New Roman"/>
          <w:sz w:val="20"/>
          <w:szCs w:val="20"/>
          <w:b w:val="1"/>
          <w:bCs w:val="1"/>
          <w:color w:val="auto"/>
        </w:rPr>
      </w:pPr>
    </w:p>
    <w:p>
      <w:pPr>
        <w:jc w:val="both"/>
        <w:ind w:firstLine="656"/>
        <w:spacing w:after="0" w:line="220" w:lineRule="auto"/>
        <w:tabs>
          <w:tab w:leader="none" w:pos="1291"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33"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4"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4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w:t>
      </w:r>
    </w:p>
    <w:p>
      <w:pPr>
        <w:spacing w:after="0" w:line="215" w:lineRule="auto"/>
        <w:rPr>
          <w:sz w:val="20"/>
          <w:szCs w:val="20"/>
          <w:color w:val="auto"/>
        </w:rPr>
      </w:pPr>
      <w:r>
        <w:rPr>
          <w:rFonts w:ascii="Times New Roman" w:cs="Times New Roman" w:eastAsia="Times New Roman" w:hAnsi="Times New Roman"/>
          <w:sz w:val="19"/>
          <w:szCs w:val="19"/>
          <w:color w:val="auto"/>
        </w:rPr>
        <w:t>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w:t>
      </w:r>
    </w:p>
    <w:p>
      <w:pPr>
        <w:spacing w:after="0" w:line="211" w:lineRule="auto"/>
        <w:rPr>
          <w:sz w:val="20"/>
          <w:szCs w:val="20"/>
          <w:color w:val="auto"/>
        </w:rPr>
      </w:pPr>
      <w:r>
        <w:rPr>
          <w:rFonts w:ascii="Times New Roman" w:cs="Times New Roman" w:eastAsia="Times New Roman" w:hAnsi="Times New Roman"/>
          <w:sz w:val="20"/>
          <w:szCs w:val="20"/>
          <w:color w:val="auto"/>
        </w:rPr>
        <w:t>Policy. In carrying out the administration of this Policy, the Administrator is authorized and directed to consult with the full Board or such</w:t>
      </w:r>
    </w:p>
    <w:p>
      <w:pPr>
        <w:spacing w:after="0" w:line="221" w:lineRule="auto"/>
        <w:rPr>
          <w:sz w:val="20"/>
          <w:szCs w:val="20"/>
          <w:color w:val="auto"/>
        </w:rPr>
      </w:pPr>
      <w:r>
        <w:rPr>
          <w:rFonts w:ascii="Times New Roman" w:cs="Times New Roman" w:eastAsia="Times New Roman" w:hAnsi="Times New Roman"/>
          <w:sz w:val="20"/>
          <w:szCs w:val="20"/>
          <w:color w:val="auto"/>
        </w:rPr>
        <w:t>other committees of the Board as may be necessary or appropriate as to matters within the scope of such other committee’s responsibility and authority. Subject to applicable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auto"/>
        </w:rPr>
        <w:t>law, the Administrator may authorize and empower any officer or employee of the Company to take any and all actions that the</w:t>
      </w:r>
    </w:p>
    <w:p>
      <w:pPr>
        <w:spacing w:after="0" w:line="221" w:lineRule="auto"/>
        <w:rPr>
          <w:sz w:val="20"/>
          <w:szCs w:val="20"/>
          <w:color w:val="auto"/>
        </w:rPr>
      </w:pPr>
      <w:r>
        <w:rPr>
          <w:rFonts w:ascii="Times New Roman" w:cs="Times New Roman" w:eastAsia="Times New Roman" w:hAnsi="Times New Roman"/>
          <w:sz w:val="20"/>
          <w:szCs w:val="20"/>
          <w:color w:val="auto"/>
        </w:rPr>
        <w:t>Administrator, in its sole discretion, deems necessary or appropriate to carry out the purpose and intent of this Policy (other than with respect to any recovery under this Policy involving such officer or employee).</w:t>
      </w:r>
    </w:p>
    <w:p>
      <w:pPr>
        <w:spacing w:after="0" w:line="144"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any provision of this Policy or the application of any such provision to a Covered Officer shall be adjudicated to be invalid, illegal</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unenforceable in any respect, such invalidity, illegality or unenforceability shall not affect any other provisions of this Policy, and the invalid, illegal or unenforceable provisions shall be deemed amended to the minimum extent necessary to render any such provision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application enforceable.</w:t>
      </w:r>
    </w:p>
    <w:p>
      <w:pPr>
        <w:spacing w:after="0" w:line="136"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w:t>
      </w:r>
    </w:p>
    <w:p>
      <w:pPr>
        <w:spacing w:after="0" w:line="212" w:lineRule="auto"/>
        <w:rPr>
          <w:sz w:val="20"/>
          <w:szCs w:val="20"/>
          <w:color w:val="auto"/>
        </w:rPr>
      </w:pPr>
      <w:r>
        <w:rPr>
          <w:rFonts w:ascii="Times New Roman" w:cs="Times New Roman" w:eastAsia="Times New Roman" w:hAnsi="Times New Roman"/>
          <w:sz w:val="20"/>
          <w:szCs w:val="20"/>
          <w:color w:val="auto"/>
        </w:rPr>
        <w:t>omissions by the Covered Officer. This Policy does not preclude the Company from taking any other action to enforce a Covered Officer’s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color w:val="auto"/>
        </w:rPr>
        <w:t>SOX 304</w:t>
      </w:r>
      <w:r>
        <w:rPr>
          <w:rFonts w:ascii="Times New Roman" w:cs="Times New Roman" w:eastAsia="Times New Roman" w:hAnsi="Times New Roman"/>
          <w:sz w:val="20"/>
          <w:szCs w:val="20"/>
          <w:color w:val="auto"/>
        </w:rPr>
        <w:t>”) that are applicable to the Company’s Chief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Officer and Chief Financial Officer and to any other compensation recoupment policy and/or similar provisions in any employment, equity plan, equity award, or other individual agreement, to which the Company is a party or which the Company has adopted</w:t>
      </w:r>
    </w:p>
    <w:p>
      <w:pPr>
        <w:spacing w:after="0" w:line="223" w:lineRule="auto"/>
        <w:rPr>
          <w:sz w:val="20"/>
          <w:szCs w:val="20"/>
          <w:color w:val="auto"/>
        </w:rPr>
      </w:pPr>
      <w:r>
        <w:rPr>
          <w:rFonts w:ascii="Times New Roman" w:cs="Times New Roman" w:eastAsia="Times New Roman" w:hAnsi="Times New Roman"/>
          <w:sz w:val="19"/>
          <w:szCs w:val="19"/>
          <w:color w:val="auto"/>
        </w:rPr>
        <w:t>or may adopt and maintain from time to time; provided, however, that compensation recouped pursuant to this Policy shall not be duplicative</w:t>
      </w:r>
    </w:p>
    <w:p>
      <w:pPr>
        <w:spacing w:after="0" w:line="221" w:lineRule="auto"/>
        <w:rPr>
          <w:sz w:val="20"/>
          <w:szCs w:val="20"/>
          <w:color w:val="auto"/>
        </w:rPr>
      </w:pPr>
      <w:r>
        <w:rPr>
          <w:rFonts w:ascii="Times New Roman" w:cs="Times New Roman" w:eastAsia="Times New Roman" w:hAnsi="Times New Roman"/>
          <w:sz w:val="20"/>
          <w:szCs w:val="20"/>
          <w:color w:val="auto"/>
        </w:rPr>
        <w:t>of compensation recouped pursuant to SOX 304 or any such compensation recoupment policy and/or similar provisions in any such employment, equity plan, equity award, or other individual agreement except as may be required by law.</w:t>
      </w:r>
    </w:p>
    <w:p>
      <w:pPr>
        <w:spacing w:after="0" w:line="144"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16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30"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16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3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Required Filings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Company shall make any disclosures and filings with respect to this Policy that are required by law, including as required by the SEC.</w:t>
      </w:r>
    </w:p>
    <w:p>
      <w:pPr>
        <w:spacing w:after="0" w:line="173" w:lineRule="exact"/>
        <w:rPr>
          <w:sz w:val="20"/>
          <w:szCs w:val="20"/>
          <w:color w:val="auto"/>
        </w:rPr>
      </w:pPr>
    </w:p>
    <w:p>
      <w:pPr>
        <w:ind w:left="4980"/>
        <w:spacing w:after="0"/>
        <w:tabs>
          <w:tab w:leader="none" w:pos="5260" w:val="left"/>
          <w:tab w:leader="none" w:pos="5560" w:val="left"/>
          <w:tab w:leader="none" w:pos="5860" w:val="left"/>
          <w:tab w:leader="none" w:pos="614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4"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The Honest Company,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Executive Acknowledgment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Honest Company,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w:t>
      </w:r>
    </w:p>
    <w:p>
      <w:pPr>
        <w:spacing w:after="0" w:line="212" w:lineRule="auto"/>
        <w:rPr>
          <w:sz w:val="20"/>
          <w:szCs w:val="20"/>
          <w:color w:val="auto"/>
        </w:rPr>
      </w:pPr>
      <w:r>
        <w:rPr>
          <w:rFonts w:ascii="Times New Roman" w:cs="Times New Roman" w:eastAsia="Times New Roman" w:hAnsi="Times New Roman"/>
          <w:sz w:val="20"/>
          <w:szCs w:val="20"/>
          <w:color w:val="auto"/>
        </w:rPr>
        <w:t>inconsistency between the Policy and the terms of any employment agreement, offer letter or other individual agreement with The Honest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Company,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48"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25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257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257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
    </w:lvl>
    <w:lvl w:ilvl="1">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1)"/>
      <w:numFmt w:val="decimal"/>
      <w:start w:val="3"/>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decimal"/>
      <w:start w:val="1"/>
    </w:lvl>
  </w:abstractNum>
  <w:abstractNum w:abstractNumId="34">
    <w:nsid w:val="5F5E7FD0"/>
    <w:multiLevelType w:val="hybridMultilevel"/>
    <w:lvl w:ilvl="0">
      <w:lvlJc w:val="left"/>
      <w:lvlText w:val="%1."/>
      <w:numFmt w:val="decimal"/>
      <w:start w:val="2"/>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5"/>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6"/>
    </w:lvl>
  </w:abstractNum>
  <w:abstractNum w:abstractNumId="41">
    <w:nsid w:val="661E3F1E"/>
    <w:multiLevelType w:val="hybridMultilevel"/>
    <w:lvl w:ilvl="0">
      <w:lvlJc w:val="left"/>
      <w:lvlText w:val="%1."/>
      <w:numFmt w:val="decimal"/>
      <w:start w:val="7"/>
    </w:lvl>
  </w:abstractNum>
  <w:abstractNum w:abstractNumId="42">
    <w:nsid w:val="5DC79EA8"/>
    <w:multiLevelType w:val="hybridMultilevel"/>
    <w:lvl w:ilvl="0">
      <w:lvlJc w:val="left"/>
      <w:lvlText w:val="%1."/>
      <w:numFmt w:val="decimal"/>
      <w:start w:val="8"/>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11"/>
    </w:lvl>
  </w:abstractNum>
  <w:abstractNum w:abstractNumId="45">
    <w:nsid w:val="51D9C564"/>
    <w:multiLevelType w:val="hybridMultilevel"/>
    <w:lvl w:ilvl="0">
      <w:lvlJc w:val="left"/>
      <w:lvlText w:val="%1."/>
      <w:numFmt w:val="decimal"/>
      <w:start w:val="12"/>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3"/>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1."/>
      <w:numFmt w:val="decimal"/>
      <w:start w:val="14"/>
    </w:lvl>
  </w:abstractNum>
  <w:abstractNum w:abstractNumId="51">
    <w:nsid w:val="8F2B15E"/>
    <w:multiLevelType w:val="hybridMultilevel"/>
    <w:lvl w:ilvl="0">
      <w:lvlJc w:val="left"/>
      <w:lvlText w:val="%1."/>
      <w:numFmt w:val="decimal"/>
      <w:start w:val="15"/>
    </w:lvl>
  </w:abstractNum>
  <w:abstractNum w:abstractNumId="52">
    <w:nsid w:val="1A32234B"/>
    <w:multiLevelType w:val="hybridMultilevel"/>
    <w:lvl w:ilvl="0">
      <w:lvlJc w:val="left"/>
      <w:lvlText w:val="%1."/>
      <w:numFmt w:val="decimal"/>
      <w:start w:val="16"/>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17"/>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lvl w:ilvl="1">
      <w:lvlJc w:val="left"/>
      <w:lvlText w:val="▪"/>
      <w:numFmt w:val="bullet"/>
      <w:start w:val="1"/>
    </w:lvl>
  </w:abstractNum>
  <w:abstractNum w:abstractNumId="57">
    <w:nsid w:val="6A5EE64"/>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upperLetter"/>
      <w:start w:val="1"/>
    </w:lvl>
  </w:abstractNum>
  <w:abstractNum w:abstractNumId="60">
    <w:nsid w:val="1A27709E"/>
    <w:multiLevelType w:val="hybridMultilevel"/>
    <w:lvl w:ilvl="0">
      <w:lvlJc w:val="left"/>
      <w:lvlText w:val="1"/>
      <w:numFmt w:val="bullet"/>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lowerLetter"/>
      <w:start w:val="1"/>
    </w:lvl>
  </w:abstractNum>
  <w:abstractNum w:abstractNumId="63">
    <w:nsid w:val="7FB7E0AA"/>
    <w:multiLevelType w:val="hybridMultilevel"/>
    <w:lvl w:ilvl="0">
      <w:lvlJc w:val="left"/>
      <w:lvlText w:val="(%1)"/>
      <w:numFmt w:val="lowerLetter"/>
      <w:start w:val="1"/>
    </w:lvl>
  </w:abstractNum>
  <w:abstractNum w:abstractNumId="64">
    <w:nsid w:val="6EB5BD4"/>
    <w:multiLevelType w:val="hybridMultilevel"/>
    <w:lvl w:ilvl="0">
      <w:lvlJc w:val="left"/>
      <w:lvlText w:val="(%1)"/>
      <w:numFmt w:val="lowerLetter"/>
      <w:start w:val="2"/>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3"/>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3"/>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2"/>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2"/>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decimal"/>
      <w:start w:val="3"/>
    </w:lvl>
  </w:abstractNum>
  <w:abstractNum w:abstractNumId="80">
    <w:nsid w:val="CC1016F"/>
    <w:multiLevelType w:val="hybridMultilevel"/>
    <w:lvl w:ilvl="0">
      <w:lvlJc w:val="left"/>
      <w:lvlText w:val="%1."/>
      <w:numFmt w:val="decimal"/>
      <w:start w:val="7"/>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decimal"/>
      <w:start w:val="8"/>
    </w:lvl>
  </w:abstractNum>
  <w:abstractNum w:abstractNumId="83">
    <w:nsid w:val="26F324BA"/>
    <w:multiLevelType w:val="hybridMultilevel"/>
    <w:lvl w:ilvl="0">
      <w:lvlJc w:val="left"/>
      <w:lvlText w:val="(%1)"/>
      <w:numFmt w:val="decimal"/>
      <w:start w:val="30"/>
    </w:lvl>
  </w:abstractNum>
  <w:abstractNum w:abstractNumId="84">
    <w:nsid w:val="7F01579B"/>
    <w:multiLevelType w:val="hybridMultilevel"/>
    <w:lvl w:ilvl="0">
      <w:lvlJc w:val="left"/>
      <w:lvlText w:val="%1."/>
      <w:numFmt w:val="decimal"/>
      <w:start w:val="9"/>
    </w:lvl>
  </w:abstractNum>
  <w:abstractNum w:abstractNumId="85">
    <w:nsid w:val="49DA307D"/>
    <w:multiLevelType w:val="hybridMultilevel"/>
    <w:lvl w:ilvl="0">
      <w:lvlJc w:val="left"/>
      <w:lvlText w:val="%1."/>
      <w:numFmt w:val="decimal"/>
      <w:start w:val="11"/>
    </w:lvl>
  </w:abstractNum>
  <w:abstractNum w:abstractNumId="86">
    <w:nsid w:val="7055A5F5"/>
    <w:multiLevelType w:val="hybridMultilevel"/>
    <w:lvl w:ilvl="0">
      <w:lvlJc w:val="left"/>
      <w:lvlText w:val="%1."/>
      <w:numFmt w:val="decimal"/>
      <w:start w:val="12"/>
    </w:lvl>
  </w:abstractNum>
  <w:abstractNum w:abstractNumId="87">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decimal"/>
      <w:start w:val="5"/>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2"/>
    </w:lvl>
  </w:abstractNum>
  <w:abstractNum w:abstractNumId="96">
    <w:nsid w:val="5F3534A4"/>
    <w:multiLevelType w:val="hybridMultilevel"/>
    <w:lvl w:ilvl="0">
      <w:lvlJc w:val="left"/>
      <w:lvlText w:val="%1."/>
      <w:numFmt w:val="decimal"/>
      <w:start w:val="3"/>
    </w:lvl>
  </w:abstractNum>
  <w:abstractNum w:abstractNumId="97">
    <w:nsid w:val="73A1821B"/>
    <w:multiLevelType w:val="hybridMultilevel"/>
    <w:lvl w:ilvl="0">
      <w:lvlJc w:val="left"/>
      <w:lvlText w:val="%1."/>
      <w:numFmt w:val="decimal"/>
      <w:start w:val="4"/>
    </w:lvl>
    <w:lvl w:ilvl="1">
      <w:lvlJc w:val="left"/>
      <w:lvlText w:val="(%2)"/>
      <w:numFmt w:val="lowerLetter"/>
      <w:start w:val="1"/>
    </w:lvl>
  </w:abstractNum>
  <w:abstractNum w:abstractNumId="98">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9">
    <w:nsid w:val="555C55B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0">
    <w:nsid w:val="3FA62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1">
    <w:nsid w:val="14FCE74E"/>
    <w:multiLevelType w:val="hybridMultilevel"/>
    <w:lvl w:ilvl="0">
      <w:lvlJc w:val="left"/>
      <w:lvlText w:val="%1."/>
      <w:numFmt w:val="decimal"/>
      <w:start w:val="6"/>
    </w:lvl>
  </w:abstractNum>
  <w:abstractNum w:abstractNumId="102">
    <w:nsid w:val="6A3DD3E8"/>
    <w:multiLevelType w:val="hybridMultilevel"/>
    <w:lvl w:ilvl="0">
      <w:lvlJc w:val="left"/>
      <w:lvlText w:val="%1."/>
      <w:numFmt w:val="decimal"/>
      <w:start w:val="7"/>
    </w:lvl>
  </w:abstractNum>
  <w:abstractNum w:abstractNumId="103">
    <w:nsid w:val="71C91298"/>
    <w:multiLevelType w:val="hybridMultilevel"/>
    <w:lvl w:ilvl="0">
      <w:lvlJc w:val="left"/>
      <w:lvlText w:val="%1."/>
      <w:numFmt w:val="decimal"/>
      <w:start w:val="8"/>
    </w:lvl>
  </w:abstractNum>
  <w:abstractNum w:abstractNumId="104">
    <w:nsid w:val="9DAF63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6"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30" Type="http://schemas.openxmlformats.org/officeDocument/2006/relationships/hyperlink" Target="https://www.sec.gov/Archives/edgar/data/0001530979/000119312521157761/d488865dex31.htm" TargetMode="External"/><Relationship Id="rId131" Type="http://schemas.openxmlformats.org/officeDocument/2006/relationships/hyperlink" Target="https://www.sec.gov/Archives/edgar/data/1530979/000153097923000038/honestcoq4-22exhibit32.htm" TargetMode="External"/><Relationship Id="rId132" Type="http://schemas.openxmlformats.org/officeDocument/2006/relationships/hyperlink" Target="https://www.sec.gov/Archives/edgar/data/1530979/000119312521130292/d27841dex41.htm" TargetMode="External"/><Relationship Id="rId133" Type="http://schemas.openxmlformats.org/officeDocument/2006/relationships/hyperlink" Target="https://www.sec.gov/Archives/edgar/data/1530979/000153097922000024/honestcoq4-21exhibit42.htm" TargetMode="External"/><Relationship Id="rId134" Type="http://schemas.openxmlformats.org/officeDocument/2006/relationships/hyperlink" Target="https://www.sec.gov/Archives/edgar/data/1530979/000119312521111539/d27841dex101.htm" TargetMode="External"/><Relationship Id="rId135" Type="http://schemas.openxmlformats.org/officeDocument/2006/relationships/hyperlink" Target="https://www.sec.gov/Archives/edgar/data/1530979/000119312521111539/d27841dex102.htm" TargetMode="External"/><Relationship Id="rId136" Type="http://schemas.openxmlformats.org/officeDocument/2006/relationships/hyperlink" Target="https://www.sec.gov/Archives/edgar/data/1530979/000119312521121653/d27841dex103.htm" TargetMode="External"/><Relationship Id="rId137" Type="http://schemas.openxmlformats.org/officeDocument/2006/relationships/hyperlink" Target="https://www.sec.gov/Archives/edgar/data/1530979/000119312521121653/d27841dex104.htm" TargetMode="External"/><Relationship Id="rId138" Type="http://schemas.openxmlformats.org/officeDocument/2006/relationships/hyperlink" Target="https://www.sec.gov/Archives/edgar/data/1530979/000119312521130292/d27841dex105.htm" TargetMode="External"/><Relationship Id="rId139" Type="http://schemas.openxmlformats.org/officeDocument/2006/relationships/hyperlink" Target="https://www.sec.gov/Archives/edgar/data/1530979/000119312521121653/d27841dex106.htm" TargetMode="External"/><Relationship Id="rId140" Type="http://schemas.openxmlformats.org/officeDocument/2006/relationships/hyperlink" Target="https://www.sec.gov/Archives/edgar/data/1530979/000119312521130292/d27841dex108.htm" TargetMode="External"/><Relationship Id="rId141" Type="http://schemas.openxmlformats.org/officeDocument/2006/relationships/hyperlink" Target="https://www.sec.gov/Archives/edgar/data/1530979/000119312521130292/d27841dex1016.htm" TargetMode="External"/><Relationship Id="rId142" Type="http://schemas.openxmlformats.org/officeDocument/2006/relationships/hyperlink" Target="https://www.sec.gov/Archives/edgar/data/1530979/000119312521111539/d27841dex1017.htm" TargetMode="External"/><Relationship Id="rId143" Type="http://schemas.openxmlformats.org/officeDocument/2006/relationships/hyperlink" Target="https://www.sec.gov/Archives/edgar/data/1530979/000119312521111539/d27841dex1018.htm" TargetMode="External"/><Relationship Id="rId144" Type="http://schemas.openxmlformats.org/officeDocument/2006/relationships/hyperlink" Target="https://www.sec.gov/Archives/edgar/data/1530979/000153097922000068/honestcoq1-22ex101swinchel.htm" TargetMode="External"/><Relationship Id="rId145" Type="http://schemas.openxmlformats.org/officeDocument/2006/relationships/hyperlink" Target="https://www.sec.gov/Archives/edgar/data/1530979/000153097923000065/honestcoq1-23ex101employme.htm" TargetMode="External"/><Relationship Id="rId147" Type="http://schemas.openxmlformats.org/officeDocument/2006/relationships/hyperlink" Target="https://www.sec.gov/Archives/edgar/data/1530979/000153097923000143/exhibit101-dlorettaexecuti.htm" TargetMode="External"/><Relationship Id="rId148" Type="http://schemas.openxmlformats.org/officeDocument/2006/relationships/hyperlink" Target="https://www.sec.gov/Archives/edgar/data/1530979/000153097923000143/exhibit102-kkennedyseparat.htm" TargetMode="External"/><Relationship Id="rId149" Type="http://schemas.openxmlformats.org/officeDocument/2006/relationships/hyperlink" Target="https://www.sec.gov/Archives/edgar/data/1530979/000153097923000013/honestcoexhibit101.htm" TargetMode="External"/><Relationship Id="rId150" Type="http://schemas.openxmlformats.org/officeDocument/2006/relationships/hyperlink" Target="https://www.sec.gov/Archives/edgar/data/1530979/000153097923000038/honest-q4x22exhibit108.htm" TargetMode="External"/><Relationship Id="rId151" Type="http://schemas.openxmlformats.org/officeDocument/2006/relationships/hyperlink" Target="https://www.sec.gov/Archives/edgar/data/1530979/000153097923000038/honestcoq4-22exhibit109.htm" TargetMode="External"/><Relationship Id="rId152" Type="http://schemas.openxmlformats.org/officeDocument/2006/relationships/hyperlink" Target="https://www.sec.gov/Archives/edgar/data/1530979/000153097923000036/honestcoq4-22exhibit101.htm" TargetMode="External"/><Relationship Id="rId153" Type="http://schemas.openxmlformats.org/officeDocument/2006/relationships/hyperlink" Target="https://www.sec.gov/Archives/edgar/data/1530979/000153097923000036/honestcoq4-22exhibit102.htm" TargetMode="External"/><Relationship Id="rId154" Type="http://schemas.openxmlformats.org/officeDocument/2006/relationships/hyperlink" Target="https://www.sec.gov/Archives/edgar/data/1530979/000153097923000038/exhibit211subsidiar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2024-03-08T08:15:29Z</dcterms:created>
  <dcterms:modified xsi:type="dcterms:W3CDTF">2024-03-08T08:15:29Z</dcterms:modified>
</cp:coreProperties>
</file>