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820" w:right="1620" w:hanging="3747"/>
        <w:spacing w:after="0" w:line="200" w:lineRule="auto"/>
        <w:tabs>
          <w:tab w:leader="none" w:pos="479"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36830</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131445</wp:posOffset>
            </wp:positionV>
            <wp:extent cx="1645920"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29210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840" w:type="dxa"/>
            <w:vAlign w:val="bottom"/>
          </w:tcPr>
          <w:p>
            <w:pPr>
              <w:jc w:val="center"/>
              <w:ind w:left="45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84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40" w:type="dxa"/>
            <w:vAlign w:val="bottom"/>
          </w:tcPr>
          <w:p>
            <w:pPr>
              <w:spacing w:after="0"/>
              <w:rPr>
                <w:sz w:val="18"/>
                <w:szCs w:val="18"/>
                <w:color w:val="auto"/>
              </w:rPr>
            </w:pPr>
          </w:p>
        </w:tc>
      </w:tr>
      <w:tr>
        <w:trPr>
          <w:trHeight w:val="238"/>
        </w:trPr>
        <w:tc>
          <w:tcPr>
            <w:tcW w:w="44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jc w:val="both"/>
        <w:ind w:firstLine="539"/>
        <w:spacing w:after="0" w:line="19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jc w:val="both"/>
        <w:ind w:firstLine="539"/>
        <w:spacing w:after="0" w:line="1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3" w:lineRule="exact"/>
        <w:rPr>
          <w:sz w:val="24"/>
          <w:szCs w:val="24"/>
          <w:color w:val="auto"/>
        </w:rPr>
      </w:pPr>
    </w:p>
    <w:p>
      <w:pPr>
        <w:ind w:right="280" w:firstLine="539"/>
        <w:spacing w:after="0" w:line="21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50" w:orient="portrait"/>
          <w:cols w:equalWidth="0" w:num="1">
            <w:col w:w="11240"/>
          </w:cols>
          <w:pgMar w:left="320" w:top="873" w:right="339" w:bottom="0" w:gutter="0" w:footer="0" w:header="0"/>
        </w:sectPr>
      </w:pPr>
    </w:p>
    <w:p>
      <w:pPr>
        <w:spacing w:after="0" w:line="372" w:lineRule="exact"/>
        <w:rPr>
          <w:sz w:val="24"/>
          <w:szCs w:val="24"/>
          <w:color w:val="auto"/>
        </w:rPr>
      </w:pPr>
    </w:p>
    <w:p>
      <w:pPr>
        <w:ind w:left="500"/>
        <w:spacing w:after="0" w:line="207" w:lineRule="exact"/>
        <w:tabs>
          <w:tab w:leader="none" w:pos="882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50" w:orient="portrait"/>
          <w:cols w:equalWidth="0" w:num="1">
            <w:col w:w="11240"/>
          </w:cols>
          <w:pgMar w:left="320" w:top="873"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May 2, 2025, the registrant had 110,237,061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1014730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50165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599"/>
          </w:cols>
          <w:pgMar w:left="860" w:top="364" w:right="1440"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(Deficit)</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Under Senior Securities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40" w:top="765" w:right="479" w:bottom="4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93345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5" w:right="479" w:bottom="411"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and other factors set forth in other parts of this Quarterly Report on Form 10-Q as well as in Part I, Item 1A, “Risk Factors” in our Annual Report on Form 10-K for the fiscal year ended December 31, 2024 (the “Annual Report”), filed with the Securities and Exchange Commission (“SEC”) on February 26, 2025.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maintain profitability; our ability to continue to launch new products; our ability to attract and retain customers; our ability to execute on and to continue driving benefit from our Transformation Pillars of Brand Maximization, Margin Enhancement, and Operating Discipline; our marketing strategies; our continued focus on research, development and innovation; our expectations regarding consumer demand and the timing and amount of orders from our largest retail customers; the effect of macroeconomic factors, including supply chain disruptions, tariffs, and inflationary pressures;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50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040" w:type="dxa"/>
            <w:vAlign w:val="bottom"/>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9"/>
              </w:rPr>
              <w:t>The Honest Company, Inc.</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0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43,476</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247,393</w:t>
            </w:r>
          </w:p>
        </w:tc>
        <w:tc>
          <w:tcPr>
            <w:tcW w:w="0" w:type="dxa"/>
            <w:vAlign w:val="bottom"/>
          </w:tcPr>
          <w:p>
            <w:pPr>
              <w:spacing w:after="0"/>
              <w:rPr>
                <w:sz w:val="1"/>
                <w:szCs w:val="1"/>
                <w:color w:val="auto"/>
              </w:rPr>
            </w:pPr>
          </w:p>
        </w:tc>
      </w:tr>
      <w:tr>
        <w:trPr>
          <w:trHeight w:val="2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59,889</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liabilities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73,086</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Commitments and contingencies (Note </w:t>
            </w:r>
            <w:r>
              <w:rPr>
                <w:rFonts w:ascii="Times New Roman" w:cs="Times New Roman" w:eastAsia="Times New Roman" w:hAnsi="Times New Roman"/>
                <w:sz w:val="19"/>
                <w:szCs w:val="19"/>
                <w:color w:val="auto"/>
              </w:rPr>
              <w:t>7</w:t>
            </w: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0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March 31, 2025 and</w:t>
            </w: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none issued or outstanding as of March 31, 2025 and December 31, 2024</w:t>
            </w:r>
          </w:p>
        </w:tc>
        <w:tc>
          <w:tcPr>
            <w:tcW w:w="46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March 31, 2025 and</w:t>
            </w: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110,488,696 and 109,159,697 shares issued and outstanding as of</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659,488</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247,393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p>
      <w:pPr>
        <w:spacing w:after="0" w:line="3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22860</wp:posOffset>
            </wp:positionV>
            <wp:extent cx="1860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86,217</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0" w:type="dxa"/>
            <w:vAlign w:val="bottom"/>
          </w:tcPr>
          <w:p>
            <w:pPr>
              <w:spacing w:after="0"/>
              <w:rPr>
                <w:sz w:val="1"/>
                <w:szCs w:val="1"/>
                <w:color w:val="auto"/>
              </w:rPr>
            </w:pPr>
          </w:p>
        </w:tc>
      </w:tr>
      <w:tr>
        <w:trPr>
          <w:trHeight w:val="270"/>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70"/>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302"/>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109,552,550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96,273,168</w:t>
            </w:r>
          </w:p>
        </w:tc>
        <w:tc>
          <w:tcPr>
            <w:tcW w:w="0" w:type="dxa"/>
            <w:vAlign w:val="bottom"/>
          </w:tcPr>
          <w:p>
            <w:pPr>
              <w:spacing w:after="0"/>
              <w:rPr>
                <w:sz w:val="1"/>
                <w:szCs w:val="1"/>
                <w:color w:val="auto"/>
              </w:rPr>
            </w:pPr>
          </w:p>
        </w:tc>
      </w:tr>
      <w:tr>
        <w:trPr>
          <w:trHeight w:val="270"/>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114,571,119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96,273,168</w:t>
            </w:r>
          </w:p>
        </w:tc>
        <w:tc>
          <w:tcPr>
            <w:tcW w:w="0" w:type="dxa"/>
            <w:vAlign w:val="bottom"/>
          </w:tcPr>
          <w:p>
            <w:pPr>
              <w:spacing w:after="0"/>
              <w:rPr>
                <w:sz w:val="1"/>
                <w:szCs w:val="1"/>
                <w:color w:val="auto"/>
              </w:rPr>
            </w:pPr>
          </w:p>
        </w:tc>
      </w:tr>
      <w:tr>
        <w:trPr>
          <w:trHeight w:val="297"/>
        </w:trPr>
        <w:tc>
          <w:tcPr>
            <w:tcW w:w="8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80" w:type="dxa"/>
            <w:vAlign w:val="bottom"/>
            <w:gridSpan w:val="9"/>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5"/>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auto"/>
            </w:tcBorders>
            <w:gridSpan w:val="5"/>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7"/>
                <w:szCs w:val="17"/>
                <w:color w:val="auto"/>
              </w:rPr>
            </w:pPr>
          </w:p>
        </w:tc>
        <w:tc>
          <w:tcPr>
            <w:tcW w:w="9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7"/>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95,868,421</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602,198</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(479,068)</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1,174,282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97,168,703</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605,229</w:t>
            </w:r>
          </w:p>
        </w:tc>
        <w:tc>
          <w:tcPr>
            <w:tcW w:w="8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(480,471)</w:t>
            </w:r>
          </w:p>
        </w:tc>
        <w:tc>
          <w:tcPr>
            <w:tcW w:w="8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5"/>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7"/>
                <w:szCs w:val="17"/>
                <w:color w:val="auto"/>
              </w:rPr>
            </w:pPr>
          </w:p>
        </w:tc>
        <w:tc>
          <w:tcPr>
            <w:tcW w:w="9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109,159,697</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659,488</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(485,192)</w:t>
            </w:r>
          </w:p>
        </w:tc>
        <w:tc>
          <w:tcPr>
            <w:tcW w:w="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174,307</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110,488,696</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662,284</w:t>
            </w:r>
          </w:p>
        </w:tc>
        <w:tc>
          <w:tcPr>
            <w:tcW w:w="8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(481,938)</w:t>
            </w:r>
          </w:p>
        </w:tc>
        <w:tc>
          <w:tcPr>
            <w:tcW w:w="8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20" w:top="765" w:right="101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40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 operating</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ROU assets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long-term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jc w:val="center"/>
        <w:spacing w:after="0" w:line="235" w:lineRule="auto"/>
        <w:rPr>
          <w:sz w:val="20"/>
          <w:szCs w:val="20"/>
          <w:color w:val="auto"/>
        </w:rPr>
      </w:pPr>
      <w:r>
        <w:rPr>
          <w:rFonts w:ascii="Times New Roman" w:cs="Times New Roman" w:eastAsia="Times New Roman" w:hAnsi="Times New Roman"/>
          <w:sz w:val="18"/>
          <w:szCs w:val="18"/>
          <w:i w:val="1"/>
          <w:iCs w:val="1"/>
          <w:color w:val="auto"/>
        </w:rPr>
        <w:t>(Unaudited)</w:t>
      </w:r>
    </w:p>
    <w:p>
      <w:pPr>
        <w:spacing w:after="0" w:line="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9" w:lineRule="exact"/>
        <w:rPr>
          <w:sz w:val="20"/>
          <w:szCs w:val="20"/>
          <w:color w:val="auto"/>
        </w:rPr>
      </w:pPr>
    </w:p>
    <w:p>
      <w:pPr>
        <w:ind w:right="600" w:firstLine="648"/>
        <w:spacing w:after="0" w:line="242"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w:t>
      </w:r>
    </w:p>
    <w:p>
      <w:pPr>
        <w:spacing w:after="0" w:line="207" w:lineRule="exact"/>
        <w:rPr>
          <w:sz w:val="20"/>
          <w:szCs w:val="20"/>
          <w:color w:val="auto"/>
        </w:rPr>
      </w:pPr>
    </w:p>
    <w:p>
      <w:pPr>
        <w:ind w:right="7540" w:firstLine="8"/>
        <w:spacing w:after="0" w:line="518"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2024.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2024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spacing w:after="0" w:line="175"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Certain reclassifications to the Company's previously reported financial information have been made to conform to the current period presentation. The Company made reclassifications to the condensed consolidated statement of cash flows, including a reclassification of $1.6 million was made from "Other" to "Amortization of operating right-of-use ("ROU") assets" in the "adjustments to reconcile net loss to net cash provided by (used in) operating activities" section of the consolidated statements of cash flow for the three months ended March 31, 2024 to conform to the current year presentation, among other immaterial reclassifications.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43"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208"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The Company evaluates performance based on consolidated net income (loss).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spacing w:after="0" w:line="213" w:lineRule="exact"/>
        <w:rPr>
          <w:sz w:val="20"/>
          <w:szCs w:val="20"/>
          <w:color w:val="auto"/>
        </w:rPr>
      </w:pPr>
    </w:p>
    <w:p>
      <w:pPr>
        <w:jc w:val="both"/>
        <w:ind w:right="80" w:firstLine="648"/>
        <w:spacing w:after="0" w:line="245" w:lineRule="auto"/>
        <w:rPr>
          <w:sz w:val="20"/>
          <w:szCs w:val="20"/>
          <w:color w:val="auto"/>
        </w:rPr>
      </w:pPr>
      <w:r>
        <w:rPr>
          <w:rFonts w:ascii="Times New Roman" w:cs="Times New Roman" w:eastAsia="Times New Roman" w:hAnsi="Times New Roman"/>
          <w:sz w:val="18"/>
          <w:szCs w:val="18"/>
          <w:color w:val="auto"/>
        </w:rPr>
        <w:t>The Company does not regularly provide the CODM with more detailed segment expense information beyond what is included in the condensed consolidated statements of comprehensive income (loss). The significant expense categories which are used to manage operations are those reflected in the Company's condensed consolidated statements of comprehensive income (loss). Refer to the condensed consolidated statements of comprehensive income (loss) included in the consolidated financial statements included elsewhere in this Quarterly Report on Form 10-Q for more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9" w:name="page10"/>
    <w:bookmarkEnd w:id="9"/>
    <w:p>
      <w:pPr>
        <w:ind w:right="80"/>
        <w:spacing w:after="0" w:line="245" w:lineRule="auto"/>
        <w:rPr>
          <w:sz w:val="20"/>
          <w:szCs w:val="20"/>
          <w:color w:val="auto"/>
        </w:rPr>
      </w:pPr>
      <w:r>
        <w:rPr>
          <w:rFonts w:ascii="Times New Roman" w:cs="Times New Roman" w:eastAsia="Times New Roman" w:hAnsi="Times New Roman"/>
          <w:sz w:val="18"/>
          <w:szCs w:val="18"/>
          <w:color w:val="auto"/>
        </w:rPr>
        <w:t>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spacing w:after="0" w:line="20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in context with the information reasonably available to the Company as of March 31, 2025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The allowance for credit losses was $0.4 million and $0.4 million as of March 31, 2025 and December 31,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6" w:lineRule="exact"/>
        <w:rPr>
          <w:sz w:val="20"/>
          <w:szCs w:val="20"/>
          <w:color w:val="auto"/>
        </w:rPr>
      </w:pPr>
    </w:p>
    <w:p>
      <w:pPr>
        <w:jc w:val="both"/>
        <w:ind w:left="740" w:hanging="728"/>
        <w:spacing w:after="0" w:line="234"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2" w:lineRule="exact"/>
        <w:rPr>
          <w:sz w:val="20"/>
          <w:szCs w:val="20"/>
          <w:color w:val="auto"/>
        </w:rPr>
      </w:pPr>
    </w:p>
    <w:p>
      <w:pPr>
        <w:ind w:left="740" w:right="20" w:hanging="728"/>
        <w:spacing w:after="0" w:line="239"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of such assets is measured using Level 3 inputs in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39" w:lineRule="exact"/>
        <w:rPr>
          <w:sz w:val="20"/>
          <w:szCs w:val="20"/>
          <w:color w:val="auto"/>
        </w:rPr>
      </w:pPr>
    </w:p>
    <w:p>
      <w:pPr>
        <w:ind w:right="26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This guidance requires consistent categories and greater disaggregation of information in the rate reconciliation and disclosures of income taxes paid by jurisdiction. For public business entities, the amendments in this update are effective for annual periods</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0" w:name="page11"/>
    <w:bookmarkEnd w:id="10"/>
    <w:p>
      <w:pPr>
        <w:ind w:right="100"/>
        <w:spacing w:after="0" w:line="266" w:lineRule="auto"/>
        <w:rPr>
          <w:sz w:val="20"/>
          <w:szCs w:val="20"/>
          <w:color w:val="auto"/>
        </w:rPr>
      </w:pPr>
      <w:r>
        <w:rPr>
          <w:rFonts w:ascii="Times New Roman" w:cs="Times New Roman" w:eastAsia="Times New Roman" w:hAnsi="Times New Roman"/>
          <w:sz w:val="18"/>
          <w:szCs w:val="18"/>
          <w:color w:val="auto"/>
        </w:rPr>
        <w:t>beginning after December 15, 2024. The adoption of ASU No. 2023-09 is not expected to have a material impact on the Company’s consolidated financial statements or disclosures.</w:t>
      </w:r>
    </w:p>
    <w:p>
      <w:pPr>
        <w:spacing w:after="0" w:line="187"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update is to improve the disclosures of components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spacing w:after="0" w:line="19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33333"/>
        </w:rPr>
        <w:t>Revenue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and Third-Party Ecommerce</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Direct-to-Consumer</w:t>
      </w:r>
    </w:p>
    <w:p>
      <w:pPr>
        <w:spacing w:after="0" w:line="24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11% and 15%, respectively, of the Company's total revenue during the three months ended March 31, 2025 and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Non-Monetary Transactions</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three months ended March 31, 2025, the Company did not enter into any new trade agreements.</w:t>
      </w:r>
    </w:p>
    <w:p>
      <w:pPr>
        <w:spacing w:after="0" w:line="211"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condensed consolidated statements of comprehensive income (loss) as they become determinable. For the three months ended March 31, 2025 and 2024, the Company recorded no impairment losses related to these credits and used an aggregate of $0.4 million and $19 thousand of credits, respectively.</w:t>
      </w:r>
    </w:p>
    <w:p>
      <w:pPr>
        <w:spacing w:after="0" w:line="22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1" w:name="page12"/>
    <w:bookmarkEnd w:id="11"/>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1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2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income (loss). For the three months ended March 31, 2025 and 2024, the commitment fee incurred was immaterial. As of March 31, 2025, there were $2.5 million of outstanding letters of credit and $30.3 million available to be drawn upon. As of March 31, 2025, there was no outstanding balance under the 2023 Credit Facility.</w:t>
      </w:r>
    </w:p>
    <w:p>
      <w:pPr>
        <w:spacing w:after="0" w:line="213" w:lineRule="exact"/>
        <w:rPr>
          <w:sz w:val="20"/>
          <w:szCs w:val="20"/>
          <w:color w:val="auto"/>
        </w:rPr>
      </w:pPr>
    </w:p>
    <w:p>
      <w:pPr>
        <w:jc w:val="both"/>
        <w:ind w:right="280" w:firstLine="648"/>
        <w:spacing w:after="0"/>
        <w:rPr>
          <w:sz w:val="20"/>
          <w:szCs w:val="20"/>
          <w:color w:val="auto"/>
        </w:rPr>
      </w:pPr>
      <w:r>
        <w:rPr>
          <w:rFonts w:ascii="Times New Roman" w:cs="Times New Roman" w:eastAsia="Times New Roman" w:hAnsi="Times New Roman"/>
          <w:sz w:val="18"/>
          <w:szCs w:val="18"/>
          <w:color w:val="auto"/>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spacing w:after="0" w:line="21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spacing w:after="0" w:line="204"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2025, the Company is in compliance with all covenants under the 2023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2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7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securities litigation settlement</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$27 thousand and $0.3 million of executive transition related expenses as of March 31, 2025 and December 31, 2024, respectively.</w:t>
      </w:r>
    </w:p>
    <w:p>
      <w:pPr>
        <w:spacing w:after="0" w:line="11" w:lineRule="exact"/>
        <w:rPr>
          <w:rFonts w:ascii="Times New Roman" w:cs="Times New Roman" w:eastAsia="Times New Roman" w:hAnsi="Times New Roman"/>
          <w:sz w:val="11"/>
          <w:szCs w:val="11"/>
          <w:color w:val="auto"/>
        </w:rPr>
      </w:pPr>
    </w:p>
    <w:p>
      <w:pPr>
        <w:ind w:left="160" w:hanging="146"/>
        <w:spacing w:after="0"/>
        <w:tabs>
          <w:tab w:leader="none" w:pos="1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short-term operating lease liabilities. Refer to Note 11, "Leases" included in these consolidated financial statements for more information on leases.</w:t>
      </w:r>
    </w:p>
    <w:p>
      <w:pPr>
        <w:spacing w:after="0" w:line="8" w:lineRule="exact"/>
        <w:rPr>
          <w:rFonts w:ascii="Times New Roman" w:cs="Times New Roman" w:eastAsia="Times New Roman" w:hAnsi="Times New Roman"/>
          <w:sz w:val="11"/>
          <w:szCs w:val="11"/>
          <w:color w:val="auto"/>
        </w:rPr>
      </w:pPr>
    </w:p>
    <w:p>
      <w:pPr>
        <w:ind w:left="20" w:right="100" w:hanging="6"/>
        <w:spacing w:after="0" w:line="246" w:lineRule="auto"/>
        <w:tabs>
          <w:tab w:leader="none" w:pos="169"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accrued securities litigation settlement will be fully funded by the Company’s insurance carriers. Refer to Note 7, "Commitments and Contingencies" included in these consolidated financial statements for more information regarding the securities litigation settlement.</w:t>
      </w:r>
    </w:p>
    <w:p>
      <w:pPr>
        <w:spacing w:after="0" w:line="253" w:lineRule="exact"/>
        <w:rPr>
          <w:rFonts w:ascii="Times New Roman" w:cs="Times New Roman" w:eastAsia="Times New Roman" w:hAnsi="Times New Roman"/>
          <w:sz w:val="11"/>
          <w:szCs w:val="11"/>
          <w:color w:val="auto"/>
        </w:rPr>
      </w:pPr>
    </w:p>
    <w:p>
      <w:pPr>
        <w:ind w:left="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b w:val="1"/>
          <w:bCs w:val="1"/>
          <w:color w:val="auto"/>
        </w:rPr>
        <w:t>7.  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w:t>
      </w:r>
    </w:p>
    <w:p>
      <w:pPr>
        <w:spacing w:after="0" w:line="20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On January 23, 2025, the Court granted the Company's motion for summary judgment. On April 8, 2025, CAPA served its Notice of Appeal in the matter.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(“Securities Litigation Case”).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amended consolidated complaint with respect to the claims against them. On January 31, 2024, that motion to dismiss was granted by the court to the extent those additional defendants challenged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ind w:right="20"/>
        <w:spacing w:after="0" w:line="236" w:lineRule="auto"/>
        <w:rPr>
          <w:sz w:val="20"/>
          <w:szCs w:val="20"/>
          <w:color w:val="auto"/>
        </w:rPr>
      </w:pPr>
      <w:r>
        <w:rPr>
          <w:rFonts w:ascii="Times New Roman" w:cs="Times New Roman" w:eastAsia="Times New Roman" w:hAnsi="Times New Roman"/>
          <w:sz w:val="18"/>
          <w:szCs w:val="18"/>
          <w:color w:val="auto"/>
        </w:rPr>
        <w:t>the claims as untimely. The court granted Lead Plaintiff leave to amend within fourteen days of that order. On February 14, 2024, the Lead Plaintiff filed a second amended consolidated complaint against the additional defendants. The additional defendants filed a motion to dismiss the second amended consolidated complaint, which was denied by the court on April 22, 2024. On January 21, 2025, the parties filed a joint stipulation stating that they had reached an agreement in principle to fully settle all pending claims in the action and asking the court to stay the case so the parties could have additional time to negotiate the terms of a formal stipulation of settlement and related documentation. The court entered an order staying the case on the same day. On April 14, 2025, the court preliminarily approved the parties’ settlement. Under the terms of the settlement, in exchange for the release and dismissal with prejudice of all claims against the defendants in the second amended consolidated complaint, we have agreed to pay $20,000,000 to resolve the dispute, to be fully funded by the Company’s insurance carriers. The Company has recorded the settlement amount of $20,000,000 within accrued expenses and a corresponding insurance recovery of $20,000,000 within prepaids and other current assets related to the legal settlement on the consolidated balance sheet as of March 31, 2025. The determination that the recorded insurance recovery receivable is probable of collection is based on the terms of the applicable insurance policies, settlement agreement, and communications with the insurers. The proposed settlement does not constitute an admission of fault or wrongdoing by the Company, the named individual defendants, or the underwriters. The proposed settlement remains subject to final approval by the Court and certain other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w:t>
      </w:r>
    </w:p>
    <w:p>
      <w:pPr>
        <w:spacing w:after="0" w:line="214"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These matters are in the preliminary stages of litigation with uncertain outcomes at this time. Therefore, the Company cannot estimate the probability of loss or make an estimate of the loss or range of loss in these matters.</w:t>
      </w:r>
    </w:p>
    <w:p>
      <w:pPr>
        <w:spacing w:after="0" w:line="21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2025 and December 31, 2024,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March 31, 2025 and December 31, 2024,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24" w:lineRule="exact"/>
        <w:rPr>
          <w:sz w:val="20"/>
          <w:szCs w:val="20"/>
          <w:color w:val="auto"/>
        </w:rPr>
      </w:pPr>
    </w:p>
    <w:p>
      <w:pPr>
        <w:ind w:right="8740" w:firstLine="14"/>
        <w:spacing w:after="0" w:line="534" w:lineRule="auto"/>
        <w:tabs>
          <w:tab w:leader="none" w:pos="36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4,985,886</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(650,750)</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4,260,136</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2025, 4,356,092 additional shares were reserved for issuance pursuant to this provision. The maximum number of shares of the Company’s common stock that may be issued on the exercise of ISOs under its 2021 Plan is 75,100,000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March 31, 2025, there were 159,961 shares available for future grant under the 2023 Inducement Plan.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16, 2025, the Company granted 115,122 RSUs to the Senior Vice President of Supply Chain under the 2023 Inducement Plan.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2021 Equity Incentive Plan and the 2023 Inducement Plan:</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 Average Grant Date Fair</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RSUs at December 31, 2024</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726,573</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6,956,604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RSUs at March 31, 2025</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755,870</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7,852,225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March 31, 2025, there was $26.5 million of unrecognized stock-based compensation expense related to unvested RSUs, which is expected to be recognized over a weighted-average period of 2.7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2025, 1,089,023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14"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months ended March 31, 2025, shares were purchased under the 2021 ESPP. As of March 31, 2025, the Company had 3,616,908 remaining authorized shares available for purchase.</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5" w:name="page16"/>
    <w:bookmarkEnd w:id="1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54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r>
      <w:tr>
        <w:trPr>
          <w:trHeight w:val="27"/>
        </w:trPr>
        <w:tc>
          <w:tcPr>
            <w:tcW w:w="57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70.18%</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$2.56</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RSU awards under the 2021 Equity Incentive Plan and the 2023 Inducement Plan, 2021 ESPP purchases and stock options, as applicable,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23"/>
                <w:szCs w:val="23"/>
                <w:color w:val="auto"/>
              </w:rPr>
            </w:pP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80" w:hanging="366"/>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common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4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109,552,550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96,273,168</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dilutive RSUs</w:t>
            </w:r>
          </w:p>
        </w:tc>
        <w:tc>
          <w:tcPr>
            <w:tcW w:w="4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4,727,055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dilutive stock options</w:t>
            </w:r>
          </w:p>
        </w:tc>
        <w:tc>
          <w:tcPr>
            <w:tcW w:w="4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114,571,119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96,273,168</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6" w:name="page17"/>
    <w:bookmarkEnd w:id="16"/>
    <w:p>
      <w:pPr>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36830</wp:posOffset>
            </wp:positionV>
            <wp:extent cx="2614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40" w:type="dxa"/>
            <w:vAlign w:val="bottom"/>
            <w:gridSpan w:val="2"/>
          </w:tcPr>
          <w:p>
            <w:pPr>
              <w:ind w:left="78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13,161,255</w:t>
            </w:r>
          </w:p>
        </w:tc>
      </w:tr>
      <w:tr>
        <w:trPr>
          <w:trHeight w:val="27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310,362</w:t>
            </w:r>
          </w:p>
        </w:tc>
        <w:tc>
          <w:tcPr>
            <w:tcW w:w="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11,718,223</w:t>
            </w:r>
          </w:p>
        </w:tc>
      </w:tr>
      <w:tr>
        <w:trPr>
          <w:trHeight w:val="27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w:t>
            </w:r>
          </w:p>
        </w:tc>
      </w:tr>
      <w:tr>
        <w:trPr>
          <w:trHeight w:val="27"/>
        </w:trPr>
        <w:tc>
          <w:tcPr>
            <w:tcW w:w="7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3"/>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382,115</w:t>
            </w:r>
          </w:p>
        </w:tc>
        <w:tc>
          <w:tcPr>
            <w:tcW w:w="8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24,950,620</w:t>
            </w:r>
          </w:p>
        </w:tc>
      </w:tr>
      <w:tr>
        <w:trPr>
          <w:trHeight w:val="20"/>
        </w:trPr>
        <w:tc>
          <w:tcPr>
            <w:tcW w:w="70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spacing w:after="0" w:line="212"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208"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has not recorded any uncertain tax positions and has not recognized interest or penalties in the condensed consolidated statements of comprehensive income (loss).</w:t>
      </w:r>
    </w:p>
    <w:p>
      <w:pPr>
        <w:spacing w:after="0" w:line="185"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three years.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2"/>
                <w:szCs w:val="22"/>
                <w:color w:val="auto"/>
              </w:rPr>
            </w:pPr>
          </w:p>
        </w:tc>
        <w:tc>
          <w:tcPr>
            <w:tcW w:w="3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condensed consolidated balance sheets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460" w:type="dxa"/>
            <w:vAlign w:val="bottom"/>
          </w:tcPr>
          <w:p>
            <w:pPr>
              <w:spacing w:after="0"/>
              <w:rPr>
                <w:sz w:val="20"/>
                <w:szCs w:val="20"/>
                <w:color w:val="auto"/>
              </w:rPr>
            </w:pPr>
          </w:p>
        </w:tc>
        <w:tc>
          <w:tcPr>
            <w:tcW w:w="1900" w:type="dxa"/>
            <w:vAlign w:val="bottom"/>
            <w:gridSpan w:val="2"/>
          </w:tcPr>
          <w:p>
            <w:pPr>
              <w:jc w:val="right"/>
              <w:ind w:right="489"/>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3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three months ended March 31, 2025 was as follows:</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70"/>
        </w:trPr>
        <w:tc>
          <w:tcPr>
            <w:tcW w:w="88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three months ended March 31, 2025 for either finance or operating leases.</w:t>
      </w:r>
    </w:p>
    <w:p>
      <w:pPr>
        <w:spacing w:after="0" w:line="185"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14, 2025, the court preliminarily approved the parties’ settlement in the Securities Litigation Case. Refer to Note 7, "Commitments and Contingencies" included in these consolidated financial statements for more information regarding the Securities Litigation Case settlement.</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May 7, 2025, the Company announced the appointment of Curtiss Bruce as the Company’s Chief Financial Officer, effective June 2, 2025 (the “Effective Date”). A copy of the Bruce Employment Agreement is attached as Exhibit 10.1 to this Quarterly Report. Mr. Loretta will retire as of the Effective Date from his current role as Chief Financial Officer of the Company, and his employment with the Company will terminate on June 16,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(the “Annual Report”), filed with the Securities and Exchange Commission (“SEC”) on February 26, 2025.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personal care company dedicated to creating cleanly-formulated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seeking to ensure our products are available wherever our consumers shop. Our differentiated platform positions us for continued growth through our trusted brand, award-winning multi-category product offerings and omnichannel availability.</w:t>
      </w:r>
    </w:p>
    <w:p>
      <w:pPr>
        <w:spacing w:after="0" w:line="21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integrated multi-category product portfolio is intentionally designed to serve our consumers every day, at every age and through every life stage. We believe this drives loyalty, increases our consumer wallet share and generates attractive consumer lifetime value.</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consumers are modern, aspirational and style-forward and that they seek out high quality, effective and thoughtfully-designed products. We believe that they are very choiceful about the products that they purchase and use. And, we believe they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digital content. Our direct connection with our community enables us to understand what consumers’ needs are and inspires our product innovation pipeline, generating a significant competitive advantage over more traditional consumer packaged goods (“CPG”) peers.</w:t>
      </w:r>
    </w:p>
    <w:p>
      <w:pPr>
        <w:spacing w:after="0" w:line="21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omnichannel presence seeks to meet consumers wherever they want to shop, balancing deep consumer connection with broad convenience and availability. Since our launch, we have built a well-integrated omnichannel presence by expanding our product availability, including the launch of strategic partnerships with Target, Amazon and Walmart in 2014, 2017 and 2022, respectively. We maintain direct relationships with our consumers via our flagship digital platform, Honest.com, which allows us to influence brand experience and better understand consumer preferences and behavior. We also increase the availability of our products to more consumers through our leading retailers and their websites, and third-party ecommerce sites. Our integrated omnichannel presence provides meaningful benefits to our consumers which we believe are not easily replicated by our competitors.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Initiative</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continue driving benefits from its three Transformation Pillars of Brand Maximization, Margin Enhancement,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Discipline:</w:t>
      </w:r>
    </w:p>
    <w:p>
      <w:pPr>
        <w:spacing w:after="0" w:line="219" w:lineRule="exact"/>
        <w:rPr>
          <w:sz w:val="20"/>
          <w:szCs w:val="20"/>
          <w:color w:val="auto"/>
        </w:rPr>
      </w:pPr>
    </w:p>
    <w:p>
      <w:pPr>
        <w:ind w:left="600" w:hanging="18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Maximization</w:t>
      </w:r>
    </w:p>
    <w:p>
      <w:pPr>
        <w:spacing w:after="0" w:line="225" w:lineRule="exact"/>
        <w:rPr>
          <w:rFonts w:ascii="Times New Roman" w:cs="Times New Roman" w:eastAsia="Times New Roman" w:hAnsi="Times New Roman"/>
          <w:sz w:val="18"/>
          <w:szCs w:val="18"/>
          <w:color w:val="auto"/>
        </w:rPr>
      </w:pPr>
    </w:p>
    <w:p>
      <w:pPr>
        <w:ind w:left="1060" w:right="760" w:hanging="323"/>
        <w:spacing w:after="0" w:line="246" w:lineRule="auto"/>
        <w:tabs>
          <w:tab w:leader="none" w:pos="10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strength of the Honest brand to drive growth through greater availability, expanded household penetration, product innovation, margin-accretive products, and marketing effectiveness.</w:t>
      </w:r>
    </w:p>
    <w:p>
      <w:pPr>
        <w:ind w:left="1060" w:right="260" w:hanging="323"/>
        <w:spacing w:after="0" w:line="242" w:lineRule="auto"/>
        <w:tabs>
          <w:tab w:leader="none" w:pos="1055"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Pricing strategy as a driver of revenue is also a component of Brand Maximization. This includes the ongoing benefit of pricing increases across the majority of our product portfolio in 2022 and 2023.</w:t>
      </w:r>
    </w:p>
    <w:p>
      <w:pPr>
        <w:spacing w:after="0" w:line="209" w:lineRule="exact"/>
        <w:rPr>
          <w:rFonts w:ascii="Arial" w:cs="Arial" w:eastAsia="Arial" w:hAnsi="Arial"/>
          <w:sz w:val="18"/>
          <w:szCs w:val="18"/>
          <w:color w:val="auto"/>
        </w:rPr>
      </w:pPr>
    </w:p>
    <w:p>
      <w:pPr>
        <w:ind w:left="600" w:hanging="18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Enhancement</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Focusing our resources on North America, which included the exit of our low-margin business in Europe and Asia.</w:t>
      </w:r>
    </w:p>
    <w:p>
      <w:pPr>
        <w:spacing w:after="0" w:line="14" w:lineRule="exact"/>
        <w:rPr>
          <w:rFonts w:ascii="Arial" w:cs="Arial" w:eastAsia="Arial" w:hAnsi="Arial"/>
          <w:sz w:val="18"/>
          <w:szCs w:val="18"/>
          <w:color w:val="auto"/>
        </w:rPr>
      </w:pPr>
    </w:p>
    <w:p>
      <w:pPr>
        <w:ind w:left="1060" w:hanging="323"/>
        <w:spacing w:after="0" w:line="233" w:lineRule="auto"/>
        <w:tabs>
          <w:tab w:leader="none" w:pos="1060"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Exiting low-margin elements of the cleaning and sanitization business in 2023.</w:t>
      </w:r>
    </w:p>
    <w:p>
      <w:pPr>
        <w:ind w:left="1060" w:hanging="323"/>
        <w:spacing w:after="0" w:line="234" w:lineRule="auto"/>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 inventory, or stock-keeping unit (“SKU”), rationalization program in 2023.</w:t>
      </w:r>
    </w:p>
    <w:p>
      <w:pPr>
        <w:ind w:left="1060" w:right="380" w:hanging="323"/>
        <w:spacing w:after="0" w:line="234" w:lineRule="auto"/>
        <w:tabs>
          <w:tab w:leader="none" w:pos="1055"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Re-directing resources to accelerate cost savings, including optimization of our contract manufacturing strategies, reduced shipping and logistic costs, and product costs.</w:t>
      </w:r>
    </w:p>
    <w:p>
      <w:pPr>
        <w:ind w:left="1060" w:right="540" w:hanging="323"/>
        <w:spacing w:after="0" w:line="243" w:lineRule="auto"/>
        <w:tabs>
          <w:tab w:leader="none" w:pos="10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Realigning resources to reflect the prioritization of higher-margin opportunities, including strategic shift away from our lower margin channels, including our direct-to-consumer (“DTC”) business.</w:t>
      </w:r>
    </w:p>
    <w:p>
      <w:pPr>
        <w:spacing w:after="0" w:line="208"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Discipline</w:t>
      </w:r>
    </w:p>
    <w:p>
      <w:pPr>
        <w:sectPr>
          <w:pgSz w:w="11900" w:h="16838" w:orient="portrait"/>
          <w:cols w:equalWidth="0" w:num="1">
            <w:col w:w="11200"/>
          </w:cols>
          <w:pgMar w:left="320" w:top="125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19" w:name="page20"/>
    <w:bookmarkEnd w:id="19"/>
    <w:p>
      <w:pPr>
        <w:ind w:left="1060" w:hanging="323"/>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improving our executional excellence in how we operate as an enterprise.</w:t>
      </w:r>
    </w:p>
    <w:p>
      <w:pPr>
        <w:spacing w:after="0" w:line="15" w:lineRule="exact"/>
        <w:rPr>
          <w:rFonts w:ascii="Times New Roman" w:cs="Times New Roman" w:eastAsia="Times New Roman" w:hAnsi="Times New Roman"/>
          <w:sz w:val="18"/>
          <w:szCs w:val="18"/>
          <w:color w:val="auto"/>
        </w:rPr>
      </w:pPr>
    </w:p>
    <w:p>
      <w:pPr>
        <w:ind w:left="1060" w:hanging="323"/>
        <w:spacing w:after="0" w:line="234"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culture that emphasizes returns across growth drivers, including marketing, trade promotion, and innovation.</w:t>
      </w:r>
    </w:p>
    <w:p>
      <w:pPr>
        <w:ind w:left="1060" w:hanging="323"/>
        <w:spacing w:after="0"/>
        <w:tabs>
          <w:tab w:leader="none" w:pos="10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Managing working capital including the reduction of inventory.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80" w:firstLine="648"/>
        <w:spacing w:after="0"/>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Efficiency</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Execute Increasing Physical Availability</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core of our growth strategy centers around increasing physical availability of our products through expanded stores, doors, aisles, shelves and facings.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With the higher costs of shipping and fulfillment activities related to our DTC business and other related costs, we will continue to shift our focus and investments towards more efficient and scalable distribution models with our current retail and digital customers. As we move forward beyond 2025, we will gradually transition away from Honest.com as a shipping and fulfillment channel, while ensuring the site remains a resource for educating consumers, showcasing our complete product portfolio, and driving consumers to purchase offsite.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21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products by increasing total distribution, we intend to prioritize growth in products with attractive margin characteristics, including wipes, and leverage our brand equity and consumer insights to extend into new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2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and our ability to communicate the value of those products as cleanly-formulated and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43"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based on the latest green technology. At Honest, product innovation is top of mind. The improvement of existing products and the introduction of new products have been, and continue to be, integral to our growth. We have made</w:t>
      </w:r>
    </w:p>
    <w:p>
      <w:pPr>
        <w:sectPr>
          <w:pgSz w:w="11900" w:h="16838" w:orient="portrait"/>
          <w:cols w:equalWidth="0" w:num="1">
            <w:col w:w="11200"/>
          </w:cols>
          <w:pgMar w:left="320" w:top="9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20" w:name="page21"/>
    <w:bookmarkEnd w:id="20"/>
    <w:p>
      <w:pPr>
        <w:ind w:right="160"/>
        <w:spacing w:after="0" w:line="242" w:lineRule="auto"/>
        <w:rPr>
          <w:sz w:val="20"/>
          <w:szCs w:val="20"/>
          <w:color w:val="auto"/>
        </w:rPr>
      </w:pPr>
      <w:r>
        <w:rPr>
          <w:rFonts w:ascii="Times New Roman" w:cs="Times New Roman" w:eastAsia="Times New Roman" w:hAnsi="Times New Roman"/>
          <w:sz w:val="18"/>
          <w:szCs w:val="18"/>
          <w:color w:val="auto"/>
        </w:rPr>
        <w:t>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global pandemics, changing consumer attitudes or behavior or other macroeconomic conditions, such as inflation, tariffs or supply chain disruptions, have resulted and could in the future result in fluctuations in our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4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Global economic and political uncertainty have increased due to the impact of continued inflationary pressures, adverse impact on confidence in financial markets and geopolitical events, including recently imposed tariffs on certain foreign goods and the possibility of expanding the tariffs to capture other types of goods. Additionally, the extent of the impact of macroeconomic trends on the Company’s operational and financial performance in the future will depend on future developments. Prolonged unfavorable economic conditions, including as a result of changing consumer attitudes or behaviors or other macroeconomic conditions, such as rising inflation and interest rates, tariffs, supply chain disruptions, trade disputes, foreign exchange volatility, financial market instability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4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There has been and continues to be an adverse impact on global economic conditions, specifically inflationary pressures, which has adversely affected our supply chain in regards to cost of revenue. We have experienced and anticipate continued increases in product costs and labor costs due to inflationary pressures and higher transportation costs from ocean container delivery, which has in the past and could continue to hamper our ability to drive margin expansion. In addition, current or future tariffs or other restrictive trade measures may raise the cost of raw materials, components or finished goods, which may adversely impact both our product offerings and our operational expenses. We have taken measures to bolster key aspects of our supply chain, such as ensuring sufficient inventory to support our continued growth, minimizing lead times for raw materials, and implementing a robust cost-savings program, as part of our Operating Discipline Transformation Pillar. We expect to continue to receive fulfillment costs savings due to warehouse and labor operational efficiencies gained with our Las Vegas, Nevada fulfillment center partner. If we are not successful in negotiating future renewals with our other fulfillment partner such that these renewals are at increased costs to us, our business, financial condition, results of operations and prospects could be adversely affected. Additionally, we have experienced purchase price increases from our third-party manufacturers in the past and could face escalation of purchase costs and cost of revenue in the future.</w:t>
      </w:r>
    </w:p>
    <w:p>
      <w:pPr>
        <w:spacing w:after="0" w:line="21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4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For the three months ended March 31, 2025, we recorded an inventory write-down of $3.2 million, inclusive of overhead costs and tariffs, which included a $3.0 million write-</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1" w:name="page22"/>
    <w:bookmarkEnd w:id="21"/>
    <w:p>
      <w:pPr>
        <w:ind w:right="440"/>
        <w:spacing w:after="0" w:line="266" w:lineRule="auto"/>
        <w:rPr>
          <w:sz w:val="20"/>
          <w:szCs w:val="20"/>
          <w:color w:val="auto"/>
        </w:rPr>
      </w:pPr>
      <w:r>
        <w:rPr>
          <w:rFonts w:ascii="Times New Roman" w:cs="Times New Roman" w:eastAsia="Times New Roman" w:hAnsi="Times New Roman"/>
          <w:sz w:val="18"/>
          <w:szCs w:val="18"/>
          <w:color w:val="auto"/>
        </w:rPr>
        <w:t>down related to our new diaper renovation as we transition our new diaper products and replace our prior diaper products in the marketplace, which is included in cost of revenue on the consolidated statements of comprehensive income (loss).</w:t>
      </w:r>
    </w:p>
    <w:p>
      <w:pPr>
        <w:spacing w:after="0" w:line="189"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termination of the Likeness Agreement with Jessica Warren, as part of Ms. Warren's departure from her Chief Creative Officer position, after April 4, 2025 we are prohibited from selling existing inventory that uses certain specified licensed intellectual property on its packaging, which resulted in inventory write-offs in the past and may result in future inventory write-offs.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Services Agreement</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August 2022, we entered into a supplier services agreement with Butterblu, LLC (“Butterblu”) pursuant to which Butterblu provides certain design, manufacturing, sales and marketing services to us. As part of the supplier services agreement, we have agreed to purchase and own inventory for the term of the supplier service agreement, which is until December 31, 2026, unless terminated sooner. We are currently in discussions with Butterblu regarding our respective obligations under the supplier services agreement. Butterblu continues to operate and maintain our baby apparel offerings independently through the honestbabyclothing.com website under our supplier services agreement and its sales are reflected as revenue in our condensed consolidated statements of comprehensive income (loss). These discussions could result in termination of the supplier services agreement prior to its termination date, potential disputes over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90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our leading retailers and their websites, third-party ecommerce sites and Honest.com. Our revenue is recognized net of allowances for returns, discounts, credits and any taxes collected from consumers.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3"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expect in the future to incur additional third-party professional fees related to compliance obligations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short-term investments and our cash and cash equivalents balances. Interest expense includes fees incurred under our 2023 Credit Facility, including commitment fees and debt issuance costs.</w:t>
      </w:r>
    </w:p>
    <w:p>
      <w:pPr>
        <w:spacing w:after="0" w:line="18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comprehensive income (loss) data for each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80" w:type="dxa"/>
            <w:vAlign w:val="bottom"/>
          </w:tcPr>
          <w:p>
            <w:pPr>
              <w:spacing w:after="0"/>
              <w:rPr>
                <w:sz w:val="23"/>
                <w:szCs w:val="23"/>
                <w:color w:val="auto"/>
              </w:rPr>
            </w:pPr>
          </w:p>
        </w:tc>
        <w:tc>
          <w:tcPr>
            <w:tcW w:w="152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86,217</w:t>
            </w: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0" w:type="dxa"/>
            <w:vAlign w:val="bottom"/>
          </w:tcPr>
          <w:p>
            <w:pPr>
              <w:spacing w:after="0"/>
              <w:rPr>
                <w:sz w:val="1"/>
                <w:szCs w:val="1"/>
                <w:color w:val="auto"/>
              </w:rPr>
            </w:pPr>
          </w:p>
        </w:tc>
      </w:tr>
      <w:tr>
        <w:trPr>
          <w:trHeight w:val="29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6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82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Pr>
          <w:p>
            <w:pPr>
              <w:spacing w:after="0"/>
              <w:rPr>
                <w:sz w:val="23"/>
                <w:szCs w:val="23"/>
                <w:color w:val="auto"/>
              </w:rPr>
            </w:pPr>
          </w:p>
        </w:tc>
        <w:tc>
          <w:tcPr>
            <w:tcW w:w="152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2"/>
                <w:szCs w:val="22"/>
                <w:color w:val="auto"/>
              </w:rPr>
            </w:pPr>
          </w:p>
        </w:tc>
        <w:tc>
          <w:tcPr>
            <w:tcW w:w="152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comprehensive income (loss) data expressed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11"/>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0" w:type="dxa"/>
            <w:vAlign w:val="bottom"/>
          </w:tcPr>
          <w:p>
            <w:pPr>
              <w:spacing w:after="0"/>
              <w:rPr>
                <w:sz w:val="1"/>
                <w:szCs w:val="1"/>
                <w:color w:val="auto"/>
              </w:rPr>
            </w:pPr>
          </w:p>
        </w:tc>
      </w:tr>
      <w:tr>
        <w:trPr>
          <w:trHeight w:val="27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100.0 %</w:t>
            </w:r>
          </w:p>
        </w:tc>
        <w:tc>
          <w:tcPr>
            <w:tcW w:w="600" w:type="dxa"/>
            <w:vAlign w:val="bottom"/>
          </w:tcPr>
          <w:p>
            <w:pPr>
              <w:spacing w:after="0"/>
              <w:rPr>
                <w:sz w:val="23"/>
                <w:szCs w:val="23"/>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3.3 %</w:t>
            </w:r>
          </w:p>
        </w:tc>
        <w:tc>
          <w:tcPr>
            <w:tcW w:w="600" w:type="dxa"/>
            <w:vAlign w:val="bottom"/>
          </w:tcPr>
          <w:p>
            <w:pPr>
              <w:spacing w:after="0"/>
              <w:rPr>
                <w:sz w:val="22"/>
                <w:szCs w:val="22"/>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231F20"/>
              </w:rPr>
              <w:t>* Amounts may not sum due to rounding.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60" w:type="dxa"/>
            <w:vAlign w:val="bottom"/>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86,217</w:t>
            </w:r>
          </w:p>
        </w:tc>
        <w:tc>
          <w:tcPr>
            <w:tcW w:w="80" w:type="dxa"/>
            <w:vAlign w:val="bottom"/>
          </w:tcPr>
          <w:p>
            <w:pPr>
              <w:spacing w:after="0"/>
              <w:rPr>
                <w:sz w:val="23"/>
                <w:szCs w:val="23"/>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$11,033</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Revenue was $97.3 million for the three months ended March 31, 2025, as compared to $86.2 million for the three months ended March 31, 2024. The increase of $11.0 million, or 12.8%, was primarily due to an increase in wipes revenue of $9.7 million and an increase in baby personal care revenue of $2.6 million.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Cost of revenue was $59.6 million for the three months ended March 31, 2025, as compared to $54.3 million for the three months ended March 31, 2024. The increase of $5.2 million, or 9.7%, was primarily driven by an increase in product costs due to sales volume growth and an increase in inventory reserve related to our new diaper renovation, partially offset by supply chain cost savings. Cost of revenue as a percentage of revenue decreased by 176 basis points compared to the three months ended March 31, 2024.</w:t>
      </w:r>
    </w:p>
    <w:p>
      <w:pPr>
        <w:spacing w:after="0" w:line="2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Gross profit was $37.7 million for the three months ended March 31, 2025, as compared to $31.9 million for the three months ended March 31, 2024. The increase of $5.8 million, or 18.2%, was primarily related to sales volume growth, supply chain cost savings, and product mix, partially offset by the increase in inventory reserve related to our new diaper renovation, which is included in cost of revenue.</w:t>
      </w:r>
    </w:p>
    <w:p>
      <w:pPr>
        <w:sectPr>
          <w:pgSz w:w="11900" w:h="16838" w:orient="portrait"/>
          <w:cols w:equalWidth="0" w:num="1">
            <w:col w:w="11220"/>
          </w:cols>
          <w:pgMar w:left="320" w:top="972" w:right="359" w:bottom="1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131"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18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expenses were $21.0 million for the three months ended March 31, 2025, as compared to $22.4 million for the three months ended March 31, 2024. The decrease of $1.4 million, or 6.2%, was primarily due to a $0.6 million decrease in general administrative expenses, a $0.5 million decrease in donation expense and a $0.3 million decrease in legal expenses. Selling, general and administrative expenses as a percentage of revenue decreased 4.4% as compared to the three months ended March 31, 2024.</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10"/>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8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80" w:firstLine="648"/>
        <w:spacing w:after="0" w:line="272" w:lineRule="auto"/>
        <w:rPr>
          <w:sz w:val="20"/>
          <w:szCs w:val="20"/>
          <w:color w:val="auto"/>
        </w:rPr>
      </w:pPr>
      <w:r>
        <w:rPr>
          <w:rFonts w:ascii="Times New Roman" w:cs="Times New Roman" w:eastAsia="Times New Roman" w:hAnsi="Times New Roman"/>
          <w:sz w:val="17"/>
          <w:szCs w:val="17"/>
          <w:color w:val="auto"/>
        </w:rPr>
        <w:t>Marketing expenses were $12.3 million for the three months ended March 31, 2025, as compared to $9.1 million for the three months ended March 31, 2024. The increase of $3.2 million, or 34.9%, was primarily due to a $1.6 million increase in digital brand advertising and a $1.5 million increase in retail marketing. Marketing expenses as a percentage of revenue increased 2.1% as compared to the three months ended March 31, 2024.</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10"/>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$1.9 million for the three months ended March 31, 2025, as compared to $1.7 million for the three months ended March 31, 2024. Research and development expenses as a percentage of revenue decreased 0.05% as compared to the three months ended March 31, 2024.</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4160" w:type="dxa"/>
            <w:vAlign w:val="bottom"/>
            <w:gridSpan w:val="8"/>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7"/>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3"/>
                <w:szCs w:val="23"/>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net income of $0.8 million for the three months ended March 31, 2025, as compared to net expense of $0.1 million for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2025, we had $72.8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6" w:name="page27"/>
    <w:bookmarkEnd w:id="26"/>
    <w:p>
      <w:pPr>
        <w:ind w:right="140"/>
        <w:spacing w:after="0" w:line="250" w:lineRule="auto"/>
        <w:rPr>
          <w:sz w:val="20"/>
          <w:szCs w:val="20"/>
          <w:color w:val="auto"/>
        </w:rPr>
      </w:pPr>
      <w:r>
        <w:rPr>
          <w:rFonts w:ascii="Times New Roman" w:cs="Times New Roman" w:eastAsia="Times New Roman" w:hAnsi="Times New Roman"/>
          <w:sz w:val="18"/>
          <w:szCs w:val="18"/>
          <w:color w:val="auto"/>
        </w:rPr>
        <w:t>the next 12 months from the date of issuance of our condensed consolidated financial statements. We will need to generate sufficient cash from operations or raise additional capital to meet our long-term working capital and capital expenditure needs. We also have availability under our 2023 Credit Facility, which was not drawn as of 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income (loss). For the three months ended March 31, 2025, the commitment fee incurred was immaterial. As of March 31, 2025, there were $2.5 million of outstanding letters of credit and $30.3 million available to be drawn upon. As of March 31, 2025, there was no outstanding balance under the 2023 Credit Facility.</w:t>
      </w:r>
    </w:p>
    <w:p>
      <w:pPr>
        <w:spacing w:after="0" w:line="21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spacing w:after="0" w:line="204" w:lineRule="exact"/>
        <w:rPr>
          <w:sz w:val="20"/>
          <w:szCs w:val="20"/>
          <w:color w:val="auto"/>
        </w:rPr>
      </w:pPr>
    </w:p>
    <w:p>
      <w:pPr>
        <w:ind w:right="360" w:firstLine="648"/>
        <w:spacing w:after="0" w:line="296" w:lineRule="auto"/>
        <w:rPr>
          <w:sz w:val="20"/>
          <w:szCs w:val="20"/>
          <w:color w:val="auto"/>
        </w:rPr>
      </w:pPr>
      <w:r>
        <w:rPr>
          <w:rFonts w:ascii="Times New Roman" w:cs="Times New Roman" w:eastAsia="Times New Roman" w:hAnsi="Times New Roman"/>
          <w:sz w:val="17"/>
          <w:szCs w:val="17"/>
          <w:color w:val="auto"/>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spacing w:after="0" w:line="152"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2025, we are in compliance with all covenants under the 2023 Credit Facility.</w:t>
      </w:r>
    </w:p>
    <w:p>
      <w:pPr>
        <w:spacing w:after="0" w:line="21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Refer to Note 5 “Credit Facilities” included in the condensed consolidated financial statements included elsewhere in this Quarterly Report on Form 10-Q for more information on the 2023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three months ended March 31, 2025 and in the past generated negative cash flows from operating activities and have in the past supplemented working capital requirements through net proceeds from the sale and maturity of short-term investments.</w:t>
      </w:r>
    </w:p>
    <w:p>
      <w:pPr>
        <w:spacing w:after="0" w:line="21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of $2.9 million for the three months ended March 31, 2025 was primarily due to a net decrease in cash related to changes in operating assets and liabilities of $12.1 million, partially offset by non-cash adjustments of $5.9 million and net income of $3.3 million. Change in inventory reserves and accounts receivable reserves and utilization of marketing credits are included in "other" in the accompanying condensed consolidated statements of cash flows. Changes in cash flows related to operating assets and liabilities primarily consisted of a $5.8 million increase in inventory, a $5.8 million decrease</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7" w:name="page28"/>
    <w:bookmarkEnd w:id="27"/>
    <w:p>
      <w:pPr>
        <w:ind w:right="220"/>
        <w:spacing w:after="0" w:line="245" w:lineRule="auto"/>
        <w:rPr>
          <w:sz w:val="20"/>
          <w:szCs w:val="20"/>
          <w:color w:val="auto"/>
        </w:rPr>
      </w:pPr>
      <w:r>
        <w:rPr>
          <w:rFonts w:ascii="Times New Roman" w:cs="Times New Roman" w:eastAsia="Times New Roman" w:hAnsi="Times New Roman"/>
          <w:sz w:val="18"/>
          <w:szCs w:val="18"/>
          <w:color w:val="auto"/>
        </w:rPr>
        <w:t>in accounts payable and accrued expenses due to timing of employee related expenses, a $2.1 million use of cash due to operating lease obligations, partially offset by a $0.9 million decrease in prepaid expenses and other assets and a $0.7 million decrease in accounts receivable. Non-cash adjustments primarily consisted of stock-based compensation of $2.4 million, amortization of operating ROU assets of $1.6 million, change in inventory reserves of $0.8 million, depreciation and amortization of $0.7 million and utilization of marketing credits of $0.4 million.</w:t>
      </w:r>
    </w:p>
    <w:p>
      <w:pPr>
        <w:spacing w:after="0" w:line="20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Net cash provided by operating activities of $0.3 million for the three months ended March 31, 2024 was primarily due to non-cash adjustments of $2.7 million, partially offset by a net loss of $1.4 million and a net decrease in cash related to changes in operating assets and liabilities of $1.0 million. Non-cash adjustments primarily consisted of change in inventory reserves of $2.1 million, which is included in "other" in the accompanying consolidated statements of cash flows, stock-based compensation of $2.5 million, amortization of operating ROU assets of $1.6 million and depreciation and amortization of $0.7 million. Changes in cash flows related to operating assets and liabilities primarily consisted of a $1.1 million decrease in inventory, a $2.6 million decrease in accounts receivable due to improved collections and a $0.5 million decrease in prepaid expenses and other assets, partially offset by uses of cash including $2.9 million higher accounts payable and accrued expenses due to timing of payments to vendors and a $2.0 million use of cash due to operating lease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investing cash historically has been the sale and maturity of short-term investments. Our primary use of investing cash historically has been the purchase of short-term investments and currently is property and equipment.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2025 was due to purchases of property and equipment.</w:t>
      </w:r>
    </w:p>
    <w:p>
      <w:pPr>
        <w:spacing w:after="0" w:line="23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2024 was due to purchases of property and equipment of $0.1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proceeds from stock option award exercises and principal payments of financing lease obligations.</w:t>
      </w:r>
    </w:p>
    <w:p>
      <w:pPr>
        <w:spacing w:after="0" w:line="18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$0.4 million for the three months ended March 31, 2025 consisted primarily of $0.4 million of proceeds from stock option award exercises.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$0.5 million for the three months ended March 31, 2024 consisted of $0.5 million of proceeds from stock option award exercises.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380" w:firstLine="648"/>
        <w:spacing w:after="0" w:line="264" w:lineRule="auto"/>
        <w:rPr>
          <w:sz w:val="20"/>
          <w:szCs w:val="20"/>
          <w:color w:val="auto"/>
        </w:rPr>
      </w:pPr>
      <w:r>
        <w:rPr>
          <w:rFonts w:ascii="Times New Roman" w:cs="Times New Roman" w:eastAsia="Times New Roman" w:hAnsi="Times New Roman"/>
          <w:sz w:val="17"/>
          <w:szCs w:val="17"/>
          <w:color w:val="auto"/>
        </w:rPr>
        <w:t>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16" w:lineRule="exact"/>
        <w:rPr>
          <w:sz w:val="20"/>
          <w:szCs w:val="20"/>
          <w:color w:val="auto"/>
        </w:rPr>
      </w:pPr>
    </w:p>
    <w:p>
      <w:pPr>
        <w:ind w:right="240" w:firstLine="8"/>
        <w:spacing w:after="0" w:line="243"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litigation and settlement fees associated with certain non-ordinary course securities litigation claims; and (6) founder and former Chief Creative Officer (“CCO”) transition expenses.</w:t>
      </w:r>
    </w:p>
    <w:p>
      <w:pPr>
        <w:spacing w:after="0" w:line="20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management in assessing the health of our business, determining incentive compensation and evaluating our operating performance, as well as for internal planning and forecasting purposes.</w:t>
      </w:r>
    </w:p>
    <w:p>
      <w:pPr>
        <w:spacing w:after="0" w:line="18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founder/CCO transition expenses.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stated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30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Founder/CCO transition expense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separation costs related to the termination of our former founder and CCO.</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there were no changes to our material cash requirements from those described under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months ended March 31, 2025, there were no material changes to our critical accounting estimates from those discussed in our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condensed consolidated financial statements included elsewhere in this Quarterly Report on Form 10-Q for a discussion of recently issued accounting pronouncements.</w:t>
      </w:r>
    </w:p>
    <w:p>
      <w:pPr>
        <w:sectPr>
          <w:pgSz w:w="11900" w:h="16838" w:orient="portrait"/>
          <w:cols w:equalWidth="0" w:num="1">
            <w:col w:w="11180"/>
          </w:cols>
          <w:pgMar w:left="320" w:top="756" w:right="399" w:bottom="1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6" w:right="399" w:bottom="1131"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March 31, 2025,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March 31, 2025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under the heading “Litigation” in Note 7 to our condensed consolidated financial statements included in this Quarterly Report on Form 10-Q is incorporated by reference into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Investing in our common stock involves substantial risks. Some of the more significant risks include the following:</w:t>
      </w:r>
    </w:p>
    <w:p>
      <w:pPr>
        <w:spacing w:after="0" w:line="239" w:lineRule="exact"/>
        <w:rPr>
          <w:sz w:val="20"/>
          <w:szCs w:val="20"/>
          <w:color w:val="auto"/>
        </w:rPr>
      </w:pPr>
    </w:p>
    <w:p>
      <w:pPr>
        <w:ind w:left="660" w:hanging="328"/>
        <w:spacing w:after="0" w:line="24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in part, on our ability to achieve our long-term strategy.</w:t>
      </w:r>
    </w:p>
    <w:p>
      <w:pPr>
        <w:ind w:left="660" w:right="280" w:hanging="328"/>
        <w:spacing w:after="0"/>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ind w:left="660" w:right="2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and the U.S. government’s trade policy, including recently enacted tariffs and potential new tariffs, could adversely affect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right="360" w:hanging="328"/>
        <w:spacing w:after="0" w:line="24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macroeconomic trends, including due to pandemics or disease outbreaks, have had and may continue to have an adverse effect on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right="380" w:hanging="328"/>
        <w:spacing w:after="0" w:line="245"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7" w:lineRule="exact"/>
        <w:rPr>
          <w:rFonts w:ascii="Times New Roman" w:cs="Times New Roman" w:eastAsia="Times New Roman" w:hAnsi="Times New Roman"/>
          <w:sz w:val="18"/>
          <w:szCs w:val="18"/>
          <w:color w:val="auto"/>
        </w:rPr>
      </w:pPr>
    </w:p>
    <w:p>
      <w:pPr>
        <w:ind w:left="660" w:right="260" w:hanging="328"/>
        <w:spacing w:after="0" w:line="242"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strategic initiatives, including as part of the Transformation Initiative,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ind w:left="660" w:right="4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 w:lineRule="exact"/>
        <w:rPr>
          <w:rFonts w:ascii="Times New Roman" w:cs="Times New Roman" w:eastAsia="Times New Roman" w:hAnsi="Times New Roman"/>
          <w:sz w:val="18"/>
          <w:szCs w:val="18"/>
          <w:color w:val="auto"/>
        </w:rPr>
      </w:pPr>
    </w:p>
    <w:p>
      <w:pPr>
        <w:ind w:left="660" w:right="22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ind w:left="660" w:right="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have an adverse effect on our business.</w:t>
      </w:r>
    </w:p>
    <w:p>
      <w:pPr>
        <w:ind w:left="660" w:right="3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 w:lineRule="exact"/>
        <w:rPr>
          <w:rFonts w:ascii="Times New Roman" w:cs="Times New Roman" w:eastAsia="Times New Roman" w:hAnsi="Times New Roman"/>
          <w:sz w:val="18"/>
          <w:szCs w:val="18"/>
          <w:color w:val="auto"/>
        </w:rPr>
      </w:pPr>
    </w:p>
    <w:p>
      <w:pPr>
        <w:ind w:left="660" w:right="42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 w:lineRule="exact"/>
        <w:rPr>
          <w:rFonts w:ascii="Times New Roman" w:cs="Times New Roman" w:eastAsia="Times New Roman" w:hAnsi="Times New Roman"/>
          <w:sz w:val="18"/>
          <w:szCs w:val="18"/>
          <w:color w:val="auto"/>
        </w:rPr>
      </w:pPr>
    </w:p>
    <w:p>
      <w:pPr>
        <w:ind w:left="660" w:right="480" w:hanging="328"/>
        <w:spacing w:after="0" w:line="271"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1" w:name="page32"/>
    <w:bookmarkEnd w:id="31"/>
    <w:p>
      <w:pPr>
        <w:ind w:left="660" w:right="28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stakeholders with respect to our ESG practices, performance, commitments and disclosures may impact our reputation, increase our costs and impact our access to capital.</w:t>
      </w:r>
    </w:p>
    <w:p>
      <w:pPr>
        <w:ind w:left="660" w:hanging="328"/>
        <w:spacing w:after="0" w:line="23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6"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Other than the risk factors set forth below, there have been no material changes to the risk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w:t>
      </w:r>
    </w:p>
    <w:p>
      <w:pPr>
        <w:spacing w:after="0" w:line="19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International trade disputes and the U.S. government’s trade policy, including </w:t>
      </w:r>
      <w:r>
        <w:rPr>
          <w:rFonts w:ascii="Times New Roman" w:cs="Times New Roman" w:eastAsia="Times New Roman" w:hAnsi="Times New Roman"/>
          <w:sz w:val="18"/>
          <w:szCs w:val="18"/>
          <w:b w:val="1"/>
          <w:bCs w:val="1"/>
          <w:i w:val="1"/>
          <w:iCs w:val="1"/>
          <w:color w:val="000000"/>
        </w:rPr>
        <w:t>recently enacted tariffs and potential new tariffs</w:t>
      </w:r>
      <w:r>
        <w:rPr>
          <w:rFonts w:ascii="Times New Roman" w:cs="Times New Roman" w:eastAsia="Times New Roman" w:hAnsi="Times New Roman"/>
          <w:sz w:val="18"/>
          <w:szCs w:val="18"/>
          <w:b w:val="1"/>
          <w:bCs w:val="1"/>
          <w:i w:val="1"/>
          <w:iCs w:val="1"/>
          <w:color w:val="231F20"/>
        </w:rPr>
        <w:t xml:space="preserve"> could adversely affect our business, financial condition, results of operations and prospects.</w:t>
      </w:r>
    </w:p>
    <w:p>
      <w:pPr>
        <w:spacing w:after="0" w:line="17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31F20"/>
        </w:rPr>
        <w:t>International trade disputes or changes in government priorities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 The recent announcements of substantial new tariffs and other restrictive trade policies have created a dynamic and unpredictable trade landscape, which could adversely impact our business.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7"/>
          <w:szCs w:val="17"/>
          <w:color w:val="231F20"/>
        </w:rPr>
        <w:t xml:space="preserve">The U.S. government has adopted, and indicated its intent to continue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as of March 31, 2025 have not had a material impact on our operating results, to the extent that significant additional tariffs are imposed including the new tariffs being imposed under the new presidential administration they could have a material impact on our operating results. In April 2025, the U.S. government announced a baseline tariff of 10% on products from all countries and an additional individualized reciprocal tariff on the countries with which the United States has the largest trade deficits, including an additional tariff of 145% on certain goods imported from China, and a 25% tariff on certain goods imported from Mexico and Canada. Certain products, such as our baby wipes, are imported from China, our diapers are imported from Mexico and certain other components of our products are sourced from other countries and could be subject to the new tariffs. The imposition of tariffs, including the April 2025 tariffs and certain tariffs in the past, have led costs on products from China to increase, including our wipes products, and other new tariffs imposed by the United States </w:t>
      </w:r>
      <w:r>
        <w:rPr>
          <w:rFonts w:ascii="Times New Roman" w:cs="Times New Roman" w:eastAsia="Times New Roman" w:hAnsi="Times New Roman"/>
          <w:sz w:val="17"/>
          <w:szCs w:val="17"/>
          <w:color w:val="000000"/>
        </w:rPr>
        <w:t>could cause costs to increase further, which could lead to price increases on these products, which may not be absorbed by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consumers or may lead to decreased demand; or any such tariffs could require a shift in manufacturing location, which could have an adverse effect on results of operations and could introduce uncertainty, including on product quality, with a new manufacturer.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on expected timelines or if any price increases are poorly received by our consumers. Any attempt to mitigate the adverse effects of these tariffs may not be successful.</w:t>
      </w:r>
    </w:p>
    <w:p>
      <w:pPr>
        <w:spacing w:after="0" w:line="210"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231F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may exacerbate unfavorable macroeconomic conditions including inflationary pressures, foreign exchange volatility, financial market instability, and economic recessions or downturns, which may also adversely impact demand for our products, our costs, our consumers, our suppliers, and limit our access to capital, which in turn could have an adverse effect on our business, financial condition, results of operations and prospects. Ongoing tariff, trade restrictions and macroeconomic uncertainty also may contribute to volatility in the price of our common stock.</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231F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the section titled “Risk Factors”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Rule 10b5-1 Trading Arrangements and Non-Rule 10b5-1 Trading Arrangements</w:t>
      </w:r>
    </w:p>
    <w:p>
      <w:pPr>
        <w:spacing w:after="0" w:line="22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None of our officers or directors entered into a 10b5-1 trading plan during the three months ended March 31, 2025. The sell-to-cover arrangements adopted pursuant to Rule 10b5-1 authorized the pre-arranged sale of shares to satisfy tax withholding obligations of the Company arising exclusively from the vesting of time-vesting or performance-vesting restricted stock units and the related issuance of shares of Common Stock. The amount of shares of Common Stock to be sold to satisfy the Company’s tax withholding obligations under these arrangements is dependent on future events which cannot be known at this time, including the future trading price of Company shares. The expiration date relating to these arrangements is dependent on future events which cannot be known at this time, including the final vest date of the applicable time-vesting or performance-vesting restricted stock units and the officer’s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20"/>
          </w:cols>
          <w:pgMar w:left="320" w:top="428" w:right="359" w:bottom="1440" w:gutter="0" w:footer="0" w:header="0"/>
        </w:sect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226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36830</wp:posOffset>
            </wp:positionV>
            <wp:extent cx="5768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Amended and Restated Articles of Incorporation, as currently in effect (incorporated herein by reference to Exhibit 3.1 to the Company’s Current Report on Form 8-K (File No. 001-40378), filed with the SEC on May 11, 2021).</w:t>
      </w:r>
    </w:p>
    <w:p>
      <w:pPr>
        <w:ind w:right="440"/>
        <w:spacing w:after="0" w:line="266" w:lineRule="auto"/>
        <w:rPr>
          <w:sz w:val="20"/>
          <w:szCs w:val="20"/>
          <w:color w:val="auto"/>
        </w:rPr>
      </w:pPr>
      <w:r>
        <w:rPr>
          <w:rFonts w:ascii="Times New Roman" w:cs="Times New Roman" w:eastAsia="Times New Roman" w:hAnsi="Times New Roman"/>
          <w:sz w:val="18"/>
          <w:szCs w:val="18"/>
          <w:color w:val="auto"/>
        </w:rPr>
        <w:t>Amended and Restated Bylaws, as currently in effect (incorporated herein by reference to Exhibit 3.1 to the Company’s Current Report on Form 8-K (File No. 001-40378), filed with the SEC on March 12, 2025).</w:t>
      </w:r>
    </w:p>
    <w:p>
      <w:pPr>
        <w:spacing w:after="0" w:line="1" w:lineRule="exact"/>
        <w:rPr>
          <w:sz w:val="20"/>
          <w:szCs w:val="20"/>
          <w:color w:val="auto"/>
        </w:rPr>
      </w:pPr>
    </w:p>
    <w:p>
      <w:pPr>
        <w:sectPr>
          <w:pgSz w:w="11900" w:h="16838" w:orient="portrait"/>
          <w:cols w:equalWidth="0" w:num="2">
            <w:col w:w="1520" w:space="660"/>
            <w:col w:w="9040"/>
          </w:cols>
          <w:pgMar w:left="320" w:top="428"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100" w:type="dxa"/>
            <w:vAlign w:val="bottom"/>
          </w:tcPr>
          <w:p>
            <w:pPr>
              <w:spacing w:after="0"/>
              <w:rPr>
                <w:sz w:val="17"/>
                <w:szCs w:val="17"/>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Employment Agreement, dated April 17, 2025, by and between the Company and Curtiss Bruce.</w:t>
            </w:r>
          </w:p>
        </w:tc>
      </w:tr>
      <w:tr>
        <w:trPr>
          <w:trHeight w:val="25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100" w:type="dxa"/>
            <w:vAlign w:val="bottom"/>
          </w:tcPr>
          <w:p>
            <w:pPr>
              <w:spacing w:after="0"/>
              <w:rPr>
                <w:sz w:val="21"/>
                <w:szCs w:val="21"/>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100" w:type="dxa"/>
            <w:vAlign w:val="bottom"/>
          </w:tcPr>
          <w:p>
            <w:pPr>
              <w:spacing w:after="0"/>
              <w:rPr>
                <w:sz w:val="19"/>
                <w:szCs w:val="19"/>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3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3"/>
                <w:szCs w:val="23"/>
                <w:color w:val="auto"/>
              </w:rPr>
            </w:pPr>
          </w:p>
        </w:tc>
        <w:tc>
          <w:tcPr>
            <w:tcW w:w="9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48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8"/>
        <w:spacing w:after="0" w:line="212" w:lineRule="auto"/>
        <w:tabs>
          <w:tab w:leader="none" w:pos="8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type w:val="continuous"/>
        </w:sectPr>
      </w:pPr>
    </w:p>
    <w:bookmarkStart w:id="34" w:name="page35"/>
    <w:bookmarkEnd w:id="3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6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David Loretta</w:t>
      </w:r>
    </w:p>
    <w:p>
      <w:pPr>
        <w:jc w:val="center"/>
        <w:ind w:left="60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3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0520"/>
          </w:cols>
          <w:pgMar w:left="320" w:top="752" w:right="10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April 17, 2025</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Curtiss Bruce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Prosper, TX</w:t>
      </w:r>
    </w:p>
    <w:p>
      <w:pPr>
        <w:spacing w:after="0" w:line="21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Employment Agreement</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Dear Curtiss:</w:t>
      </w:r>
    </w:p>
    <w:p>
      <w:pPr>
        <w:spacing w:after="0" w:line="260" w:lineRule="exact"/>
        <w:rPr>
          <w:sz w:val="20"/>
          <w:szCs w:val="20"/>
          <w:color w:val="auto"/>
        </w:rPr>
      </w:pPr>
    </w:p>
    <w:p>
      <w:pPr>
        <w:ind w:left="20" w:right="100" w:firstLine="647"/>
        <w:spacing w:after="0" w:line="271" w:lineRule="auto"/>
        <w:rPr>
          <w:sz w:val="20"/>
          <w:szCs w:val="20"/>
          <w:color w:val="auto"/>
        </w:rPr>
      </w:pPr>
      <w:r>
        <w:rPr>
          <w:rFonts w:ascii="Times New Roman" w:cs="Times New Roman" w:eastAsia="Times New Roman" w:hAnsi="Times New Roman"/>
          <w:sz w:val="22"/>
          <w:szCs w:val="22"/>
          <w:color w:val="auto"/>
        </w:rPr>
        <w:t>The Honest Company, Inc. (the “Company”) is pleased to offer you at-will employment in the position of EVP, Chief Financial Officer on the terms and conditions set forth in this letter agreement (the “Agreement”).</w:t>
      </w:r>
    </w:p>
    <w:p>
      <w:pPr>
        <w:spacing w:after="0" w:line="194" w:lineRule="exact"/>
        <w:rPr>
          <w:sz w:val="20"/>
          <w:szCs w:val="20"/>
          <w:color w:val="auto"/>
        </w:rPr>
      </w:pPr>
    </w:p>
    <w:p>
      <w:pPr>
        <w:jc w:val="both"/>
        <w:ind w:left="680" w:right="100" w:hanging="1"/>
        <w:spacing w:after="0" w:line="248" w:lineRule="auto"/>
        <w:tabs>
          <w:tab w:leader="none" w:pos="12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by the Company. </w:t>
      </w:r>
      <w:r>
        <w:rPr>
          <w:rFonts w:ascii="Times New Roman" w:cs="Times New Roman" w:eastAsia="Times New Roman" w:hAnsi="Times New Roman"/>
          <w:sz w:val="22"/>
          <w:szCs w:val="22"/>
          <w:color w:val="auto"/>
        </w:rPr>
        <w:t>This Agreement and your employment under the terms hereunder shall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on June 2, 2025 (the “Effective Date”).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consistent with your position,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spacing w:after="0" w:line="185" w:lineRule="exact"/>
        <w:rPr>
          <w:rFonts w:ascii="Times New Roman" w:cs="Times New Roman" w:eastAsia="Times New Roman" w:hAnsi="Times New Roman"/>
          <w:sz w:val="22"/>
          <w:szCs w:val="22"/>
          <w:b w:val="1"/>
          <w:bCs w:val="1"/>
          <w:color w:val="auto"/>
        </w:rPr>
      </w:pPr>
    </w:p>
    <w:p>
      <w:pPr>
        <w:ind w:left="1320" w:hanging="647"/>
        <w:spacing w:after="0"/>
        <w:tabs>
          <w:tab w:leader="none" w:pos="13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33"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2.1.  Base Salary. </w:t>
      </w:r>
      <w:r>
        <w:rPr>
          <w:rFonts w:ascii="Times New Roman" w:cs="Times New Roman" w:eastAsia="Times New Roman" w:hAnsi="Times New Roman"/>
          <w:sz w:val="22"/>
          <w:szCs w:val="22"/>
          <w:color w:val="auto"/>
        </w:rPr>
        <w:t>For services to be rendered hereunder, you shall receive a base salary at the rate of $500,000</w:t>
      </w:r>
    </w:p>
    <w:p>
      <w:pPr>
        <w:spacing w:after="0" w:line="17" w:lineRule="exact"/>
        <w:rPr>
          <w:sz w:val="20"/>
          <w:szCs w:val="20"/>
          <w:color w:val="auto"/>
        </w:rPr>
      </w:pPr>
    </w:p>
    <w:p>
      <w:pPr>
        <w:jc w:val="both"/>
        <w:ind w:left="680" w:right="100"/>
        <w:spacing w:after="0" w:line="259" w:lineRule="auto"/>
        <w:rPr>
          <w:sz w:val="20"/>
          <w:szCs w:val="20"/>
          <w:color w:val="auto"/>
        </w:rPr>
      </w:pPr>
      <w:r>
        <w:rPr>
          <w:rFonts w:ascii="Times New Roman" w:cs="Times New Roman" w:eastAsia="Times New Roman" w:hAnsi="Times New Roman"/>
          <w:sz w:val="22"/>
          <w:szCs w:val="22"/>
          <w:color w:val="auto"/>
        </w:rPr>
        <w:t>per year (the “Base Salary”), subject to standard payroll deductions and withholdings and payable in accordance with the Company’s regular payroll schedule.</w:t>
      </w:r>
    </w:p>
    <w:p>
      <w:pPr>
        <w:spacing w:after="0" w:line="167" w:lineRule="exact"/>
        <w:rPr>
          <w:sz w:val="20"/>
          <w:szCs w:val="20"/>
          <w:color w:val="auto"/>
        </w:rPr>
      </w:pPr>
    </w:p>
    <w:p>
      <w:pPr>
        <w:jc w:val="both"/>
        <w:ind w:left="680" w:right="100" w:firstLine="648"/>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2.2. Annual Bonus. </w:t>
      </w:r>
      <w:r>
        <w:rPr>
          <w:rFonts w:ascii="Times New Roman" w:cs="Times New Roman" w:eastAsia="Times New Roman" w:hAnsi="Times New Roman"/>
          <w:sz w:val="21"/>
          <w:szCs w:val="21"/>
          <w:color w:val="auto"/>
        </w:rPr>
        <w:t>You will be eligible for an annual discretionary bonus with a target amount of 70%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then current annual Base Salary (the “Annual Bonus”). Whether you receive an Annual Bonus for any given year, and the amount of any such Annual Bonus, will be determined by the Board of Directors of the Company and/or its Compensation Committee (the “Board”)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(except as provided in Section 7.1), you will not have earned, and will not be paid, any pro-rated bonus. The Annual Bonus, if earned, shall be paid to you in a lump sum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that follows the performance year, subject to applicable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585" w:right="339" w:bottom="1440" w:gutter="0" w:footer="0" w:header="0"/>
        </w:sectPr>
      </w:pPr>
    </w:p>
    <w:bookmarkStart w:id="36" w:name="page37"/>
    <w:bookmarkEnd w:id="36"/>
    <w:p>
      <w:pPr>
        <w:spacing w:after="0" w:line="171" w:lineRule="exact"/>
        <w:rPr>
          <w:sz w:val="20"/>
          <w:szCs w:val="20"/>
          <w:color w:val="auto"/>
        </w:rPr>
      </w:pPr>
    </w:p>
    <w:p>
      <w:pPr>
        <w:jc w:val="both"/>
        <w:ind w:left="680" w:right="20"/>
        <w:spacing w:after="0" w:line="271" w:lineRule="auto"/>
        <w:rPr>
          <w:sz w:val="20"/>
          <w:szCs w:val="20"/>
          <w:color w:val="auto"/>
        </w:rPr>
      </w:pPr>
      <w:r>
        <w:rPr>
          <w:rFonts w:ascii="Times New Roman" w:cs="Times New Roman" w:eastAsia="Times New Roman" w:hAnsi="Times New Roman"/>
          <w:sz w:val="22"/>
          <w:szCs w:val="22"/>
          <w:color w:val="auto"/>
        </w:rPr>
        <w:t>payroll deductions and withholdings. You are eligible for a pro-rated Annual Bonus for FY2025. Your Annual Bonus will be subject to any recoupment policy adopted by the Company or as required by law.</w:t>
      </w:r>
    </w:p>
    <w:p>
      <w:pPr>
        <w:spacing w:after="0" w:line="154" w:lineRule="exact"/>
        <w:rPr>
          <w:sz w:val="20"/>
          <w:szCs w:val="20"/>
          <w:color w:val="auto"/>
        </w:rPr>
      </w:pPr>
    </w:p>
    <w:p>
      <w:pPr>
        <w:jc w:val="both"/>
        <w:ind w:left="680" w:righ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2.3. Sign on Bonus. </w:t>
      </w:r>
      <w:r>
        <w:rPr>
          <w:rFonts w:ascii="Times New Roman" w:cs="Times New Roman" w:eastAsia="Times New Roman" w:hAnsi="Times New Roman"/>
          <w:sz w:val="22"/>
          <w:szCs w:val="22"/>
          <w:color w:val="auto"/>
        </w:rPr>
        <w:t>You will be paid a cash sign on bonus of $150,000, subject to applicable withholdings.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sign on bonus will be paid in the first payroll cycle following the Effective Date. You will also be paid a cash retention award of $125,000, subject to applicable withholdings. The first installment of 50% of the retention award will be paid out within six months of the Effective Date, and the remaining 50% will be paid out by twelve months of the Effective Date. Each after-tax portion of the retention payment is subject to repayment to the Company if you resign without Good Reason or are terminated for Cause within 12 months of the payment. This retention award will be subject to any recoupment policy adopted by the Company or as required by law.</w:t>
      </w:r>
    </w:p>
    <w:p>
      <w:pPr>
        <w:spacing w:after="0" w:line="179" w:lineRule="exact"/>
        <w:rPr>
          <w:sz w:val="20"/>
          <w:szCs w:val="20"/>
          <w:color w:val="auto"/>
        </w:rPr>
      </w:pPr>
    </w:p>
    <w:p>
      <w:pPr>
        <w:jc w:val="both"/>
        <w:ind w:left="680"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2.4. Relocation. </w:t>
      </w:r>
      <w:r>
        <w:rPr>
          <w:rFonts w:ascii="Times New Roman" w:cs="Times New Roman" w:eastAsia="Times New Roman" w:hAnsi="Times New Roman"/>
          <w:sz w:val="22"/>
          <w:szCs w:val="22"/>
          <w:color w:val="auto"/>
        </w:rPr>
        <w:t>If you relocate to the Southern California area within 24 months of the Effective Date,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a lump sum of $100,000, less any applicable withholdings, to be paid in the first payroll cycle following your relocation.</w:t>
      </w:r>
    </w:p>
    <w:p>
      <w:pPr>
        <w:spacing w:after="0" w:line="166" w:lineRule="exact"/>
        <w:rPr>
          <w:sz w:val="20"/>
          <w:szCs w:val="20"/>
          <w:color w:val="auto"/>
        </w:rPr>
      </w:pPr>
    </w:p>
    <w:p>
      <w:pPr>
        <w:jc w:val="both"/>
        <w:ind w:left="680" w:right="2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2.5. Equity</w:t>
      </w:r>
      <w:r>
        <w:rPr>
          <w:rFonts w:ascii="Times New Roman" w:cs="Times New Roman" w:eastAsia="Times New Roman" w:hAnsi="Times New Roman"/>
          <w:sz w:val="22"/>
          <w:szCs w:val="22"/>
          <w:color w:val="auto"/>
        </w:rPr>
        <w:t>. Subject to the approval of the Board and you remaining employed by the Company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the Company will grant you restricted stock units (“RSUs”) having a grant date value approximately equal to $1,000,000 as soon as administratively practicable following the Effective Date, with the number of RSUs to be calculated by dividing the grant value by the 30-day trailing average closing price of a share of the Company’s common stock on the date of grant. The RSUs will be granted under and governed by the Company’s 2023 Inducement Plan (the “2023 Plan”), the Company’s standard restricted stock unit award agreement and grant notice approved by the Board for use under the 2023 Plan, and subject to compliance with Section 409A of the Internal Revenue Code and any other applicable law. Twenty-five percent (25%) of the RSUs will vest on the Company quarterly vesting date closest to the one-year anniversary of the Effective Date, and one-twelfth (1/12th) of the remaining RSUs will vest on each of the next twelve (12) Company quarterly vesting dates thereafter, subject to your Continuous Service (as defined in the 2023 Plan) on each vesting date. For clarity, the Board will determine the Company quarterly vesting dates at the time of grant in its sole and absolute discretion.</w:t>
      </w:r>
    </w:p>
    <w:p>
      <w:pPr>
        <w:spacing w:after="0" w:line="229" w:lineRule="exact"/>
        <w:rPr>
          <w:sz w:val="20"/>
          <w:szCs w:val="20"/>
          <w:color w:val="auto"/>
        </w:rPr>
      </w:pPr>
    </w:p>
    <w:p>
      <w:pPr>
        <w:jc w:val="both"/>
        <w:ind w:left="680"/>
        <w:spacing w:after="0" w:line="251" w:lineRule="auto"/>
        <w:rPr>
          <w:sz w:val="20"/>
          <w:szCs w:val="20"/>
          <w:color w:val="auto"/>
        </w:rPr>
      </w:pPr>
      <w:r>
        <w:rPr>
          <w:rFonts w:ascii="Times New Roman" w:cs="Times New Roman" w:eastAsia="Times New Roman" w:hAnsi="Times New Roman"/>
          <w:sz w:val="22"/>
          <w:szCs w:val="22"/>
          <w:color w:val="auto"/>
        </w:rPr>
        <w:t>Subject to the approval of the Board and you remaining employed by the Company through the grant date, the Company will grant you RSUs having a grant date value approximately equal to $800,000 in Q1 2026 or at the same time as 2026 annual grants are made to other of the Company’s executives, with the number of RSUs to be calculated by dividing the grant value by the 30-day trailing average closing price of a share of the Company’s common stock on the date of grant. The RSUs will be granted under and governed by the Company’s 2021 Equity Incentive Plan (the “2021 Plan”), the Company’s standard restricted stock unit award agreement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400" w:top="1440" w:right="419" w:bottom="1440" w:gutter="0" w:footer="0" w:header="0"/>
        </w:sectPr>
      </w:pPr>
    </w:p>
    <w:bookmarkStart w:id="37" w:name="page38"/>
    <w:bookmarkEnd w:id="37"/>
    <w:p>
      <w:pPr>
        <w:spacing w:after="0" w:line="158" w:lineRule="exact"/>
        <w:rPr>
          <w:sz w:val="20"/>
          <w:szCs w:val="20"/>
          <w:color w:val="auto"/>
        </w:rPr>
      </w:pPr>
    </w:p>
    <w:p>
      <w:pPr>
        <w:jc w:val="both"/>
        <w:ind w:left="680"/>
        <w:spacing w:after="0" w:line="251" w:lineRule="auto"/>
        <w:rPr>
          <w:sz w:val="20"/>
          <w:szCs w:val="20"/>
          <w:color w:val="auto"/>
        </w:rPr>
      </w:pPr>
      <w:r>
        <w:rPr>
          <w:rFonts w:ascii="Times New Roman" w:cs="Times New Roman" w:eastAsia="Times New Roman" w:hAnsi="Times New Roman"/>
          <w:sz w:val="22"/>
          <w:szCs w:val="22"/>
          <w:color w:val="auto"/>
        </w:rPr>
        <w:t>and grant notice approved by the Board for use under the 2021 Plan, and subject to compliance with Section 409A of the Internal Revenue Code and any other applicable law. Twenty-five percent (25%) of the RSUs will vest on the Company quarterly vesting date following the one-year anniversary of the grant date, and one- twelfth (1/12th) of the remaining RSUs will vest on each of the next twelve (12) Company quarterly vesting dates thereafter, subject to your Continuous Service (as defined in the 2021 Plan) on each vesting date. For clarity, the Board will determine the Company quarterly vesting dates at the time of grant in its sole and absolute discretion.</w:t>
      </w:r>
    </w:p>
    <w:p>
      <w:pPr>
        <w:spacing w:after="0" w:line="222" w:lineRule="exact"/>
        <w:rPr>
          <w:sz w:val="20"/>
          <w:szCs w:val="20"/>
          <w:color w:val="auto"/>
        </w:rPr>
      </w:pPr>
    </w:p>
    <w:p>
      <w:pPr>
        <w:jc w:val="both"/>
        <w:ind w:left="680"/>
        <w:spacing w:after="0" w:line="271" w:lineRule="auto"/>
        <w:rPr>
          <w:sz w:val="20"/>
          <w:szCs w:val="20"/>
          <w:color w:val="auto"/>
        </w:rPr>
      </w:pPr>
      <w:r>
        <w:rPr>
          <w:rFonts w:ascii="Times New Roman" w:cs="Times New Roman" w:eastAsia="Times New Roman" w:hAnsi="Times New Roman"/>
          <w:sz w:val="22"/>
          <w:szCs w:val="22"/>
          <w:color w:val="auto"/>
        </w:rPr>
        <w:t>You will be eligible for future equity awards as determined by the Board in its sole discretion. RSU awards are generally subject to income and employment tax withholding upon settlement.</w:t>
      </w:r>
    </w:p>
    <w:p>
      <w:pPr>
        <w:spacing w:after="0" w:line="194" w:lineRule="exact"/>
        <w:rPr>
          <w:sz w:val="20"/>
          <w:szCs w:val="20"/>
          <w:color w:val="auto"/>
        </w:rPr>
      </w:pPr>
    </w:p>
    <w:p>
      <w:pPr>
        <w:jc w:val="both"/>
        <w:ind w:left="680" w:hanging="7"/>
        <w:spacing w:after="0" w:line="258" w:lineRule="auto"/>
        <w:tabs>
          <w:tab w:leader="none" w:pos="12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You will be eligible for reimbursement of all reasonable, necessary and documented out-of-pocket business, entertainment, and travel expenses, including travel expenses to and from your current residence and our headquarters in Southern California, incurred by you in connection with the performance of your duties hereunder in accordance with the Company's expense reimbursement policies and procedures.</w:t>
      </w:r>
    </w:p>
    <w:p>
      <w:pPr>
        <w:spacing w:after="0" w:line="194" w:lineRule="exact"/>
        <w:rPr>
          <w:rFonts w:ascii="Times New Roman" w:cs="Times New Roman" w:eastAsia="Times New Roman" w:hAnsi="Times New Roman"/>
          <w:sz w:val="22"/>
          <w:szCs w:val="22"/>
          <w:b w:val="1"/>
          <w:bCs w:val="1"/>
          <w:color w:val="auto"/>
        </w:rPr>
      </w:pPr>
    </w:p>
    <w:p>
      <w:pPr>
        <w:jc w:val="both"/>
        <w:ind w:left="680" w:hanging="7"/>
        <w:spacing w:after="0" w:line="249" w:lineRule="auto"/>
        <w:tabs>
          <w:tab w:leader="none" w:pos="12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Policies; Standard Company Benefits</w:t>
      </w:r>
      <w:r>
        <w:rPr>
          <w:rFonts w:ascii="Times New Roman" w:cs="Times New Roman" w:eastAsia="Times New Roman" w:hAnsi="Times New Roman"/>
          <w:sz w:val="22"/>
          <w:szCs w:val="22"/>
          <w:color w:val="auto"/>
        </w:rPr>
        <w:t>. The employment relationship between the parties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 The Company shall promptly pay or reimburse the legal fees incurred by the CFO in negotiating and preparing this Agreement and related documents, up to a maximum of $25,000.</w:t>
      </w:r>
    </w:p>
    <w:p>
      <w:pPr>
        <w:spacing w:after="0" w:line="222" w:lineRule="exact"/>
        <w:rPr>
          <w:rFonts w:ascii="Times New Roman" w:cs="Times New Roman" w:eastAsia="Times New Roman" w:hAnsi="Times New Roman"/>
          <w:sz w:val="22"/>
          <w:szCs w:val="22"/>
          <w:b w:val="1"/>
          <w:bCs w:val="1"/>
          <w:color w:val="auto"/>
        </w:rPr>
      </w:pPr>
    </w:p>
    <w:p>
      <w:pPr>
        <w:jc w:val="both"/>
        <w:ind w:left="680" w:hanging="7"/>
        <w:spacing w:after="0" w:line="266" w:lineRule="auto"/>
        <w:tabs>
          <w:tab w:leader="none" w:pos="1220"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At-Will Employment. </w:t>
      </w:r>
      <w:r>
        <w:rPr>
          <w:rFonts w:ascii="Times New Roman" w:cs="Times New Roman" w:eastAsia="Times New Roman" w:hAnsi="Times New Roman"/>
          <w:sz w:val="21"/>
          <w:szCs w:val="21"/>
          <w:color w:val="auto"/>
        </w:rPr>
        <w:t>Your employment relationship is at-will. Either you or the Company may terminate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p>
    <w:p>
      <w:pPr>
        <w:spacing w:after="0" w:line="270" w:lineRule="exact"/>
        <w:rPr>
          <w:rFonts w:ascii="Times New Roman" w:cs="Times New Roman" w:eastAsia="Times New Roman" w:hAnsi="Times New Roman"/>
          <w:sz w:val="21"/>
          <w:szCs w:val="21"/>
          <w:b w:val="1"/>
          <w:bCs w:val="1"/>
          <w:color w:val="auto"/>
        </w:rPr>
      </w:pPr>
    </w:p>
    <w:p>
      <w:pPr>
        <w:ind w:left="680" w:hanging="7"/>
        <w:spacing w:after="0" w:line="275" w:lineRule="auto"/>
        <w:tabs>
          <w:tab w:leader="none" w:pos="12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Outside Activities During Employment. </w:t>
      </w:r>
      <w:r>
        <w:rPr>
          <w:rFonts w:ascii="Times New Roman" w:cs="Times New Roman" w:eastAsia="Times New Roman" w:hAnsi="Times New Roman"/>
          <w:sz w:val="22"/>
          <w:szCs w:val="22"/>
          <w:color w:val="auto"/>
        </w:rPr>
        <w:t>Except with the prior written consent of the Board, you will not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of your employment with the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400" w:top="1440" w:right="439" w:bottom="1440" w:gutter="0" w:footer="0" w:header="0"/>
        </w:sectPr>
      </w:pPr>
    </w:p>
    <w:bookmarkStart w:id="38" w:name="page39"/>
    <w:bookmarkEnd w:id="38"/>
    <w:p>
      <w:pPr>
        <w:spacing w:after="0" w:line="225"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22"/>
          <w:szCs w:val="22"/>
          <w:color w:val="auto"/>
        </w:rPr>
        <w:t>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spacing w:after="0" w:line="215" w:lineRule="exact"/>
        <w:rPr>
          <w:sz w:val="20"/>
          <w:szCs w:val="20"/>
          <w:color w:val="auto"/>
        </w:rPr>
      </w:pPr>
    </w:p>
    <w:p>
      <w:pPr>
        <w:ind w:left="1320" w:hanging="647"/>
        <w:spacing w:after="0"/>
        <w:tabs>
          <w:tab w:leader="none" w:pos="13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Severance.</w:t>
      </w:r>
    </w:p>
    <w:p>
      <w:pPr>
        <w:spacing w:after="0" w:line="260" w:lineRule="exact"/>
        <w:rPr>
          <w:sz w:val="20"/>
          <w:szCs w:val="20"/>
          <w:color w:val="auto"/>
        </w:rPr>
      </w:pPr>
    </w:p>
    <w:p>
      <w:pPr>
        <w:jc w:val="both"/>
        <w:ind w:left="6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7.1. Involuntary Termination. </w:t>
      </w:r>
      <w:r>
        <w:rPr>
          <w:rFonts w:ascii="Times New Roman" w:cs="Times New Roman" w:eastAsia="Times New Roman" w:hAnsi="Times New Roman"/>
          <w:sz w:val="22"/>
          <w:szCs w:val="22"/>
          <w:color w:val="auto"/>
        </w:rPr>
        <w:t>If you are subject to an Involuntary Termination and provided that you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compliance with the terms of this Agreement (including the conditions described in Section 7.3 below), the Company shall provide you with the following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680" w:firstLine="1289"/>
        <w:spacing w:after="0" w:line="243" w:lineRule="auto"/>
        <w:tabs>
          <w:tab w:leader="none" w:pos="2525"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Cash Severance. </w:t>
      </w:r>
      <w:r>
        <w:rPr>
          <w:rFonts w:ascii="Times New Roman" w:cs="Times New Roman" w:eastAsia="Times New Roman" w:hAnsi="Times New Roman"/>
          <w:sz w:val="22"/>
          <w:szCs w:val="22"/>
          <w:color w:val="auto"/>
        </w:rPr>
        <w:t>The Company shall pay you, as severance, the equivalent of 12 months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of your Base Salary in effect as of the date of your employment termination, subject to standard payroll deductions and withholdings and will pay, as described in Section 7.1(b), an amount equal to 12 months of health insurance under COBRA on an after-tax basis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as a continuation on the Company’s regular payroll, beginning no later than the first regularly-scheduled payroll date following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your Separation from Service, provided the Separation Agreement (as discussed in Section 7.3) has become effective. The Company shall also pay you, as severance, your Annual Bonus, less standard payroll deductions and withholdings, pro-rated for the employment period you worked during year in which your termination occurs, and subject to the achievement of applicable corporate and/or individual objectives and milestones (as determined in the sole discretion of the Board of Directors of the Company and/or its Compensation Committee) for the year in which your termination occurs. Your pro-rated Annual Bonus severance payment will be paid in the year following your termination at the same time as the Company pays bonuses to the Company’s other executives. In the event an Involuntary Termination takes place after January 1 of a given year, but before the payment of the prior year’s Annual Bonus, the Company will pay you the prior year’s Annual Bonus (as determined in the sole discretion of the Board of Directors of the Company and/or its Compensation Committee based on the achievement of applicable corporate and/or individual objectives and milestones) at the same time that the Company pays bonuses to the Company’s other executives.</w:t>
      </w:r>
    </w:p>
    <w:p>
      <w:pPr>
        <w:spacing w:after="0" w:line="219" w:lineRule="exact"/>
        <w:rPr>
          <w:rFonts w:ascii="Times New Roman" w:cs="Times New Roman" w:eastAsia="Times New Roman" w:hAnsi="Times New Roman"/>
          <w:sz w:val="22"/>
          <w:szCs w:val="22"/>
          <w:b w:val="1"/>
          <w:bCs w:val="1"/>
          <w:color w:val="auto"/>
        </w:rPr>
      </w:pPr>
    </w:p>
    <w:p>
      <w:pPr>
        <w:jc w:val="both"/>
        <w:ind w:left="680" w:firstLine="1289"/>
        <w:spacing w:after="0" w:line="254" w:lineRule="auto"/>
        <w:tabs>
          <w:tab w:leader="none" w:pos="2523"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Continued Group Health Plan Benefits. </w:t>
      </w:r>
      <w:r>
        <w:rPr>
          <w:rFonts w:ascii="Times New Roman" w:cs="Times New Roman" w:eastAsia="Times New Roman" w:hAnsi="Times New Roman"/>
          <w:sz w:val="22"/>
          <w:szCs w:val="22"/>
          <w:color w:val="auto"/>
        </w:rPr>
        <w:t>If you are eligible for and timely elect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group health plan coverage under the Consolidated Omnibus Budget Reconciliation Act of 1985 or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following your Involuntary Termination, the Company will pay your COBRA group health insurance premiums for you and your eligible dependents directly to the insurer until the earliest of (A) the end of the period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400" w:top="1440" w:right="439" w:bottom="1440" w:gutter="0" w:footer="0" w:header="0"/>
        </w:sectPr>
      </w:pPr>
    </w:p>
    <w:bookmarkStart w:id="39" w:name="page40"/>
    <w:bookmarkEnd w:id="39"/>
    <w:p>
      <w:pPr>
        <w:spacing w:after="0" w:line="152"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2"/>
          <w:szCs w:val="22"/>
          <w:color w:val="auto"/>
        </w:rPr>
        <w:t>immediately following your Involuntary Termination that is equal to the Severance Period (the “</w:t>
      </w:r>
      <w:r>
        <w:rPr>
          <w:rFonts w:ascii="Times New Roman" w:cs="Times New Roman" w:eastAsia="Times New Roman" w:hAnsi="Times New Roman"/>
          <w:sz w:val="22"/>
          <w:szCs w:val="22"/>
          <w:b w:val="1"/>
          <w:bCs w:val="1"/>
          <w:i w:val="1"/>
          <w:iCs w:val="1"/>
          <w:color w:val="auto"/>
        </w:rPr>
        <w:t>COBRA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(B) the expiration of your eligibility for continuation coverage under COBRA, or (C) the date when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 w:cs="Times New Roman" w:eastAsia="Times New Roman" w:hAnsi="Times New Roman"/>
          <w:sz w:val="22"/>
          <w:szCs w:val="22"/>
          <w:b w:val="1"/>
          <w:bCs w:val="1"/>
          <w:i w:val="1"/>
          <w:iCs w:val="1"/>
          <w:color w:val="auto"/>
        </w:rPr>
        <w:t>Special Severance Payment</w:t>
      </w:r>
      <w:r>
        <w:rPr>
          <w:rFonts w:ascii="Times New Roman" w:cs="Times New Roman" w:eastAsia="Times New Roman" w:hAnsi="Times New Roman"/>
          <w:sz w:val="22"/>
          <w:szCs w:val="22"/>
          <w:color w:val="auto"/>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spacing w:after="0" w:line="219" w:lineRule="exact"/>
        <w:rPr>
          <w:sz w:val="20"/>
          <w:szCs w:val="20"/>
          <w:color w:val="auto"/>
        </w:rPr>
      </w:pPr>
    </w:p>
    <w:p>
      <w:pPr>
        <w:jc w:val="both"/>
        <w:ind w:left="680" w:right="2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7.2. Termination for Cause; Resignation Without Good Reason; Death or Disability. </w:t>
      </w:r>
      <w:r>
        <w:rPr>
          <w:rFonts w:ascii="Times New Roman" w:cs="Times New Roman" w:eastAsia="Times New Roman" w:hAnsi="Times New Roman"/>
          <w:sz w:val="22"/>
          <w:szCs w:val="22"/>
          <w:color w:val="auto"/>
        </w:rPr>
        <w:t>If you resign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spacing w:after="0" w:line="216" w:lineRule="exact"/>
        <w:rPr>
          <w:sz w:val="20"/>
          <w:szCs w:val="20"/>
          <w:color w:val="auto"/>
        </w:rPr>
      </w:pPr>
    </w:p>
    <w:p>
      <w:pPr>
        <w:jc w:val="both"/>
        <w:ind w:left="680" w:righ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7.3. Conditions to Receipt of Severance Benefits. </w:t>
      </w:r>
      <w:r>
        <w:rPr>
          <w:rFonts w:ascii="Times New Roman" w:cs="Times New Roman" w:eastAsia="Times New Roman" w:hAnsi="Times New Roman"/>
          <w:sz w:val="22"/>
          <w:szCs w:val="22"/>
          <w:color w:val="auto"/>
        </w:rPr>
        <w:t>The receipt of the Severance Benefits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signing and not revoking a separation agreement and release of claims in a form reasonably satisfactory to the Company (the “</w:t>
      </w:r>
      <w:r>
        <w:rPr>
          <w:rFonts w:ascii="Times New Roman" w:cs="Times New Roman" w:eastAsia="Times New Roman" w:hAnsi="Times New Roman"/>
          <w:sz w:val="22"/>
          <w:szCs w:val="22"/>
          <w:b w:val="1"/>
          <w:bCs w:val="1"/>
          <w:color w:val="auto"/>
        </w:rPr>
        <w:t>Separation Agreement</w:t>
      </w:r>
      <w:r>
        <w:rPr>
          <w:rFonts w:ascii="Times New Roman" w:cs="Times New Roman" w:eastAsia="Times New Roman" w:hAnsi="Times New Roman"/>
          <w:sz w:val="22"/>
          <w:szCs w:val="22"/>
          <w:color w:val="auto"/>
        </w:rPr>
        <w:t>”) by no later than the sixtieth (60th) day after your employment termination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 No Severance Benefits will be paid or provided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400" w:top="1440" w:right="419" w:bottom="1440" w:gutter="0" w:footer="0" w:header="0"/>
        </w:sectPr>
      </w:pPr>
    </w:p>
    <w:bookmarkStart w:id="40" w:name="page41"/>
    <w:bookmarkEnd w:id="40"/>
    <w:p>
      <w:pPr>
        <w:spacing w:after="0" w:line="154" w:lineRule="exact"/>
        <w:rPr>
          <w:sz w:val="20"/>
          <w:szCs w:val="20"/>
          <w:color w:val="auto"/>
        </w:rPr>
      </w:pPr>
    </w:p>
    <w:p>
      <w:pPr>
        <w:ind w:left="1320" w:hanging="647"/>
        <w:spacing w:after="0"/>
        <w:tabs>
          <w:tab w:leader="none" w:pos="13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60" w:lineRule="exact"/>
        <w:rPr>
          <w:sz w:val="20"/>
          <w:szCs w:val="20"/>
          <w:color w:val="auto"/>
        </w:rPr>
      </w:pPr>
    </w:p>
    <w:p>
      <w:pPr>
        <w:jc w:val="both"/>
        <w:ind w:left="680"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8.1. Cause.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any one of the following: (a) willful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breach by you of any material Company policy (including, but not limited to, the Company’s policies on nondiscrimination, anti- harassment, and confidential information) or your duties or obligations hereunder which is injurious to the Company;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excluding traffic offenses; or (d) your willful refusal to follow lawful instructions of the Board that are consistent with your position.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w:t>
      </w:r>
    </w:p>
    <w:p>
      <w:pPr>
        <w:spacing w:after="0" w:line="183" w:lineRule="exact"/>
        <w:rPr>
          <w:sz w:val="20"/>
          <w:szCs w:val="20"/>
          <w:color w:val="auto"/>
        </w:rPr>
      </w:pPr>
    </w:p>
    <w:p>
      <w:pPr>
        <w:jc w:val="both"/>
        <w:ind w:left="6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8.2. Code.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“Code” </w:t>
      </w:r>
      <w:r>
        <w:rPr>
          <w:rFonts w:ascii="Times New Roman" w:cs="Times New Roman" w:eastAsia="Times New Roman" w:hAnsi="Times New Roman"/>
          <w:sz w:val="22"/>
          <w:szCs w:val="22"/>
          <w:color w:val="auto"/>
        </w:rPr>
        <w:t>means the U.S. Internal Revenue Code of 1986 (as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and may be amended from time to time) and any regulations and guidance that has been promulgated or may be promulgated from time to time thereunder and any state law of similar effect.</w:t>
      </w:r>
    </w:p>
    <w:p>
      <w:pPr>
        <w:spacing w:after="0" w:line="166" w:lineRule="exact"/>
        <w:rPr>
          <w:sz w:val="20"/>
          <w:szCs w:val="20"/>
          <w:color w:val="auto"/>
        </w:rPr>
      </w:pPr>
    </w:p>
    <w:p>
      <w:pPr>
        <w:jc w:val="both"/>
        <w:ind w:left="6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8.3. Good Reason. </w:t>
      </w:r>
      <w:r>
        <w:rPr>
          <w:rFonts w:ascii="Times New Roman" w:cs="Times New Roman" w:eastAsia="Times New Roman" w:hAnsi="Times New Roman"/>
          <w:sz w:val="22"/>
          <w:szCs w:val="22"/>
          <w:color w:val="auto"/>
        </w:rPr>
        <w:t>For purposes of this Agreement, “Good Reason” means any one of the following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consent: (a) an assignment of duties 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spacing w:after="0" w:line="211" w:lineRule="exact"/>
        <w:rPr>
          <w:sz w:val="20"/>
          <w:szCs w:val="20"/>
          <w:color w:val="auto"/>
        </w:rPr>
      </w:pPr>
    </w:p>
    <w:p>
      <w:pPr>
        <w:jc w:val="both"/>
        <w:ind w:left="68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8.4. Involuntary Termination.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with the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400" w:top="1440" w:right="439" w:bottom="1440" w:gutter="0" w:footer="0" w:header="0"/>
        </w:sectPr>
      </w:pPr>
    </w:p>
    <w:bookmarkStart w:id="41" w:name="page42"/>
    <w:bookmarkEnd w:id="41"/>
    <w:p>
      <w:pPr>
        <w:spacing w:after="0" w:line="158" w:lineRule="exact"/>
        <w:rPr>
          <w:sz w:val="20"/>
          <w:szCs w:val="20"/>
          <w:color w:val="auto"/>
        </w:rPr>
      </w:pPr>
    </w:p>
    <w:p>
      <w:pPr>
        <w:jc w:val="both"/>
        <w:ind w:left="680"/>
        <w:spacing w:after="0" w:line="281" w:lineRule="auto"/>
        <w:rPr>
          <w:sz w:val="20"/>
          <w:szCs w:val="20"/>
          <w:color w:val="auto"/>
        </w:rPr>
      </w:pPr>
      <w:r>
        <w:rPr>
          <w:rFonts w:ascii="Times New Roman" w:cs="Times New Roman" w:eastAsia="Times New Roman" w:hAnsi="Times New Roman"/>
          <w:sz w:val="21"/>
          <w:szCs w:val="21"/>
          <w:color w:val="auto"/>
        </w:rPr>
        <w:t>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spacing w:after="0" w:line="187" w:lineRule="exact"/>
        <w:rPr>
          <w:sz w:val="20"/>
          <w:szCs w:val="20"/>
          <w:color w:val="auto"/>
        </w:rPr>
      </w:pPr>
    </w:p>
    <w:p>
      <w:pPr>
        <w:jc w:val="both"/>
        <w:ind w:left="6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8.5. Separation from Service. </w:t>
      </w:r>
      <w:r>
        <w:rPr>
          <w:rFonts w:ascii="Times New Roman" w:cs="Times New Roman" w:eastAsia="Times New Roman" w:hAnsi="Times New Roman"/>
          <w:sz w:val="22"/>
          <w:szCs w:val="22"/>
          <w:color w:val="auto"/>
        </w:rPr>
        <w:t>For purposes of this Agreement, “Separation from Service”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from service”, as defined under Treasury Regulation Section 1.409A-1(h).</w:t>
      </w:r>
    </w:p>
    <w:p>
      <w:pPr>
        <w:spacing w:after="0" w:line="257" w:lineRule="exact"/>
        <w:rPr>
          <w:sz w:val="20"/>
          <w:szCs w:val="20"/>
          <w:color w:val="auto"/>
        </w:rPr>
      </w:pPr>
    </w:p>
    <w:p>
      <w:pPr>
        <w:jc w:val="both"/>
        <w:ind w:left="680" w:hanging="7"/>
        <w:spacing w:after="0" w:line="248" w:lineRule="auto"/>
        <w:tabs>
          <w:tab w:leader="none" w:pos="12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Proprietary Information Obligations. </w:t>
      </w:r>
      <w:r>
        <w:rPr>
          <w:rFonts w:ascii="Times New Roman" w:cs="Times New Roman" w:eastAsia="Times New Roman" w:hAnsi="Times New Roman"/>
          <w:sz w:val="22"/>
          <w:szCs w:val="22"/>
          <w:color w:val="auto"/>
        </w:rPr>
        <w:t>As a condition of your continued employment, you shall execute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abide by the Company’s standard form of Employee Confidential Information and Invention Assignment Agreement,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spacing w:after="0" w:line="220" w:lineRule="exact"/>
        <w:rPr>
          <w:rFonts w:ascii="Times New Roman" w:cs="Times New Roman" w:eastAsia="Times New Roman" w:hAnsi="Times New Roman"/>
          <w:sz w:val="22"/>
          <w:szCs w:val="22"/>
          <w:b w:val="1"/>
          <w:bCs w:val="1"/>
          <w:color w:val="auto"/>
        </w:rPr>
      </w:pPr>
    </w:p>
    <w:p>
      <w:pPr>
        <w:jc w:val="both"/>
        <w:ind w:left="680" w:hanging="7"/>
        <w:spacing w:after="0" w:line="261" w:lineRule="auto"/>
        <w:tabs>
          <w:tab w:leader="none" w:pos="122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400" w:top="1440" w:right="439" w:bottom="1440" w:gutter="0" w:footer="0" w:header="0"/>
        </w:sectPr>
      </w:pPr>
    </w:p>
    <w:bookmarkStart w:id="42" w:name="page43"/>
    <w:bookmarkEnd w:id="42"/>
    <w:p>
      <w:pPr>
        <w:spacing w:after="0" w:line="158" w:lineRule="exact"/>
        <w:rPr>
          <w:sz w:val="20"/>
          <w:szCs w:val="20"/>
          <w:color w:val="auto"/>
        </w:rPr>
      </w:pPr>
    </w:p>
    <w:p>
      <w:pPr>
        <w:jc w:val="both"/>
        <w:ind w:left="680"/>
        <w:spacing w:after="0" w:line="249" w:lineRule="auto"/>
        <w:rPr>
          <w:sz w:val="20"/>
          <w:szCs w:val="20"/>
          <w:color w:val="auto"/>
        </w:rPr>
      </w:pPr>
      <w:r>
        <w:rPr>
          <w:rFonts w:ascii="Times New Roman" w:cs="Times New Roman" w:eastAsia="Times New Roman" w:hAnsi="Times New Roman"/>
          <w:sz w:val="22"/>
          <w:szCs w:val="22"/>
          <w:color w:val="auto"/>
        </w:rPr>
        <w:t>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w:t>
      </w:r>
    </w:p>
    <w:p>
      <w:pPr>
        <w:spacing w:after="0" w:line="206" w:lineRule="exact"/>
        <w:rPr>
          <w:sz w:val="20"/>
          <w:szCs w:val="20"/>
          <w:color w:val="auto"/>
        </w:rPr>
      </w:pPr>
    </w:p>
    <w:p>
      <w:pPr>
        <w:ind w:left="1300" w:hanging="627"/>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 of All Disputes.</w:t>
      </w:r>
    </w:p>
    <w:p>
      <w:pPr>
        <w:spacing w:after="0" w:line="260" w:lineRule="exact"/>
        <w:rPr>
          <w:sz w:val="20"/>
          <w:szCs w:val="20"/>
          <w:color w:val="auto"/>
        </w:rPr>
      </w:pPr>
    </w:p>
    <w:p>
      <w:pPr>
        <w:jc w:val="both"/>
        <w:ind w:left="680" w:firstLine="648"/>
        <w:spacing w:after="0" w:line="256" w:lineRule="auto"/>
        <w:rPr>
          <w:sz w:val="20"/>
          <w:szCs w:val="20"/>
          <w:color w:val="auto"/>
        </w:rPr>
      </w:pPr>
      <w:r>
        <w:rPr>
          <w:rFonts w:ascii="Times New Roman" w:cs="Times New Roman" w:eastAsia="Times New Roman" w:hAnsi="Times New Roman"/>
          <w:sz w:val="22"/>
          <w:szCs w:val="22"/>
          <w:b w:val="1"/>
          <w:bCs w:val="1"/>
          <w:color w:val="auto"/>
        </w:rPr>
        <w:t>11.1. Agreement to Arbitrate</w:t>
      </w:r>
      <w:r>
        <w:rPr>
          <w:rFonts w:ascii="Times New Roman" w:cs="Times New Roman" w:eastAsia="Times New Roman" w:hAnsi="Times New Roman"/>
          <w:sz w:val="22"/>
          <w:szCs w:val="22"/>
          <w:color w:val="auto"/>
        </w:rPr>
        <w:t>. To ensure the timely and economical resolution of disputes that may arise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you and the Company, both you and the Company mutually agree that pursuant to the Federal Arbitration Act, 9 U.S.C.</w:t>
      </w:r>
    </w:p>
    <w:p>
      <w:pPr>
        <w:spacing w:after="0" w:line="1" w:lineRule="exact"/>
        <w:rPr>
          <w:sz w:val="20"/>
          <w:szCs w:val="20"/>
          <w:color w:val="auto"/>
        </w:rPr>
      </w:pPr>
    </w:p>
    <w:p>
      <w:pPr>
        <w:jc w:val="both"/>
        <w:ind w:left="680"/>
        <w:spacing w:after="0" w:line="257" w:lineRule="auto"/>
        <w:rPr>
          <w:sz w:val="20"/>
          <w:szCs w:val="20"/>
          <w:color w:val="auto"/>
        </w:rPr>
      </w:pPr>
      <w:r>
        <w:rPr>
          <w:rFonts w:ascii="Times New Roman" w:cs="Times New Roman" w:eastAsia="Times New Roman" w:hAnsi="Times New Roman"/>
          <w:sz w:val="21"/>
          <w:szCs w:val="21"/>
          <w:color w:val="auto"/>
        </w:rPr>
        <w:t xml:space="preserve">§1-16, and to the fullest extent permitted by applicable law, you and the Company will submit solely to final, binding and confidential arbitration any and all disputes, claims, or causes of action arising from or relating to: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xml:space="preserve"> the negotiation, execution, interpretation, performance, breach or enforcement of this Agreement; or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your application, hiring, and employment with the Company (including but not limited to all statutory claims); or </w:t>
      </w: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 xml:space="preserve"> the termination of your employment with the Company (including but not limited to all statutory claims). </w:t>
      </w:r>
      <w:r>
        <w:rPr>
          <w:rFonts w:ascii="Times New Roman" w:cs="Times New Roman" w:eastAsia="Times New Roman" w:hAnsi="Times New Roman"/>
          <w:sz w:val="21"/>
          <w:szCs w:val="21"/>
          <w:b w:val="1"/>
          <w:bCs w:val="1"/>
          <w:color w:val="auto"/>
        </w:rPr>
        <w:t>BY AGREEING TO THIS</w:t>
      </w:r>
    </w:p>
    <w:p>
      <w:pPr>
        <w:spacing w:after="0" w:line="3" w:lineRule="exact"/>
        <w:rPr>
          <w:sz w:val="20"/>
          <w:szCs w:val="20"/>
          <w:color w:val="auto"/>
        </w:rPr>
      </w:pPr>
    </w:p>
    <w:p>
      <w:pPr>
        <w:jc w:val="both"/>
        <w:ind w:left="680"/>
        <w:spacing w:after="0" w:line="245" w:lineRule="auto"/>
        <w:rPr>
          <w:sz w:val="20"/>
          <w:szCs w:val="20"/>
          <w:color w:val="auto"/>
        </w:rPr>
      </w:pPr>
      <w:r>
        <w:rPr>
          <w:rFonts w:ascii="Times New Roman" w:cs="Times New Roman" w:eastAsia="Times New Roman" w:hAnsi="Times New Roman"/>
          <w:sz w:val="22"/>
          <w:szCs w:val="22"/>
          <w:b w:val="1"/>
          <w:bCs w:val="1"/>
          <w:color w:val="auto"/>
        </w:rPr>
        <w:t>ARBITRATION PROCEDURE, BOTH YOU AND THE COMPANY WAIVE THE RIGHT TO RESOLVE ANY SUCH DISPUTES THROUGH A TRIAL BY JURY OR JUDGE OR THROUGH AN ADMINISTRATIVE PROCEEDING.</w:t>
      </w:r>
    </w:p>
    <w:p>
      <w:pPr>
        <w:spacing w:after="0" w:line="223" w:lineRule="exact"/>
        <w:rPr>
          <w:sz w:val="20"/>
          <w:szCs w:val="20"/>
          <w:color w:val="auto"/>
        </w:rPr>
      </w:pPr>
    </w:p>
    <w:p>
      <w:pPr>
        <w:jc w:val="both"/>
        <w:ind w:left="6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11.2. Arbitrator Authority</w:t>
      </w:r>
      <w:r>
        <w:rPr>
          <w:rFonts w:ascii="Times New Roman" w:cs="Times New Roman" w:eastAsia="Times New Roman" w:hAnsi="Times New Roman"/>
          <w:sz w:val="22"/>
          <w:szCs w:val="22"/>
          <w:color w:val="auto"/>
        </w:rPr>
        <w:t>. The arbitrator shall have the sole and exclusive authority to determine whether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claim or cause of action is subject to arbitration under this Section and to determine any procedural questions which grow out of such disputes, claims or causes of action and bear on their final disposition.</w:t>
      </w:r>
    </w:p>
    <w:p>
      <w:pPr>
        <w:spacing w:after="0" w:line="207" w:lineRule="exact"/>
        <w:rPr>
          <w:sz w:val="20"/>
          <w:szCs w:val="20"/>
          <w:color w:val="auto"/>
        </w:rPr>
      </w:pPr>
    </w:p>
    <w:p>
      <w:pPr>
        <w:jc w:val="both"/>
        <w:ind w:left="68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11.3. Individual Capacity Only</w:t>
      </w:r>
      <w:r>
        <w:rPr>
          <w:rFonts w:ascii="Times New Roman" w:cs="Times New Roman" w:eastAsia="Times New Roman" w:hAnsi="Times New Roman"/>
          <w:sz w:val="22"/>
          <w:szCs w:val="22"/>
          <w:color w:val="auto"/>
        </w:rPr>
        <w:t>. All claims, disputes, or causes of action under this Section, whether by you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400" w:top="1440" w:right="439" w:bottom="1440" w:gutter="0" w:footer="0" w:header="0"/>
        </w:sectPr>
      </w:pPr>
    </w:p>
    <w:bookmarkStart w:id="43" w:name="page44"/>
    <w:bookmarkEnd w:id="43"/>
    <w:p>
      <w:pPr>
        <w:spacing w:after="0" w:line="158" w:lineRule="exact"/>
        <w:rPr>
          <w:sz w:val="20"/>
          <w:szCs w:val="20"/>
          <w:color w:val="auto"/>
        </w:rPr>
      </w:pPr>
    </w:p>
    <w:p>
      <w:pPr>
        <w:jc w:val="both"/>
        <w:ind w:left="680"/>
        <w:spacing w:after="0" w:line="284" w:lineRule="auto"/>
        <w:rPr>
          <w:sz w:val="20"/>
          <w:szCs w:val="20"/>
          <w:color w:val="auto"/>
        </w:rPr>
      </w:pPr>
      <w:r>
        <w:rPr>
          <w:rFonts w:ascii="Times New Roman" w:cs="Times New Roman" w:eastAsia="Times New Roman" w:hAnsi="Times New Roman"/>
          <w:sz w:val="22"/>
          <w:szCs w:val="22"/>
          <w:color w:val="auto"/>
        </w:rPr>
        <w:t>unenforceable, any claim(s) alleged or brought on behalf of a class shall proceed in a court of law rather than by arbitration.</w:t>
      </w:r>
    </w:p>
    <w:p>
      <w:pPr>
        <w:spacing w:after="0" w:line="167" w:lineRule="exact"/>
        <w:rPr>
          <w:sz w:val="20"/>
          <w:szCs w:val="20"/>
          <w:color w:val="auto"/>
        </w:rPr>
      </w:pPr>
    </w:p>
    <w:p>
      <w:pPr>
        <w:jc w:val="both"/>
        <w:ind w:left="68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11.4. Arbitration Process</w:t>
      </w:r>
      <w:r>
        <w:rPr>
          <w:rFonts w:ascii="Times New Roman" w:cs="Times New Roman" w:eastAsia="Times New Roman" w:hAnsi="Times New Roman"/>
          <w:sz w:val="21"/>
          <w:szCs w:val="21"/>
          <w:color w:val="auto"/>
        </w:rPr>
        <w:t>. Any arbitration proceeding under this Section shall be presided over by a single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arbitrator and conducted by Judicial Arbitration and Mediation Services, Inc.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in Los Angeles County, California, or as otherwise agreed to by you and the Company, under the then applicable JAMS rules for the resolution of employment disputes (available upon request and also currently available at </w:t>
      </w:r>
      <w:r>
        <w:rPr>
          <w:rFonts w:ascii="Times New Roman" w:cs="Times New Roman" w:eastAsia="Times New Roman" w:hAnsi="Times New Roman"/>
          <w:sz w:val="21"/>
          <w:szCs w:val="21"/>
          <w:u w:val="single" w:color="auto"/>
          <w:color w:val="auto"/>
        </w:rPr>
        <w:t>http://www.jamsadr.com/rules-employment-arbitration/</w:t>
      </w:r>
      <w:r>
        <w:rPr>
          <w:rFonts w:ascii="Times New Roman" w:cs="Times New Roman" w:eastAsia="Times New Roman" w:hAnsi="Times New Roman"/>
          <w:sz w:val="21"/>
          <w:szCs w:val="21"/>
          <w:color w:val="auto"/>
        </w:rPr>
        <w:t xml:space="preserve">). You and the Company both have the right to be represented by legal counsel at any arbitration proceeding, at each party’s own expense. The Arbitrator shall: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xml:space="preserve"> have the authority to compel adequate discovery for the resolution of the dispute;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issue a written arbitration decision, to include the arbitrator’s essential findings and conclusions and a statement of the award; and </w:t>
      </w: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 xml:space="preserve"> be authorized to award any or all remedies that you or the Company would be entitled to seek in a court of law. The Company shall pay all JAMS arbitration fees.</w:t>
      </w:r>
    </w:p>
    <w:p>
      <w:pPr>
        <w:spacing w:after="0" w:line="197" w:lineRule="exact"/>
        <w:rPr>
          <w:sz w:val="20"/>
          <w:szCs w:val="20"/>
          <w:color w:val="auto"/>
        </w:rPr>
      </w:pPr>
    </w:p>
    <w:p>
      <w:pPr>
        <w:jc w:val="both"/>
        <w:ind w:left="680"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11.5. Excluded Claims</w:t>
      </w:r>
      <w:r>
        <w:rPr>
          <w:rFonts w:ascii="Times New Roman" w:cs="Times New Roman" w:eastAsia="Times New Roman" w:hAnsi="Times New Roman"/>
          <w:sz w:val="22"/>
          <w:szCs w:val="22"/>
          <w:color w:val="auto"/>
        </w:rPr>
        <w:t>. This Arbitration section shall not apply to any action or claim that cannot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 w:cs="Times New Roman" w:eastAsia="Times New Roman" w:hAnsi="Times New Roman"/>
          <w:sz w:val="22"/>
          <w:szCs w:val="22"/>
          <w:b w:val="1"/>
          <w:bCs w:val="1"/>
          <w:color w:val="auto"/>
        </w:rPr>
        <w:t>Excluded Claims</w:t>
      </w:r>
      <w:r>
        <w:rPr>
          <w:rFonts w:ascii="Times New Roman" w:cs="Times New Roman" w:eastAsia="Times New Roman" w:hAnsi="Times New Roman"/>
          <w:sz w:val="22"/>
          <w:szCs w:val="22"/>
          <w:color w:val="auto"/>
        </w:rPr>
        <w:t>”). In the event you intend to bring multiple claims, including any Excluded Claims, the Excluded Claims may be filed with a court, while any other claims will remain subject to mandatory arbitration.</w:t>
      </w:r>
    </w:p>
    <w:p>
      <w:pPr>
        <w:spacing w:after="0" w:line="32" w:lineRule="exact"/>
        <w:rPr>
          <w:sz w:val="20"/>
          <w:szCs w:val="20"/>
          <w:color w:val="auto"/>
        </w:rPr>
      </w:pPr>
    </w:p>
    <w:p>
      <w:pPr>
        <w:jc w:val="both"/>
        <w:ind w:left="68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11.6. Injunctive Relief and Final Orders</w:t>
      </w:r>
      <w:r>
        <w:rPr>
          <w:rFonts w:ascii="Times New Roman" w:cs="Times New Roman" w:eastAsia="Times New Roman" w:hAnsi="Times New Roman"/>
          <w:sz w:val="22"/>
          <w:szCs w:val="22"/>
          <w:color w:val="auto"/>
        </w:rPr>
        <w:t>. Nothing in this Section is intended to prevent either you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spacing w:after="0" w:line="208" w:lineRule="exact"/>
        <w:rPr>
          <w:sz w:val="20"/>
          <w:szCs w:val="20"/>
          <w:color w:val="auto"/>
        </w:rPr>
      </w:pPr>
    </w:p>
    <w:p>
      <w:pPr>
        <w:jc w:val="both"/>
        <w:ind w:left="680" w:hanging="1"/>
        <w:spacing w:after="0" w:line="262" w:lineRule="auto"/>
        <w:tabs>
          <w:tab w:leader="none" w:pos="122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Provisions. </w:t>
      </w:r>
      <w:r>
        <w:rPr>
          <w:rFonts w:ascii="Times New Roman" w:cs="Times New Roman" w:eastAsia="Times New Roman" w:hAnsi="Times New Roman"/>
          <w:sz w:val="21"/>
          <w:szCs w:val="21"/>
          <w:color w:val="auto"/>
        </w:rPr>
        <w:t>This Agreement, together with the Confidential Information and Inventions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 w:cs="Times New Roman" w:eastAsia="Times New Roman" w:hAnsi="Times New Roman"/>
          <w:sz w:val="21"/>
          <w:szCs w:val="21"/>
          <w:b w:val="1"/>
          <w:bCs w:val="1"/>
          <w:color w:val="auto"/>
        </w:rPr>
        <w:t>Prior Agreements</w:t>
      </w:r>
      <w:r>
        <w:rPr>
          <w:rFonts w:ascii="Times New Roman" w:cs="Times New Roman" w:eastAsia="Times New Roman" w:hAnsi="Times New Roman"/>
          <w:sz w:val="21"/>
          <w:szCs w:val="21"/>
          <w:color w:val="auto"/>
        </w:rPr>
        <w:t>”).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400" w:top="1440" w:right="439" w:bottom="1440" w:gutter="0" w:footer="0" w:header="0"/>
        </w:sectPr>
      </w:pPr>
    </w:p>
    <w:bookmarkStart w:id="44" w:name="page45"/>
    <w:bookmarkEnd w:id="44"/>
    <w:p>
      <w:pPr>
        <w:spacing w:after="0" w:line="158"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2"/>
          <w:szCs w:val="22"/>
          <w:color w:val="auto"/>
        </w:rPr>
        <w:t>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w:t>
      </w:r>
    </w:p>
    <w:p>
      <w:pPr>
        <w:spacing w:after="0" w:line="200" w:lineRule="exact"/>
        <w:rPr>
          <w:sz w:val="20"/>
          <w:szCs w:val="20"/>
          <w:color w:val="auto"/>
        </w:rPr>
      </w:pPr>
    </w:p>
    <w:p>
      <w:pPr>
        <w:jc w:val="both"/>
        <w:ind w:left="680" w:hanging="655"/>
        <w:spacing w:after="0" w:line="252" w:lineRule="auto"/>
        <w:tabs>
          <w:tab w:leader="none" w:pos="6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D&amp;O Insurance. </w:t>
      </w:r>
      <w:r>
        <w:rPr>
          <w:rFonts w:ascii="Times New Roman" w:cs="Times New Roman" w:eastAsia="Times New Roman" w:hAnsi="Times New Roman"/>
          <w:sz w:val="22"/>
          <w:szCs w:val="22"/>
          <w:color w:val="auto"/>
        </w:rPr>
        <w:t>The Company shall indemnify and hold you harmless, to the full extent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Company’s charter, bylaws and applicable law (including advances of legal expenses subject to an undertaking to refund in the event that a final determination is entered that you are not eligible for indemnification) relating to or arising out of your employment. You shall at all relevant times be covered as an insured under any director and officer liability insurance. This Section 13 shall survive any termination of this Agreement or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400" w:top="1440" w:right="439" w:bottom="1440" w:gutter="0" w:footer="0" w:header="0"/>
        </w:sectPr>
      </w:pPr>
    </w:p>
    <w:bookmarkStart w:id="45" w:name="page46"/>
    <w:bookmarkEnd w:id="45"/>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Best regards,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Honest Company,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Carla Vernón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3317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Curtiss Bruce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3317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4/18/2025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19"/>
          </w:cols>
          <w:pgMar w:left="340" w:top="1440" w:right="1440" w:bottom="1440" w:gutter="0" w:footer="0" w:header="0"/>
        </w:sectPr>
      </w:pPr>
    </w:p>
    <w:bookmarkStart w:id="46" w:name="page47"/>
    <w:bookmarkEnd w:id="46"/>
    <w:p>
      <w:pPr>
        <w:spacing w:after="0" w:line="200" w:lineRule="exact"/>
        <w:rPr>
          <w:sz w:val="20"/>
          <w:szCs w:val="20"/>
          <w:color w:val="auto"/>
        </w:rPr>
      </w:pPr>
    </w:p>
    <w:p>
      <w:pPr>
        <w:spacing w:after="0" w:line="26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b w:val="1"/>
          <w:bCs w:val="1"/>
          <w:color w:val="auto"/>
        </w:rPr>
        <w:t>Employee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59"/>
          </w:cols>
          <w:pgMar w:left="400" w:top="144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212725</wp:posOffset>
            </wp:positionV>
            <wp:extent cx="70808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 INFORMATION AND INVENTION ASSIGNMENT AGREEMENT</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condition of my employment with The Honest Company, Inc. (including its subsidiaries, affiliates, successors or assigns) (“the Company”), and in consideration of my employment with the Company and my receipt of the compensation now and hereafter paid to the Employee by Company, I agree to the following provisions of this Confidential Information and Invention Assignment Agreement (“Agreement”):</w:t>
      </w:r>
    </w:p>
    <w:p>
      <w:pPr>
        <w:spacing w:after="0" w:line="210"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60" w:lineRule="exact"/>
        <w:rPr>
          <w:rFonts w:ascii="Times New Roman" w:cs="Times New Roman" w:eastAsia="Times New Roman" w:hAnsi="Times New Roman"/>
          <w:sz w:val="20"/>
          <w:szCs w:val="20"/>
          <w:b w:val="1"/>
          <w:bCs w:val="1"/>
          <w:color w:val="auto"/>
        </w:rPr>
      </w:pPr>
    </w:p>
    <w:p>
      <w:pPr>
        <w:jc w:val="both"/>
        <w:ind w:firstLine="656"/>
        <w:spacing w:after="0" w:line="248" w:lineRule="auto"/>
        <w:tabs>
          <w:tab w:leader="none" w:pos="128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Exclusions</w:t>
      </w:r>
      <w:r>
        <w:rPr>
          <w:rFonts w:ascii="Times New Roman" w:cs="Times New Roman" w:eastAsia="Times New Roman" w:hAnsi="Times New Roman"/>
          <w:sz w:val="20"/>
          <w:szCs w:val="20"/>
          <w:color w:val="auto"/>
        </w:rPr>
        <w:t>. The Employee agrees at all times during the term of employment and thereafter, to hold in strictest confidence, and not to use, except for the benefit of the Company, or to disclose to any person or entity without written authorization of the Board of Directors of the Company, any Confidential Information of the Company. The Employee understands that “Confidential Information” means any Company proprietary information, technical data, trade secrets or know-how, including, but not limited to, research, product plans, products, services, customer lists and customers (including, but not limited to, customers of the Company the Employee called or with whom the Employee became acquainted during the term of employment), vendors and vendor lists, markets, software, developments, inventions, patents, patent applications, processes, formulas, technology, designs, drawings, engineering, hardware configuration information, marketing, finances or other business information disclosed to the Employee by the Company either directly or indirectly in writing, orally or by drawings or observation of parts or equipment intended for use in intrastate as well as interstate or foreign commerce transactions. Notwithstanding the foregoing, Confidential Information shall not include any such information which the Employee can establish (i) was publicly known or made generally available prior to the time of disclosure by Company to the Employee; (ii) becomes publicly known or made generally available after disclosure by Company to the Employee through no wrongful action or omission by the Employee; or (iii) is in my rightful possession, without confidentiality obligations, at the time of disclosure by Company as shown by my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The Employee understands that nothing in this Agreement is intended to limit employees’ rights to discuss the terms, wages, and working conditions of their employment, as protected by applicable law.</w:t>
      </w:r>
    </w:p>
    <w:p>
      <w:pPr>
        <w:spacing w:after="0" w:line="11" w:lineRule="exact"/>
        <w:rPr>
          <w:rFonts w:ascii="Times New Roman" w:cs="Times New Roman" w:eastAsia="Times New Roman" w:hAnsi="Times New Roman"/>
          <w:sz w:val="20"/>
          <w:szCs w:val="20"/>
          <w:color w:val="auto"/>
        </w:rPr>
      </w:pPr>
    </w:p>
    <w:p>
      <w:pPr>
        <w:jc w:val="both"/>
        <w:ind w:firstLine="656"/>
        <w:spacing w:after="0" w:line="247" w:lineRule="auto"/>
        <w:tabs>
          <w:tab w:leader="none" w:pos="1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Duty to Maintain Confidentiality of Third Party Information</w:t>
      </w:r>
      <w:r>
        <w:rPr>
          <w:rFonts w:ascii="Times New Roman" w:cs="Times New Roman" w:eastAsia="Times New Roman" w:hAnsi="Times New Roman"/>
          <w:sz w:val="20"/>
          <w:szCs w:val="20"/>
          <w:color w:val="auto"/>
        </w:rPr>
        <w:t>. The Employee recognizes that the Company has received and in the future will receive from third parties their confidential or proprietary information subject to a duty on the Company’s part to maintain the confidentiality of such information and to use it only for certain limited purposes. The Employee agrees that his/her obligations under this Agreement apply equally with respect to that information, and as such agrees to hold all such confidential or proprietary information in the strictest confidence and not to disclose it to any person, firm or corporation or to use it except as necessary in carrying out the Employee’s work for the Company consistent with the Company’s agreement with such third party.</w:t>
      </w:r>
    </w:p>
    <w:p>
      <w:pPr>
        <w:spacing w:after="0" w:line="4"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and/or Proprietary Information of Others</w:t>
      </w:r>
      <w:r>
        <w:rPr>
          <w:rFonts w:ascii="Times New Roman" w:cs="Times New Roman" w:eastAsia="Times New Roman" w:hAnsi="Times New Roman"/>
          <w:sz w:val="20"/>
          <w:szCs w:val="20"/>
          <w:color w:val="auto"/>
        </w:rPr>
        <w:t>. During employment with the Company, the Employee agrees not to improperly use or disclose any confidential and/or proprietary information or trade secrets of any former or concurrent employer or other person or entity and not bring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1</w:t>
      </w:r>
    </w:p>
    <w:p>
      <w:pPr>
        <w:sectPr>
          <w:pgSz w:w="11900" w:h="16838" w:orient="portrait"/>
          <w:cols w:equalWidth="0" w:num="1">
            <w:col w:w="11240"/>
          </w:cols>
          <w:pgMar w:left="320" w:top="1407" w:right="339" w:bottom="1440" w:gutter="0" w:footer="0" w:header="0"/>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20"/>
          <w:szCs w:val="20"/>
          <w:color w:val="auto"/>
        </w:rPr>
        <w:t>onto the premises of the Company any unpublished document or proprietary information belonging to any such employer, person or entity unless consented to in writing by such employer, person or entity.</w:t>
      </w:r>
    </w:p>
    <w:p>
      <w:pPr>
        <w:jc w:val="both"/>
        <w:ind w:firstLine="656"/>
        <w:spacing w:after="0" w:line="259" w:lineRule="auto"/>
        <w:tabs>
          <w:tab w:leader="none" w:pos="1284"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Immunity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51515"/>
        </w:rPr>
        <w:t>Notwithstanding the nondisclosure obligations set forth in this Section, pursuant to 18 U.S.C. 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51515"/>
        </w:rPr>
        <w:t>1833(b), Employee shall not be held criminally or civilly liable under any federal or state trade secret law for the disclosure of a trade secret:</w:t>
      </w:r>
    </w:p>
    <w:p>
      <w:pPr>
        <w:ind w:left="300" w:hanging="292"/>
        <w:spacing w:after="0"/>
        <w:tabs>
          <w:tab w:leader="none" w:pos="300" w:val="left"/>
        </w:tabs>
        <w:numPr>
          <w:ilvl w:val="0"/>
          <w:numId w:val="32"/>
        </w:numPr>
        <w:rPr>
          <w:rFonts w:ascii="Times New Roman" w:cs="Times New Roman" w:eastAsia="Times New Roman" w:hAnsi="Times New Roman"/>
          <w:sz w:val="19"/>
          <w:szCs w:val="19"/>
          <w:color w:val="151515"/>
        </w:rPr>
      </w:pPr>
      <w:r>
        <w:rPr>
          <w:rFonts w:ascii="Times New Roman" w:cs="Times New Roman" w:eastAsia="Times New Roman" w:hAnsi="Times New Roman"/>
          <w:sz w:val="19"/>
          <w:szCs w:val="19"/>
          <w:color w:val="151515"/>
        </w:rPr>
        <w:t>that is made in confidence to a federal, state or local government official, either directly or indirectly, or to an attorney, and solely for the</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151515"/>
        </w:rPr>
        <w:t>purpose of reporting or investigating a suspected violation of law; or (2) in a complaint or other document filed in a lawsuit or other proceeding, if such filing is made under seal. If Employee files a lawsuit for retaliation by Company for reporting a suspected violation of law, Employee may disclose Company’s trade secrets to his or her attorney and use the trade secret information in the court proceeding, provided that Employee files any document containing the trade secret under seal and does not disclose the trade secret, except pursuant to court order.</w:t>
      </w:r>
    </w:p>
    <w:p>
      <w:pPr>
        <w:spacing w:after="0" w:line="219"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INVENTIONS.</w:t>
      </w:r>
    </w:p>
    <w:p>
      <w:pPr>
        <w:spacing w:after="0" w:line="260"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8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Inventions Retained and Licensed</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is a list describing all inventions, original works of authorship, discoveries, developments, improvements, and other trade secrets or other proprietary information or intellectual property which were made by the Employee prior to employment with the Company and/or owned by any third-party (collectively referred to as “Prior Inventions”), which belong to the Employee, which relate to the Company’s proposed business, products or research and development, and which are not assigned to the Company hereunder; or, if no such list is attached, the Employee represents that there are no such Prior Inventions. The Employee will not incorporate any Prior Inventions into any Inventions without the Company’s prior written permission. If, in the course of employment with the Company, the Employee incorporates into a Company product, process, or machine a Prior Invention owned by the Employee or in which the Employee has an interest, the Company is hereby granted and shall have a nonexclusive, royalty-free, irrevocable, perpetual, worldwide license to make, have made, modify, use and sell such Prior Invention as part of or in connection with such product, process or machine.</w:t>
      </w:r>
    </w:p>
    <w:p>
      <w:pPr>
        <w:spacing w:after="0" w:line="20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Inventions</w:t>
      </w:r>
      <w:r>
        <w:rPr>
          <w:rFonts w:ascii="Times New Roman" w:cs="Times New Roman" w:eastAsia="Times New Roman" w:hAnsi="Times New Roman"/>
          <w:sz w:val="20"/>
          <w:szCs w:val="20"/>
          <w:color w:val="auto"/>
        </w:rPr>
        <w:t>. The Employee agree to promptly make full written disclosure to the Company, to hold in trust for the sole right and benefit of the Company, and hereby irrevocably assign to the Company, or its designee, all right, title and interest in and to any and all inventions, original works of authorship, copyrightable material, notes, records, drawings, designs, logos, developments, concepts, improvements, discoveries, ideas, or trade secrets, whether or not patentable or registrable under copyright or similar laws, conceived, discovered, authored, invented, developed or reduced to practice by the Employee, solely or in collaboration with others, during the period of time the Employee is in the employ of the Company (including during my off-duty hours), or with the use of Company’s equipment, supplies, facilities, or Confidential Information, and any copyrights, patents, trade secrets, mask work rights or other intellectual property rights relating to the foregoing, except as provided below (collectively, “Inventions”), as the sole property of the Company, except as provided in subsection (d) below. The Employee agrees that this assignment includes a present conveyance to the Company of ownership of Inventions that are not yet in existence. The Employee further acknowledges that all original works of authorship which are made by the Employee (solely or jointly with others) within the scope of and during the period of employment with the Company and which are protectable by copyright are “works made for hire,” as that term is defined in the United States Copyright Act. The Employee further understands and agrees that the decision whether or not to commercialize or market any Inventions is within the Company’s sole discretion and for the Company’s sole benefit, and that no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2</w:t>
      </w:r>
    </w:p>
    <w:p>
      <w:pPr>
        <w:sectPr>
          <w:pgSz w:w="11900" w:h="16838" w:orient="portrait"/>
          <w:cols w:equalWidth="0" w:num="1">
            <w:col w:w="11240"/>
          </w:cols>
          <w:pgMar w:left="320" w:top="1413" w:right="339" w:bottom="1440" w:gutter="0" w:footer="0" w:header="0"/>
        </w:sectPr>
      </w:pPr>
    </w:p>
    <w:bookmarkStart w:id="49" w:name="page50"/>
    <w:bookmarkEnd w:id="49"/>
    <w:p>
      <w:pPr>
        <w:spacing w:after="0" w:line="283" w:lineRule="auto"/>
        <w:rPr>
          <w:sz w:val="20"/>
          <w:szCs w:val="20"/>
          <w:color w:val="auto"/>
        </w:rPr>
      </w:pPr>
      <w:r>
        <w:rPr>
          <w:rFonts w:ascii="Times New Roman" w:cs="Times New Roman" w:eastAsia="Times New Roman" w:hAnsi="Times New Roman"/>
          <w:sz w:val="20"/>
          <w:szCs w:val="20"/>
          <w:color w:val="auto"/>
        </w:rPr>
        <w:t>royalty or other consideration will be due to the Employee as a result of the Company’s efforts to commercialize or market any such Inventions.</w:t>
      </w:r>
    </w:p>
    <w:p>
      <w:pPr>
        <w:spacing w:after="0" w:line="173" w:lineRule="exact"/>
        <w:rPr>
          <w:sz w:val="20"/>
          <w:szCs w:val="20"/>
          <w:color w:val="auto"/>
        </w:rPr>
      </w:pPr>
    </w:p>
    <w:p>
      <w:pPr>
        <w:jc w:val="both"/>
        <w:ind w:firstLine="656"/>
        <w:spacing w:after="0" w:line="257"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Moral Rights</w:t>
      </w:r>
      <w:r>
        <w:rPr>
          <w:rFonts w:ascii="Times New Roman" w:cs="Times New Roman" w:eastAsia="Times New Roman" w:hAnsi="Times New Roman"/>
          <w:sz w:val="20"/>
          <w:szCs w:val="20"/>
          <w:color w:val="auto"/>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“Moral Rights”). To the extent that Moral Rights cannot be assigned under applicable law, I hereby waive and agree not to enforce any and all Moral Rights, including, without limitation, any limitation on subsequent modification, to the extent permitted under applicable law.</w:t>
      </w:r>
    </w:p>
    <w:p>
      <w:pPr>
        <w:spacing w:after="0" w:line="199"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 to Assignments</w:t>
      </w:r>
      <w:r>
        <w:rPr>
          <w:rFonts w:ascii="Times New Roman" w:cs="Times New Roman" w:eastAsia="Times New Roman" w:hAnsi="Times New Roman"/>
          <w:sz w:val="20"/>
          <w:szCs w:val="20"/>
          <w:color w:val="auto"/>
        </w:rPr>
        <w:t xml:space="preserve">. The Employee understands that the provision(s) of this Agreement requiring assignment of Inventions to the Company do not apply to any invention which qualifies fully under the provisions of California Labor Code Section 2870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Employee shall advise the Company promptly in writing of any inventions that, in the Employee’s belief, meets the criteria in California Labor Code Section 2870 and not otherwise disclosed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permit a determination of ownership by the Company.</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Records</w:t>
      </w:r>
      <w:r>
        <w:rPr>
          <w:rFonts w:ascii="Times New Roman" w:cs="Times New Roman" w:eastAsia="Times New Roman" w:hAnsi="Times New Roman"/>
          <w:sz w:val="20"/>
          <w:szCs w:val="20"/>
          <w:color w:val="auto"/>
        </w:rPr>
        <w:t>. The Employee agrees to keep and maintain adequate and current written records of all Inventions made by the Employee (solely or jointly with others) during the term of his or her employment with the Company. The records will be in the form of notes, sketches, drawings and any other format that may be specified by the Company. The records will be available to and remain the sole property of the Company at all times.</w:t>
      </w:r>
    </w:p>
    <w:p>
      <w:pPr>
        <w:spacing w:after="0" w:line="212"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and Copyright Registrations</w:t>
      </w:r>
      <w:r>
        <w:rPr>
          <w:rFonts w:ascii="Times New Roman" w:cs="Times New Roman" w:eastAsia="Times New Roman" w:hAnsi="Times New Roman"/>
          <w:sz w:val="20"/>
          <w:szCs w:val="20"/>
          <w:color w:val="auto"/>
        </w:rPr>
        <w:t>. The Employee agrees to assist the Company, or its designee, at the Company’s expense, in every proper way to secure the Company’s rights in the Inventions and any copyrights, patents, mask work rights or other intellectual property rights relating thereto in any and all countries, including the disclosure of the Company of all pertinent information and data with respect thereto, the execution of all applications, specifications, oaths, assignments and all other instruments which the Company shall deem necessary in order to apply for and obtain such rights and in order to assign and convey to the Company, its successors, assigns and nominees the sole and exclusive rights, title and interest in and to such Inventions, and any copyrights, patents, mask work rights or other intellectual property rights relating thereto. The Employee further agrees that any obligation to execute or cause to be executed, when it is in the Employee’s power to do so, any such instrument or papers shall continue after the termination of this Agreement. If the Company is unable because of the Employee’s mental or physical incapacity or for any other reason to secure a signature to apply for or to pursue any application of any United States or foreign patents or copyright registrations covering Inventions or original works of authorship assigned to the Company as above, then the Employee hereby irrevocably designates and appoints the Company and its duly authorized officers and agents as the Employee’s agent and attorney in fact, to act for and in behalf of the Employee to execute and file any such applications and to do all other lawfully permitted acts to further the prosecution and issuance of letters patent or copyright registrations thereon with the same legal force and effect as if executed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3</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56"/>
        <w:spacing w:after="0" w:line="253" w:lineRule="auto"/>
        <w:tabs>
          <w:tab w:leader="none" w:pos="12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 agree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 further agree that my obligations under this Section shall continue after the termination of this Agreement.</w:t>
      </w:r>
    </w:p>
    <w:p>
      <w:pPr>
        <w:spacing w:after="0" w:line="20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I agree that, if the Company is unable because of my unavailability, mental or physical incapacity, or for any other reason to secure my signature with respect to any Inventions, including, without limitation, for the purpose of applying for or pursuing any application for any United States or foreign patents or mask work or copyright registrations covering the Inventions assigned to the Company herein, then I hereby irrevocably designate and appoint the Company and its duly authorized officers and agents as my agent and attorney-in-fact, to 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spacing w:after="0" w:line="20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CONFLICTING EMPLOYMENT.</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Employee agrees that, during the term of employment with the Company, the Employee will not engage in any other employment, occupation, consulting or other business activity directly related to the business in which the Company is now involved or becomes involved during the term of his or her employment, nor will the Employee engage in any other activities that conflict with the Employee’s obligations to the Company.</w:t>
      </w:r>
    </w:p>
    <w:p>
      <w:pPr>
        <w:spacing w:after="0" w:line="200" w:lineRule="exact"/>
        <w:rPr>
          <w:sz w:val="20"/>
          <w:szCs w:val="20"/>
          <w:color w:val="auto"/>
        </w:rPr>
      </w:pPr>
    </w:p>
    <w:p>
      <w:pPr>
        <w:spacing w:after="0" w:line="23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REPRESENTATIONS.</w:t>
      </w:r>
    </w:p>
    <w:p>
      <w:pPr>
        <w:spacing w:after="0" w:line="2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Employee shall execute any proper oath or verify any proper document required to carry out the terms of this Agreement. The Employee represents that the performance of all the terms of this Agreement will not breach any agreement to keep in confidence proprietary information acquired by the Employee in confidence or in trust prior to employment by the Company. The Employee further agrees that if the Employee has signed a confidentiality agreement or similar type of agreement with any former employer or other entity, the Employee will comply with the terms of any such agreement to the extent that its terms are lawful under applicable law. The Employee represents and warrants that after undertaking a careful search (including searches of computers, cell phones, electronic devices, and documents), the Employee has returned all property and confidential information belonging to all prior employers (and/or other third parties the Employee has performed services for in accordance with the terms of an applicable agreement). The Employee has not entered into, and shall not enter into, any oral or written agreement in conflict herewith. Moreover, the Employee agrees to fully indemnify the Company, its directors, officers, agents, employees, investors, shareholders, administrators, affiliates, divisions, subsidiaries, predecessor and successor corporations, and assigns for all verdicts, judgments, settlements, and other losses incurred by any of them resulting from any breach of the Employee’s obligations under any agreement with a former employer or its contracted third parties to which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4</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83" w:lineRule="auto"/>
        <w:rPr>
          <w:sz w:val="20"/>
          <w:szCs w:val="20"/>
          <w:color w:val="auto"/>
        </w:rPr>
      </w:pPr>
      <w:r>
        <w:rPr>
          <w:rFonts w:ascii="Times New Roman" w:cs="Times New Roman" w:eastAsia="Times New Roman" w:hAnsi="Times New Roman"/>
          <w:sz w:val="20"/>
          <w:szCs w:val="20"/>
          <w:color w:val="auto"/>
        </w:rPr>
        <w:t>Employee is a party or obligation to which the Employee is bound, as well as any reasonable attorneys’ fees and costs if the plaintiff is the prevailing party in such an action, except as prohibited by law.</w:t>
      </w:r>
    </w:p>
    <w:p>
      <w:pPr>
        <w:spacing w:after="0" w:line="200" w:lineRule="exact"/>
        <w:rPr>
          <w:sz w:val="20"/>
          <w:szCs w:val="20"/>
          <w:color w:val="auto"/>
        </w:rPr>
      </w:pPr>
    </w:p>
    <w:p>
      <w:pPr>
        <w:spacing w:after="0" w:line="212"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 OF NEW EMPLOYER.</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the event that the Employee leaves the employ of the Company, the Employee hereby grants consent to notification by the Company to the new employer about any rights and obligations under this Agreement.</w:t>
      </w:r>
    </w:p>
    <w:p>
      <w:pPr>
        <w:spacing w:after="0" w:line="196"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RESERVED.</w:t>
      </w:r>
    </w:p>
    <w:p>
      <w:pPr>
        <w:spacing w:after="0" w:line="256" w:lineRule="exact"/>
        <w:rPr>
          <w:rFonts w:ascii="Times New Roman" w:cs="Times New Roman" w:eastAsia="Times New Roman" w:hAnsi="Times New Roman"/>
          <w:sz w:val="20"/>
          <w:szCs w:val="20"/>
          <w:b w:val="1"/>
          <w:bCs w:val="1"/>
          <w:color w:val="auto"/>
        </w:rPr>
      </w:pPr>
    </w:p>
    <w:p>
      <w:pPr>
        <w:ind w:left="340" w:hanging="332"/>
        <w:spacing w:after="0"/>
        <w:tabs>
          <w:tab w:leader="none" w:pos="3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RETURNING COMPANY PROPERTY.</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Employee agrees that, at the time of leaving the employ of the Company, the Employee will deliver to the Company (and will not keep in his or her possession, recreate or deliver to anyone else) any and all devices, records, data, notes, reports, proposals, lists, correspondence, specifications, drawings, blueprints, sketches, materials, equipment, other documents or property or reproductions of any aforementioned items developed by the Employee pursuant to such employment with the Company or otherwise belonging to the Company, its successors or assigns.</w:t>
      </w:r>
    </w:p>
    <w:p>
      <w:pPr>
        <w:spacing w:after="0" w:line="196"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PROVISIONS.</w:t>
      </w:r>
    </w:p>
    <w:p>
      <w:pPr>
        <w:spacing w:after="0" w:line="260"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28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is intended to bind and inure to the benefit of and be enforceable by the Parties, and their respective successors, assigns, heirs, executors and administrators; provided, that neither Party may assign any duties or her rights hereunder without the written consent of the other Party, which consent shall not be withheld unreasonably. Notwithstanding the foregoing, the Company may assign this Agreement without consent to (a) any of its affiliates or (b) the surviving entity in the event of a merger or acquisition or sale of substantially all of the assets of the Company.</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and Amendment</w:t>
      </w:r>
      <w:r>
        <w:rPr>
          <w:rFonts w:ascii="Times New Roman" w:cs="Times New Roman" w:eastAsia="Times New Roman" w:hAnsi="Times New Roman"/>
          <w:sz w:val="20"/>
          <w:szCs w:val="20"/>
          <w:color w:val="auto"/>
        </w:rPr>
        <w:t>. Neither Party may waive any of the terms or conditions of this Agreement, nor may this Agreement be amended or modified, except by writing duly signed by both Parties and referring to the specific provision to be waived, amended or modified.</w:t>
      </w:r>
    </w:p>
    <w:p>
      <w:pPr>
        <w:spacing w:after="0" w:line="167"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28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with respect to the subject matter hereof, and supersedes all other prior agreements (including but not limited to any prior Employment, Confidential Information, and Assignment of Inventions Agreement) and understandings, both written and oral, among the Parties hereto and their affiliates.</w:t>
      </w:r>
    </w:p>
    <w:p>
      <w:pPr>
        <w:spacing w:after="0" w:line="161"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5</w:t>
      </w:r>
    </w:p>
    <w:p>
      <w:pPr>
        <w:sectPr>
          <w:pgSz w:w="11900" w:h="16838" w:orient="portrait"/>
          <w:cols w:equalWidth="0" w:num="1">
            <w:col w:w="11240"/>
          </w:cols>
          <w:pgMar w:left="320" w:top="1413" w:right="339" w:bottom="1440" w:gutter="0" w:footer="0" w:header="0"/>
        </w:sectPr>
      </w:pPr>
    </w:p>
    <w:bookmarkStart w:id="52" w:name="page53"/>
    <w:bookmarkEnd w:id="52"/>
    <w:p>
      <w:pPr>
        <w:ind w:firstLine="656"/>
        <w:spacing w:after="0" w:line="283" w:lineRule="auto"/>
        <w:tabs>
          <w:tab w:leader="none" w:pos="128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Section and Paragraph captions herein are for convenience of reference only, do not constitute part of this Agreement and shall not be deemed to limit or otherwise affect any of the provisions hereof.</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laws of the State of California, without regard to its conflicts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 provisions.</w:t>
      </w:r>
    </w:p>
    <w:p>
      <w:pPr>
        <w:spacing w:after="0" w:line="200"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w:t>
      </w:r>
      <w:r>
        <w:rPr>
          <w:rFonts w:ascii="Times New Roman" w:cs="Times New Roman" w:eastAsia="Times New Roman" w:hAnsi="Times New Roman"/>
          <w:sz w:val="20"/>
          <w:szCs w:val="20"/>
          <w:color w:val="auto"/>
        </w:rPr>
        <w:t>. Neither Party has relied upon any representations or statements made by the other Party hereto which are not specifically set forth in this Agreement.</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Counterparts/Electronic Signatures</w:t>
      </w:r>
      <w:r>
        <w:rPr>
          <w:rFonts w:ascii="Times New Roman" w:cs="Times New Roman" w:eastAsia="Times New Roman" w:hAnsi="Times New Roman"/>
          <w:sz w:val="20"/>
          <w:szCs w:val="20"/>
          <w:color w:val="auto"/>
        </w:rPr>
        <w:t>. This Agreement may be executed in one or more counterparts, each of which shall be deemed an original but all of which shall constitute one and the same instrument. For purposes of this Agreement, use of a facsimile, e-mail or other electronic medium shall have the same force and effect as an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tabs>
          <w:tab w:leader="none" w:pos="10580" w:val="left"/>
        </w:tabs>
        <w:rPr>
          <w:sz w:val="20"/>
          <w:szCs w:val="20"/>
          <w:color w:val="auto"/>
        </w:rPr>
      </w:pPr>
      <w:r>
        <w:rPr>
          <w:rFonts w:ascii="Times New Roman" w:cs="Times New Roman" w:eastAsia="Times New Roman" w:hAnsi="Times New Roman"/>
          <w:sz w:val="22"/>
          <w:szCs w:val="22"/>
          <w:color w:val="auto"/>
        </w:rPr>
        <w:t>Confidential Information and Assignment of Inventions Agreement</w:t>
      </w:r>
      <w:r>
        <w:rPr>
          <w:sz w:val="20"/>
          <w:szCs w:val="20"/>
          <w:color w:val="auto"/>
        </w:rPr>
        <w:tab/>
      </w:r>
      <w:r>
        <w:rPr>
          <w:rFonts w:ascii="Times New Roman" w:cs="Times New Roman" w:eastAsia="Times New Roman" w:hAnsi="Times New Roman"/>
          <w:sz w:val="21"/>
          <w:szCs w:val="21"/>
          <w:color w:val="auto"/>
        </w:rPr>
        <w:t>Page 6</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by their duly authorized representatives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first written above.</w:t>
      </w: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THE HONEST COMPANY, INC.</w:t>
      </w:r>
    </w:p>
    <w:p>
      <w:pPr>
        <w:spacing w:after="0" w:line="4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 /s/ Brendan Sheehey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12700</wp:posOffset>
            </wp:positionV>
            <wp:extent cx="2451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Brendan Sheehey</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SVP, General Counsel</w:t>
      </w:r>
    </w:p>
    <w:p>
      <w:pPr>
        <w:spacing w:after="0" w:line="290"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EMPLOYEE</w:t>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/s/ 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12700</wp:posOffset>
            </wp:positionV>
            <wp:extent cx="2451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Signature</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19050</wp:posOffset>
            </wp:positionV>
            <wp:extent cx="2451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Printed Name</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4/18/2025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19050</wp:posOffset>
            </wp:positionV>
            <wp:extent cx="2451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Employment, Confidential Information and</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Assignment of Inventions Agreement</w:t>
      </w:r>
    </w:p>
    <w:p>
      <w:pPr>
        <w:sectPr>
          <w:pgSz w:w="11900" w:h="16838" w:orient="portrait"/>
          <w:cols w:equalWidth="0" w:num="1">
            <w:col w:w="11100"/>
          </w:cols>
          <w:pgMar w:left="320" w:top="1409" w:right="479" w:bottom="1440" w:gutter="0" w:footer="0" w:header="0"/>
        </w:sectPr>
      </w:pPr>
    </w:p>
    <w:bookmarkStart w:id="54" w:name="page55"/>
    <w:bookmarkEnd w:id="54"/>
    <w:p>
      <w:pPr>
        <w:jc w:val="right"/>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LIST OF PRIOR INVENTIONS AND ORIGINAL WORKS OF AUTHORSHIP</w:t>
      </w: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3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6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6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Identifying Number or Brief Description</w:t>
            </w:r>
          </w:p>
        </w:tc>
      </w:tr>
      <w:tr>
        <w:trPr>
          <w:trHeight w:val="34"/>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r>
        <w:trPr>
          <w:trHeight w:val="250"/>
        </w:trPr>
        <w:tc>
          <w:tcPr>
            <w:tcW w:w="334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63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I have no inventions or improvements to list.</w:t>
            </w:r>
          </w:p>
        </w:tc>
        <w:tc>
          <w:tcPr>
            <w:tcW w:w="5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__</w:t>
            </w:r>
          </w:p>
        </w:tc>
      </w:tr>
      <w:tr>
        <w:trPr>
          <w:trHeight w:val="270"/>
        </w:trPr>
        <w:tc>
          <w:tcPr>
            <w:tcW w:w="37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(Initials)</w:t>
            </w:r>
          </w:p>
        </w:tc>
        <w:tc>
          <w:tcPr>
            <w:tcW w:w="580" w:type="dxa"/>
            <w:vAlign w:val="bottom"/>
          </w:tcPr>
          <w:p>
            <w:pPr>
              <w:spacing w:after="0"/>
              <w:rPr>
                <w:sz w:val="23"/>
                <w:szCs w:val="23"/>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 have attached _____ additional sheets to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-10795</wp:posOffset>
            </wp:positionV>
            <wp:extent cx="12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(Initials)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251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125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List Of Prior Inventions and Original Works of Authorship</w:t>
      </w:r>
    </w:p>
    <w:p>
      <w:pPr>
        <w:sectPr>
          <w:pgSz w:w="11900" w:h="16838" w:orient="portrait"/>
          <w:cols w:equalWidth="0" w:num="1">
            <w:col w:w="11260"/>
          </w:cols>
          <w:pgMar w:left="320" w:top="122" w:right="319" w:bottom="1440" w:gutter="0" w:footer="0" w:header="0"/>
        </w:sectPr>
      </w:pPr>
    </w:p>
    <w:bookmarkStart w:id="55" w:name="page56"/>
    <w:bookmarkEnd w:id="55"/>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CALIFORNIA LABOR CODE SECTION 2870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AGREEMENTS; ASSIGNMENT OF RIGHTS</w:t>
      </w:r>
    </w:p>
    <w:p>
      <w:pPr>
        <w:spacing w:after="0" w:line="200" w:lineRule="exact"/>
        <w:rPr>
          <w:sz w:val="20"/>
          <w:szCs w:val="20"/>
          <w:color w:val="auto"/>
        </w:rPr>
      </w:pPr>
    </w:p>
    <w:p>
      <w:pPr>
        <w:spacing w:after="0" w:line="270" w:lineRule="exact"/>
        <w:rPr>
          <w:sz w:val="20"/>
          <w:szCs w:val="20"/>
          <w:color w:val="auto"/>
        </w:rPr>
      </w:pPr>
    </w:p>
    <w:p>
      <w:pPr>
        <w:ind w:left="660" w:hanging="652"/>
        <w:spacing w:after="0" w:line="261" w:lineRule="auto"/>
        <w:tabs>
          <w:tab w:leader="none" w:pos="44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8" w:lineRule="exact"/>
        <w:rPr>
          <w:rFonts w:ascii="Times New Roman" w:cs="Times New Roman" w:eastAsia="Times New Roman" w:hAnsi="Times New Roman"/>
          <w:sz w:val="20"/>
          <w:szCs w:val="20"/>
          <w:color w:val="auto"/>
        </w:rPr>
      </w:pPr>
    </w:p>
    <w:p>
      <w:pPr>
        <w:ind w:left="1300" w:hanging="644"/>
        <w:spacing w:after="0" w:line="283" w:lineRule="auto"/>
        <w:tabs>
          <w:tab w:leader="none" w:pos="110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at the time of conception or reduction to practice of the invention to the employer’s business, or actual or demonstrably anticipated research or development of the employer.</w:t>
      </w:r>
    </w:p>
    <w:p>
      <w:pPr>
        <w:spacing w:after="0" w:line="17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from any work performed by the employee for the employer.</w:t>
      </w:r>
    </w:p>
    <w:p>
      <w:pPr>
        <w:spacing w:after="0" w:line="256" w:lineRule="exact"/>
        <w:rPr>
          <w:rFonts w:ascii="Times New Roman" w:cs="Times New Roman" w:eastAsia="Times New Roman" w:hAnsi="Times New Roman"/>
          <w:sz w:val="20"/>
          <w:szCs w:val="20"/>
          <w:color w:val="auto"/>
        </w:rPr>
      </w:pPr>
    </w:p>
    <w:p>
      <w:pPr>
        <w:ind w:left="660" w:hanging="652"/>
        <w:spacing w:after="0" w:line="295" w:lineRule="auto"/>
        <w:tabs>
          <w:tab w:leader="none" w:pos="45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1240"/>
          </w:cols>
          <w:pgMar w:left="320" w:top="1440" w:right="339" w:bottom="1440" w:gutter="0" w:footer="0" w:header="0"/>
        </w:sectPr>
      </w:pPr>
    </w:p>
    <w:bookmarkStart w:id="56" w:name="page57"/>
    <w:bookmarkEnd w:id="56"/>
    <w:p>
      <w:pPr>
        <w:ind w:left="94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39" w:lineRule="exact"/>
        <w:rPr>
          <w:sz w:val="20"/>
          <w:szCs w:val="20"/>
          <w:color w:val="auto"/>
        </w:rPr>
      </w:pPr>
    </w:p>
    <w:p>
      <w:pPr>
        <w:ind w:left="1940" w:hanging="65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640" w:right="180" w:firstLine="644"/>
        <w:spacing w:after="0" w:line="250" w:lineRule="auto"/>
        <w:tabs>
          <w:tab w:leader="none" w:pos="19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640" w:right="400" w:firstLine="644"/>
        <w:spacing w:after="0" w:line="250" w:lineRule="auto"/>
        <w:tabs>
          <w:tab w:leader="none" w:pos="19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640" w:right="280" w:firstLine="644"/>
        <w:spacing w:after="0" w:line="250" w:lineRule="auto"/>
        <w:tabs>
          <w:tab w:leader="none" w:pos="19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640" w:right="340" w:firstLine="644"/>
        <w:spacing w:after="0" w:line="250" w:lineRule="auto"/>
        <w:tabs>
          <w:tab w:leader="none" w:pos="19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40" w:right="180" w:firstLine="644"/>
        <w:spacing w:after="0" w:line="250" w:lineRule="auto"/>
        <w:tabs>
          <w:tab w:leader="none" w:pos="19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40" w:firstLine="644"/>
        <w:spacing w:after="0" w:line="296" w:lineRule="auto"/>
        <w:tabs>
          <w:tab w:leader="none" w:pos="193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40" w:right="460" w:firstLine="644"/>
        <w:spacing w:after="0" w:line="242" w:lineRule="auto"/>
        <w:tabs>
          <w:tab w:leader="none" w:pos="19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260" w:firstLine="644"/>
        <w:spacing w:after="0" w:line="250" w:lineRule="auto"/>
        <w:tabs>
          <w:tab w:leader="none" w:pos="19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640" w:right="420" w:firstLine="644"/>
        <w:spacing w:after="0" w:line="296" w:lineRule="auto"/>
        <w:tabs>
          <w:tab w:leader="none" w:pos="193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640" w:right="800" w:firstLine="644"/>
        <w:spacing w:after="0" w:line="266" w:lineRule="auto"/>
        <w:tabs>
          <w:tab w:leader="none" w:pos="19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460" w:val="left"/>
          <w:tab w:leader="none" w:pos="616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17145</wp:posOffset>
            </wp:positionV>
            <wp:extent cx="3463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80"/>
          </w:cols>
          <w:pgMar w:left="340" w:top="1413" w:right="479" w:bottom="1440" w:gutter="0" w:footer="0" w:header="0"/>
        </w:sectPr>
      </w:pPr>
    </w:p>
    <w:bookmarkStart w:id="57" w:name="page58"/>
    <w:bookmarkEnd w:id="57"/>
    <w:p>
      <w:pPr>
        <w:ind w:left="96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David Loretta, certify that:</w:t>
      </w:r>
    </w:p>
    <w:p>
      <w:pPr>
        <w:spacing w:after="0" w:line="219" w:lineRule="exact"/>
        <w:rPr>
          <w:sz w:val="20"/>
          <w:szCs w:val="20"/>
          <w:color w:val="auto"/>
        </w:rPr>
      </w:pPr>
    </w:p>
    <w:p>
      <w:pPr>
        <w:ind w:left="1600" w:hanging="656"/>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300" w:right="180" w:firstLine="644"/>
        <w:spacing w:after="0" w:line="250" w:lineRule="auto"/>
        <w:tabs>
          <w:tab w:leader="none" w:pos="15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300" w:right="400" w:firstLine="644"/>
        <w:spacing w:after="0" w:line="242" w:lineRule="auto"/>
        <w:tabs>
          <w:tab w:leader="none" w:pos="15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Times New Roman" w:cs="Times New Roman" w:eastAsia="Times New Roman" w:hAnsi="Times New Roman"/>
          <w:sz w:val="18"/>
          <w:szCs w:val="18"/>
          <w:color w:val="auto"/>
        </w:rPr>
      </w:pPr>
    </w:p>
    <w:p>
      <w:pPr>
        <w:ind w:left="300" w:right="280" w:firstLine="644"/>
        <w:spacing w:after="0" w:line="250" w:lineRule="auto"/>
        <w:tabs>
          <w:tab w:leader="none" w:pos="15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00" w:right="340" w:firstLine="644"/>
        <w:spacing w:after="0" w:line="250" w:lineRule="auto"/>
        <w:tabs>
          <w:tab w:leader="none" w:pos="15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300" w:right="180" w:firstLine="644"/>
        <w:spacing w:after="0" w:line="250" w:lineRule="auto"/>
        <w:tabs>
          <w:tab w:leader="none" w:pos="15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00" w:firstLine="644"/>
        <w:spacing w:after="0" w:line="296" w:lineRule="auto"/>
        <w:tabs>
          <w:tab w:leader="none" w:pos="159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300" w:right="460" w:firstLine="644"/>
        <w:spacing w:after="0" w:line="242" w:lineRule="auto"/>
        <w:tabs>
          <w:tab w:leader="none" w:pos="15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300" w:right="260" w:firstLine="644"/>
        <w:spacing w:after="0" w:line="250" w:lineRule="auto"/>
        <w:tabs>
          <w:tab w:leader="none" w:pos="15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300" w:right="420" w:firstLine="644"/>
        <w:spacing w:after="0" w:line="296" w:lineRule="auto"/>
        <w:tabs>
          <w:tab w:leader="none" w:pos="159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300" w:right="800" w:firstLine="644"/>
        <w:spacing w:after="0" w:line="266" w:lineRule="auto"/>
        <w:tabs>
          <w:tab w:leader="none" w:pos="15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7"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By: /s/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34290</wp:posOffset>
            </wp:positionV>
            <wp:extent cx="3934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David Loretta</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740"/>
          </w:cols>
          <w:pgMar w:left="680" w:top="1413" w:right="479" w:bottom="1440" w:gutter="0" w:footer="0" w:header="0"/>
        </w:sectPr>
      </w:pPr>
    </w:p>
    <w:bookmarkStart w:id="58" w:name="page59"/>
    <w:bookmarkEnd w:id="58"/>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ind w:right="180"/>
        <w:spacing w:after="0" w:line="232"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March 31, 2025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6" w:lineRule="exact"/>
        <w:rPr>
          <w:sz w:val="20"/>
          <w:szCs w:val="20"/>
          <w:color w:val="auto"/>
        </w:rPr>
      </w:pPr>
    </w:p>
    <w:p>
      <w:pPr>
        <w:ind w:left="560" w:hanging="504"/>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March 31, 2025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1" w:lineRule="exact"/>
        <w:rPr>
          <w:sz w:val="20"/>
          <w:szCs w:val="20"/>
          <w:color w:val="auto"/>
        </w:rPr>
      </w:pPr>
    </w:p>
    <w:p>
      <w:pPr>
        <w:ind w:left="560" w:hanging="504"/>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David Loretta</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9"/>
    </w:lvl>
  </w:abstractNum>
  <w:abstractNum w:abstractNumId="10">
    <w:nsid w:val="7C3DBD3D"/>
    <w:multiLevelType w:val="hybridMultilevel"/>
    <w:lvl w:ilvl="0">
      <w:lvlJc w:val="left"/>
      <w:lvlText w:val="%1."/>
      <w:numFmt w:val="decimal"/>
      <w:start w:val="10"/>
    </w:lvl>
  </w:abstractNum>
  <w:abstractNum w:abstractNumId="11">
    <w:nsid w:val="737B8DDC"/>
    <w:multiLevelType w:val="hybridMultilevel"/>
    <w:lvl w:ilvl="0">
      <w:lvlJc w:val="left"/>
      <w:lvlText w:val="%1."/>
      <w:numFmt w:val="decimal"/>
      <w:start w:val="1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
    </w:lvl>
    <w:lvl w:ilvl="1">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1."/>
      <w:numFmt w:val="decimal"/>
      <w:start w:val="7"/>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8"/>
    </w:lvl>
  </w:abstractNum>
  <w:abstractNum w:abstractNumId="25">
    <w:nsid w:val="2463B9EA"/>
    <w:multiLevelType w:val="hybridMultilevel"/>
    <w:lvl w:ilvl="0">
      <w:lvlJc w:val="left"/>
      <w:lvlText w:val="%1."/>
      <w:numFmt w:val="decimal"/>
      <w:start w:val="9"/>
    </w:lvl>
  </w:abstractNum>
  <w:abstractNum w:abstractNumId="26">
    <w:nsid w:val="5E884ADC"/>
    <w:multiLevelType w:val="hybridMultilevel"/>
    <w:lvl w:ilvl="0">
      <w:lvlJc w:val="left"/>
      <w:lvlText w:val="%1."/>
      <w:numFmt w:val="decimal"/>
      <w:start w:val="11"/>
    </w:lvl>
  </w:abstractNum>
  <w:abstractNum w:abstractNumId="27">
    <w:nsid w:val="51EAD36B"/>
    <w:multiLevelType w:val="hybridMultilevel"/>
    <w:lvl w:ilvl="0">
      <w:lvlJc w:val="left"/>
      <w:lvlText w:val="%1."/>
      <w:numFmt w:val="decimal"/>
      <w:start w:val="12"/>
    </w:lvl>
  </w:abstractNum>
  <w:abstractNum w:abstractNumId="28">
    <w:nsid w:val="2D517796"/>
    <w:multiLevelType w:val="hybridMultilevel"/>
    <w:lvl w:ilvl="0">
      <w:lvlJc w:val="left"/>
      <w:lvlText w:val="%1."/>
      <w:numFmt w:val="decimal"/>
      <w:start w:val="13"/>
    </w:lvl>
  </w:abstractNum>
  <w:abstractNum w:abstractNumId="29">
    <w:nsid w:val="580BD78F"/>
    <w:multiLevelType w:val="hybridMultilevel"/>
    <w:lvl w:ilvl="0">
      <w:lvlJc w:val="left"/>
      <w:lvlText w:val="%1."/>
      <w:numFmt w:val="decimal"/>
      <w:start w:val="1"/>
    </w:lvl>
    <w:lvl w:ilvl="1">
      <w:lvlJc w:val="left"/>
      <w:lvlText w:val="(%2)"/>
      <w:numFmt w:val="lowerLetter"/>
      <w:start w:val="1"/>
    </w:lvl>
  </w:abstractNum>
  <w:abstractNum w:abstractNumId="30">
    <w:nsid w:val="153EA438"/>
    <w:multiLevelType w:val="hybridMultilevel"/>
    <w:lvl w:ilvl="0">
      <w:lvlJc w:val="left"/>
      <w:lvlText w:val="%1"/>
      <w:numFmt w:val="decimal"/>
      <w:start w:val="1"/>
    </w:lvl>
    <w:lvl w:ilvl="1">
      <w:lvlJc w:val="left"/>
      <w:lvlText w:val="(%2)"/>
      <w:numFmt w:val="lowerLetter"/>
      <w:start w:val="4"/>
    </w:lvl>
  </w:abstractNum>
  <w:abstractNum w:abstractNumId="31">
    <w:nsid w:val="3855585C"/>
    <w:multiLevelType w:val="hybridMultilevel"/>
    <w:lvl w:ilvl="0">
      <w:lvlJc w:val="left"/>
      <w:lvlText w:val="(%1)"/>
      <w:numFmt w:val="decimal"/>
      <w:start w:val="1"/>
    </w:lvl>
    <w:lvl w:ilvl="1">
      <w:lvlJc w:val="left"/>
      <w:lvlText w:val="%2"/>
      <w:numFmt w:val="lowerLetter"/>
      <w:start w:val="1"/>
    </w:lvl>
  </w:abstractNum>
  <w:abstractNum w:abstractNumId="32">
    <w:nsid w:val="70A64E2A"/>
    <w:multiLevelType w:val="hybridMultilevel"/>
    <w:lvl w:ilvl="0">
      <w:lvlJc w:val="left"/>
      <w:lvlText w:val="%1."/>
      <w:numFmt w:val="decimal"/>
      <w:start w:val="2"/>
    </w:lvl>
    <w:lvl w:ilvl="1">
      <w:lvlJc w:val="left"/>
      <w:lvlText w:val="(%2)"/>
      <w:numFmt w:val="lowerLetter"/>
      <w:start w:val="1"/>
    </w:lvl>
  </w:abstractNum>
  <w:abstractNum w:abstractNumId="33">
    <w:nsid w:val="6A2342EC"/>
    <w:multiLevelType w:val="hybridMultilevel"/>
    <w:lvl w:ilvl="0">
      <w:lvlJc w:val="left"/>
      <w:lvlText w:val="(%1)"/>
      <w:numFmt w:val="lowerLetter"/>
      <w:start w:val="3"/>
    </w:lvl>
  </w:abstractNum>
  <w:abstractNum w:abstractNumId="34">
    <w:nsid w:val="2A487CB0"/>
    <w:multiLevelType w:val="hybridMultilevel"/>
    <w:lvl w:ilvl="0">
      <w:lvlJc w:val="left"/>
      <w:lvlText w:val="%1"/>
      <w:numFmt w:val="decimal"/>
      <w:start w:val="1"/>
    </w:lvl>
    <w:lvl w:ilvl="1">
      <w:lvlJc w:val="left"/>
      <w:lvlText w:val="(%2)"/>
      <w:numFmt w:val="lowerLetter"/>
      <w:start w:val="7"/>
    </w:lvl>
  </w:abstractNum>
  <w:abstractNum w:abstractNumId="35">
    <w:nsid w:val="1D4ED43B"/>
    <w:multiLevelType w:val="hybridMultilevel"/>
    <w:lvl w:ilvl="0">
      <w:lvlJc w:val="left"/>
      <w:lvlText w:val="%1."/>
      <w:numFmt w:val="decimal"/>
      <w:start w:val="3"/>
    </w:lvl>
    <w:lvl w:ilvl="1">
      <w:lvlJc w:val="left"/>
      <w:lvlText w:val="%2"/>
      <w:numFmt w:val="lowerLetter"/>
      <w:start w:val="1"/>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decimal"/>
      <w:start w:val="6"/>
    </w:lvl>
  </w:abstractNum>
  <w:abstractNum w:abstractNumId="38">
    <w:nsid w:val="57E4CCAF"/>
    <w:multiLevelType w:val="hybridMultilevel"/>
    <w:lvl w:ilvl="0">
      <w:lvlJc w:val="left"/>
      <w:lvlText w:val="%1."/>
      <w:numFmt w:val="decimal"/>
      <w:start w:val="8"/>
    </w:lvl>
    <w:lvl w:ilvl="1">
      <w:lvlJc w:val="left"/>
      <w:lvlText w:val="(%2)"/>
      <w:numFmt w:val="lowerLetter"/>
      <w:start w:val="1"/>
    </w:lvl>
  </w:abstractNum>
  <w:abstractNum w:abstractNumId="39">
    <w:nsid w:val="7A6D8D3C"/>
    <w:multiLevelType w:val="hybridMultilevel"/>
    <w:lvl w:ilvl="0">
      <w:lvlJc w:val="left"/>
      <w:lvlText w:val="(%1)"/>
      <w:numFmt w:val="lowerLetter"/>
      <w:start w:val="5"/>
    </w:lvl>
  </w:abstractNum>
  <w:abstractNum w:abstractNumId="40">
    <w:nsid w:val="4B588F54"/>
    <w:multiLevelType w:val="hybridMultilevel"/>
    <w:lvl w:ilvl="0">
      <w:lvlJc w:val="left"/>
      <w:lvlText w:val="(%1)"/>
      <w:numFmt w:val="lowerLetter"/>
      <w:start w:val="1"/>
    </w:lvl>
    <w:lvl w:ilvl="1">
      <w:lvlJc w:val="left"/>
      <w:lvlText w:val="(%2)"/>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47" Type="http://schemas.openxmlformats.org/officeDocument/2006/relationships/hyperlink" Target="https://www.sec.gov/Archives/edgar/data/0001530979/000119312521157761/d488865dex31.htm" TargetMode="External"/><Relationship Id="rId48" Type="http://schemas.openxmlformats.org/officeDocument/2006/relationships/hyperlink" Target="https://www.sec.gov/Archives/edgar/data/1530979/000153097925000024/thehonestcompanyinc-ar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2025-05-07T15:27:09Z</dcterms:created>
  <dcterms:modified xsi:type="dcterms:W3CDTF">2025-05-07T15:27:09Z</dcterms:modified>
</cp:coreProperties>
</file>