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354330</wp:posOffset>
            </wp:positionV>
            <wp:extent cx="1800225" cy="342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225"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The Honest Company,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tbl>
      <w:tblPr>
        <w:tblLayout w:type="fixed"/>
        <w:tblInd w:w="540" w:type="dxa"/>
        <w:tblCellMar>
          <w:top w:w="0" w:type="dxa"/>
          <w:left w:w="0" w:type="dxa"/>
          <w:bottom w:w="0" w:type="dxa"/>
          <w:right w:w="0" w:type="dxa"/>
        </w:tblCellMar>
      </w:tblPr>
      <w:tr>
        <w:trPr>
          <w:trHeight w:val="238"/>
        </w:trPr>
        <w:tc>
          <w:tcPr>
            <w:tcW w:w="2800" w:type="dxa"/>
            <w:vAlign w:val="bottom"/>
          </w:tcPr>
          <w:p>
            <w:pPr>
              <w:jc w:val="center"/>
              <w:ind w:right="55"/>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920" w:type="dxa"/>
            <w:vAlign w:val="bottom"/>
          </w:tcPr>
          <w:p>
            <w:pPr>
              <w:jc w:val="center"/>
              <w:ind w:right="295"/>
              <w:spacing w:after="0"/>
              <w:rPr>
                <w:sz w:val="20"/>
                <w:szCs w:val="20"/>
                <w:color w:val="auto"/>
              </w:rPr>
            </w:pPr>
            <w:r>
              <w:rPr>
                <w:rFonts w:ascii="Times New Roman" w:cs="Times New Roman" w:eastAsia="Times New Roman" w:hAnsi="Times New Roman"/>
                <w:sz w:val="18"/>
                <w:szCs w:val="18"/>
                <w:b w:val="1"/>
                <w:bCs w:val="1"/>
                <w:color w:val="auto"/>
                <w:w w:val="99"/>
              </w:rPr>
              <w:t>001-40378</w:t>
            </w:r>
          </w:p>
        </w:tc>
        <w:tc>
          <w:tcPr>
            <w:tcW w:w="1700" w:type="dxa"/>
            <w:vAlign w:val="bottom"/>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90-0750205</w:t>
            </w:r>
          </w:p>
        </w:tc>
      </w:tr>
      <w:tr>
        <w:trPr>
          <w:trHeight w:val="229"/>
        </w:trPr>
        <w:tc>
          <w:tcPr>
            <w:tcW w:w="2800" w:type="dxa"/>
            <w:vAlign w:val="bottom"/>
          </w:tcPr>
          <w:p>
            <w:pPr>
              <w:jc w:val="center"/>
              <w:ind w:right="35"/>
              <w:spacing w:after="0"/>
              <w:rPr>
                <w:sz w:val="20"/>
                <w:szCs w:val="20"/>
                <w:color w:val="auto"/>
              </w:rPr>
            </w:pPr>
            <w:r>
              <w:rPr>
                <w:rFonts w:ascii="Times New Roman" w:cs="Times New Roman" w:eastAsia="Times New Roman" w:hAnsi="Times New Roman"/>
                <w:sz w:val="16"/>
                <w:szCs w:val="16"/>
                <w:color w:val="auto"/>
              </w:rPr>
              <w:t>(State or Other Jurisdiction</w:t>
            </w:r>
          </w:p>
        </w:tc>
        <w:tc>
          <w:tcPr>
            <w:tcW w:w="4920" w:type="dxa"/>
            <w:vAlign w:val="bottom"/>
          </w:tcPr>
          <w:p>
            <w:pPr>
              <w:jc w:val="center"/>
              <w:ind w:right="295"/>
              <w:spacing w:after="0"/>
              <w:rPr>
                <w:sz w:val="20"/>
                <w:szCs w:val="20"/>
                <w:color w:val="auto"/>
              </w:rPr>
            </w:pPr>
            <w:r>
              <w:rPr>
                <w:rFonts w:ascii="Times New Roman" w:cs="Times New Roman" w:eastAsia="Times New Roman" w:hAnsi="Times New Roman"/>
                <w:sz w:val="16"/>
                <w:szCs w:val="16"/>
                <w:color w:val="auto"/>
              </w:rPr>
              <w:t>(Commission File Number)</w:t>
            </w:r>
          </w:p>
        </w:tc>
        <w:tc>
          <w:tcPr>
            <w:tcW w:w="1700" w:type="dxa"/>
            <w:vAlign w:val="bottom"/>
          </w:tcPr>
          <w:p>
            <w:pPr>
              <w:jc w:val="center"/>
              <w:ind w:left="435"/>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2800" w:type="dxa"/>
            <w:vAlign w:val="bottom"/>
          </w:tcPr>
          <w:p>
            <w:pPr>
              <w:jc w:val="center"/>
              <w:ind w:right="55"/>
              <w:spacing w:after="0"/>
              <w:rPr>
                <w:sz w:val="20"/>
                <w:szCs w:val="20"/>
                <w:color w:val="auto"/>
              </w:rPr>
            </w:pPr>
            <w:r>
              <w:rPr>
                <w:rFonts w:ascii="Times New Roman" w:cs="Times New Roman" w:eastAsia="Times New Roman" w:hAnsi="Times New Roman"/>
                <w:sz w:val="16"/>
                <w:szCs w:val="16"/>
                <w:color w:val="auto"/>
              </w:rPr>
              <w:t>of Incorporation)</w:t>
            </w:r>
          </w:p>
        </w:tc>
        <w:tc>
          <w:tcPr>
            <w:tcW w:w="4920" w:type="dxa"/>
            <w:vAlign w:val="bottom"/>
          </w:tcPr>
          <w:p>
            <w:pPr>
              <w:spacing w:after="0"/>
              <w:rPr>
                <w:sz w:val="18"/>
                <w:szCs w:val="18"/>
                <w:color w:val="auto"/>
              </w:rPr>
            </w:pPr>
          </w:p>
        </w:tc>
        <w:tc>
          <w:tcPr>
            <w:tcW w:w="1700" w:type="dxa"/>
            <w:vAlign w:val="bottom"/>
          </w:tcPr>
          <w:p>
            <w:pPr>
              <w:jc w:val="center"/>
              <w:ind w:left="415"/>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67"/>
        </w:trPr>
        <w:tc>
          <w:tcPr>
            <w:tcW w:w="2800" w:type="dxa"/>
            <w:vAlign w:val="bottom"/>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w w:val="99"/>
              </w:rPr>
              <w:t>12130 Millennium Drive, #500</w:t>
            </w:r>
          </w:p>
        </w:tc>
        <w:tc>
          <w:tcPr>
            <w:tcW w:w="492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38"/>
        </w:trPr>
        <w:tc>
          <w:tcPr>
            <w:tcW w:w="2800" w:type="dxa"/>
            <w:vAlign w:val="bottom"/>
          </w:tcPr>
          <w:p>
            <w:pPr>
              <w:jc w:val="center"/>
              <w:ind w:right="55"/>
              <w:spacing w:after="0"/>
              <w:rPr>
                <w:sz w:val="20"/>
                <w:szCs w:val="20"/>
                <w:color w:val="auto"/>
              </w:rPr>
            </w:pPr>
            <w:r>
              <w:rPr>
                <w:rFonts w:ascii="Times New Roman" w:cs="Times New Roman" w:eastAsia="Times New Roman" w:hAnsi="Times New Roman"/>
                <w:sz w:val="18"/>
                <w:szCs w:val="18"/>
                <w:b w:val="1"/>
                <w:bCs w:val="1"/>
                <w:color w:val="auto"/>
                <w:w w:val="98"/>
              </w:rPr>
              <w:t>Los Angeles, CA</w:t>
            </w:r>
          </w:p>
        </w:tc>
        <w:tc>
          <w:tcPr>
            <w:tcW w:w="4920" w:type="dxa"/>
            <w:vAlign w:val="bottom"/>
          </w:tcPr>
          <w:p>
            <w:pPr>
              <w:spacing w:after="0"/>
              <w:rPr>
                <w:sz w:val="20"/>
                <w:szCs w:val="20"/>
                <w:color w:val="auto"/>
              </w:rPr>
            </w:pPr>
          </w:p>
        </w:tc>
        <w:tc>
          <w:tcPr>
            <w:tcW w:w="1700" w:type="dxa"/>
            <w:vAlign w:val="bottom"/>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rPr>
              <w:t>90094</w:t>
            </w:r>
          </w:p>
        </w:tc>
      </w:tr>
      <w:tr>
        <w:trPr>
          <w:trHeight w:val="250"/>
        </w:trPr>
        <w:tc>
          <w:tcPr>
            <w:tcW w:w="2800" w:type="dxa"/>
            <w:vAlign w:val="bottom"/>
          </w:tcPr>
          <w:p>
            <w:pPr>
              <w:jc w:val="center"/>
              <w:ind w:right="55"/>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920" w:type="dxa"/>
            <w:vAlign w:val="bottom"/>
          </w:tcPr>
          <w:p>
            <w:pPr>
              <w:spacing w:after="0"/>
              <w:rPr>
                <w:sz w:val="21"/>
                <w:szCs w:val="21"/>
                <w:color w:val="auto"/>
              </w:rPr>
            </w:pPr>
          </w:p>
        </w:tc>
        <w:tc>
          <w:tcPr>
            <w:tcW w:w="1700" w:type="dxa"/>
            <w:vAlign w:val="bottom"/>
          </w:tcPr>
          <w:p>
            <w:pPr>
              <w:jc w:val="center"/>
              <w:ind w:left="415"/>
              <w:spacing w:after="0"/>
              <w:rPr>
                <w:sz w:val="20"/>
                <w:szCs w:val="20"/>
                <w:color w:val="auto"/>
              </w:rPr>
            </w:pPr>
            <w:r>
              <w:rPr>
                <w:rFonts w:ascii="Times New Roman" w:cs="Times New Roman" w:eastAsia="Times New Roman" w:hAnsi="Times New Roman"/>
                <w:sz w:val="16"/>
                <w:szCs w:val="16"/>
                <w:color w:val="auto"/>
              </w:rPr>
              <w:t>(Zip Code)</w:t>
            </w:r>
          </w:p>
        </w:tc>
      </w:tr>
      <w:tr>
        <w:trPr>
          <w:trHeight w:val="465"/>
        </w:trPr>
        <w:tc>
          <w:tcPr>
            <w:tcW w:w="2800" w:type="dxa"/>
            <w:vAlign w:val="bottom"/>
          </w:tcPr>
          <w:p>
            <w:pPr>
              <w:spacing w:after="0"/>
              <w:rPr>
                <w:sz w:val="24"/>
                <w:szCs w:val="24"/>
                <w:color w:val="auto"/>
              </w:rPr>
            </w:pPr>
          </w:p>
        </w:tc>
        <w:tc>
          <w:tcPr>
            <w:tcW w:w="4920" w:type="dxa"/>
            <w:vAlign w:val="bottom"/>
          </w:tcPr>
          <w:p>
            <w:pPr>
              <w:jc w:val="center"/>
              <w:ind w:right="275"/>
              <w:spacing w:after="0"/>
              <w:rPr>
                <w:sz w:val="20"/>
                <w:szCs w:val="20"/>
                <w:color w:val="auto"/>
              </w:rPr>
            </w:pPr>
            <w:r>
              <w:rPr>
                <w:rFonts w:ascii="Times New Roman" w:cs="Times New Roman" w:eastAsia="Times New Roman" w:hAnsi="Times New Roman"/>
                <w:sz w:val="18"/>
                <w:szCs w:val="18"/>
                <w:b w:val="1"/>
                <w:bCs w:val="1"/>
                <w:color w:val="auto"/>
                <w:w w:val="99"/>
              </w:rPr>
              <w:t>(888) 862-8818</w:t>
            </w:r>
          </w:p>
        </w:tc>
        <w:tc>
          <w:tcPr>
            <w:tcW w:w="1700" w:type="dxa"/>
            <w:vAlign w:val="bottom"/>
          </w:tcPr>
          <w:p>
            <w:pPr>
              <w:spacing w:after="0"/>
              <w:rPr>
                <w:sz w:val="24"/>
                <w:szCs w:val="24"/>
                <w:color w:val="auto"/>
              </w:rPr>
            </w:pPr>
          </w:p>
        </w:tc>
      </w:tr>
      <w:tr>
        <w:trPr>
          <w:trHeight w:val="210"/>
        </w:trPr>
        <w:tc>
          <w:tcPr>
            <w:tcW w:w="2800" w:type="dxa"/>
            <w:vAlign w:val="bottom"/>
          </w:tcPr>
          <w:p>
            <w:pPr>
              <w:spacing w:after="0"/>
              <w:rPr>
                <w:sz w:val="18"/>
                <w:szCs w:val="18"/>
                <w:color w:val="auto"/>
              </w:rPr>
            </w:pPr>
          </w:p>
        </w:tc>
        <w:tc>
          <w:tcPr>
            <w:tcW w:w="4920" w:type="dxa"/>
            <w:vAlign w:val="bottom"/>
          </w:tcPr>
          <w:p>
            <w:pPr>
              <w:jc w:val="center"/>
              <w:ind w:right="275"/>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700" w:type="dxa"/>
            <w:vAlign w:val="bottom"/>
          </w:tcPr>
          <w:p>
            <w:pPr>
              <w:spacing w:after="0"/>
              <w:rPr>
                <w:sz w:val="18"/>
                <w:szCs w:val="18"/>
                <w:color w:val="auto"/>
              </w:rPr>
            </w:pPr>
          </w:p>
        </w:tc>
      </w:tr>
      <w:tr>
        <w:trPr>
          <w:trHeight w:val="370"/>
        </w:trPr>
        <w:tc>
          <w:tcPr>
            <w:tcW w:w="2800" w:type="dxa"/>
            <w:vAlign w:val="bottom"/>
          </w:tcPr>
          <w:p>
            <w:pPr>
              <w:spacing w:after="0"/>
              <w:rPr>
                <w:sz w:val="24"/>
                <w:szCs w:val="24"/>
                <w:color w:val="auto"/>
              </w:rPr>
            </w:pPr>
          </w:p>
        </w:tc>
        <w:tc>
          <w:tcPr>
            <w:tcW w:w="4920" w:type="dxa"/>
            <w:vAlign w:val="bottom"/>
          </w:tcPr>
          <w:p>
            <w:pPr>
              <w:jc w:val="center"/>
              <w:ind w:right="275"/>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00" w:type="dxa"/>
            <w:vAlign w:val="bottom"/>
          </w:tcPr>
          <w:p>
            <w:pPr>
              <w:spacing w:after="0"/>
              <w:rPr>
                <w:sz w:val="24"/>
                <w:szCs w:val="24"/>
                <w:color w:val="auto"/>
              </w:rPr>
            </w:pPr>
          </w:p>
        </w:tc>
      </w:tr>
      <w:tr>
        <w:trPr>
          <w:trHeight w:val="210"/>
        </w:trPr>
        <w:tc>
          <w:tcPr>
            <w:tcW w:w="2800" w:type="dxa"/>
            <w:vAlign w:val="bottom"/>
          </w:tcPr>
          <w:p>
            <w:pPr>
              <w:spacing w:after="0"/>
              <w:rPr>
                <w:sz w:val="18"/>
                <w:szCs w:val="18"/>
                <w:color w:val="auto"/>
              </w:rPr>
            </w:pPr>
          </w:p>
        </w:tc>
        <w:tc>
          <w:tcPr>
            <w:tcW w:w="4920" w:type="dxa"/>
            <w:vAlign w:val="bottom"/>
          </w:tcPr>
          <w:p>
            <w:pPr>
              <w:jc w:val="center"/>
              <w:ind w:right="275"/>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tc>
        <w:tc>
          <w:tcPr>
            <w:tcW w:w="170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6"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00"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4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5020" w:type="dxa"/>
            <w:vAlign w:val="bottom"/>
          </w:tcPr>
          <w:p>
            <w:pPr>
              <w:spacing w:after="0"/>
              <w:rPr>
                <w:sz w:val="15"/>
                <w:szCs w:val="15"/>
                <w:color w:val="auto"/>
              </w:rPr>
            </w:pPr>
          </w:p>
        </w:tc>
      </w:tr>
      <w:tr>
        <w:trPr>
          <w:trHeight w:val="190"/>
        </w:trPr>
        <w:tc>
          <w:tcPr>
            <w:tcW w:w="4380" w:type="dxa"/>
            <w:vAlign w:val="bottom"/>
            <w:gridSpan w:val="2"/>
          </w:tcPr>
          <w:p>
            <w:pPr>
              <w:ind w:left="15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5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4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236"/>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HNST</w:t>
            </w: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65"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 w:name="page2"/>
    <w:bookmarkEnd w:id="1"/>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Principal Operating Officer</w:t>
      </w:r>
    </w:p>
    <w:p>
      <w:pPr>
        <w:spacing w:after="0" w:line="243"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On May 20, 2026, the Board of Directors of The Honest Company, Inc. (the “Company”) approved the promotion of Curtiss Bruce to the position of Chief Financial &amp; Operating Officer, effective May 21, 2026 (the “Effective Date”). In this position, in addition to serving as the Company’s principal financial officer and principal accounting officer, Mr. Bruce will serve as the Company’s principal operating officer.</w:t>
      </w:r>
    </w:p>
    <w:p>
      <w:pPr>
        <w:spacing w:after="0" w:line="211" w:lineRule="exact"/>
        <w:rPr>
          <w:sz w:val="20"/>
          <w:szCs w:val="20"/>
          <w:color w:val="auto"/>
        </w:rPr>
      </w:pPr>
    </w:p>
    <w:p>
      <w:pPr>
        <w:ind w:right="120" w:firstLine="648"/>
        <w:spacing w:after="0" w:line="241" w:lineRule="auto"/>
        <w:rPr>
          <w:sz w:val="20"/>
          <w:szCs w:val="20"/>
          <w:color w:val="auto"/>
        </w:rPr>
      </w:pPr>
      <w:r>
        <w:rPr>
          <w:rFonts w:ascii="Times New Roman" w:cs="Times New Roman" w:eastAsia="Times New Roman" w:hAnsi="Times New Roman"/>
          <w:sz w:val="18"/>
          <w:szCs w:val="18"/>
          <w:color w:val="auto"/>
        </w:rPr>
        <w:t>Mr. Bruce, age 53, has served as the Company’s Chief Financial Officer since June 2025. Prior to joining the Company, Mr. Bruce served as Senior Vice President of Corporate Financial Planning and Analysis and Investor Relations at The Hain Celestial Group, a natural and organic products company, where he modernized financial systems and enhanced investor engagement. Mr. Bruce previously held senior finance roles at Keurig Dr Pepper, a beverage company, from July 2019 to March 2023, Kellogg Company, a food manufacturing company, from 2015 to 2019, Kraft Heinz, a food manufacturing company, from 2012 to 2015, and Mars, Incorporated, a confectionery, food and pet care company, from 2008 to 2012. Mr. Bruce holds an MBA in finance and supply chain from Penn State University and a bachelor's degree in accounting from Millersville University of Pennsylvania.</w:t>
      </w:r>
    </w:p>
    <w:p>
      <w:pPr>
        <w:spacing w:after="0" w:line="211" w:lineRule="exact"/>
        <w:rPr>
          <w:sz w:val="20"/>
          <w:szCs w:val="20"/>
          <w:color w:val="auto"/>
        </w:rPr>
      </w:pPr>
    </w:p>
    <w:p>
      <w:pPr>
        <w:ind w:right="160" w:firstLine="648"/>
        <w:spacing w:after="0" w:line="242" w:lineRule="auto"/>
        <w:rPr>
          <w:sz w:val="20"/>
          <w:szCs w:val="20"/>
          <w:color w:val="auto"/>
        </w:rPr>
      </w:pPr>
      <w:r>
        <w:rPr>
          <w:rFonts w:ascii="Times New Roman" w:cs="Times New Roman" w:eastAsia="Times New Roman" w:hAnsi="Times New Roman"/>
          <w:sz w:val="18"/>
          <w:szCs w:val="18"/>
          <w:color w:val="auto"/>
        </w:rPr>
        <w:t>In connection with his promotion, on May 21, 2026, Mr. Bruce was granted a long-term incentive award of time-vesting restricted stock units (“RSUs”) with a target value of approximately $200,000, 25% of which will vest on May 19, 2027 and 1/12th of the remaining RSUs will vest on each of the Company's next 12 quarterly vesting dates, subject to the terms and conditions of the Company's 2021 Equity Incentive Plan. The number of RSUs underlying the award was calculated by dividing the award’s target value by the 30-day trailing average of the closing price of a share of the Company’s common stock on the day prior to the Effective Date.</w:t>
      </w:r>
    </w:p>
    <w:p>
      <w:pPr>
        <w:spacing w:after="0" w:line="198"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The selection of Mr. Bruce to serve as the Company’s Chief Financial &amp; Operating Officer was not pursuant to any arrangement or understanding with respect to any other person. In addition, there are no family relationships between Mr. Bruce and any director or executive officer of the Company. Mr. Bruce has not been a party to any transaction with the Company or its subsidiaries of the type required to be disclosed pursuant to Item 404(a) of Regulation S-K, and no such transaction is currently contemplated.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43" w:lineRule="exact"/>
        <w:rPr>
          <w:sz w:val="20"/>
          <w:szCs w:val="20"/>
          <w:color w:val="auto"/>
        </w:rPr>
      </w:pPr>
    </w:p>
    <w:p>
      <w:pPr>
        <w:ind w:right="200" w:firstLine="648"/>
        <w:spacing w:after="0" w:line="242" w:lineRule="auto"/>
        <w:rPr>
          <w:sz w:val="20"/>
          <w:szCs w:val="20"/>
          <w:color w:val="auto"/>
        </w:rPr>
      </w:pPr>
      <w:r>
        <w:rPr>
          <w:rFonts w:ascii="Times New Roman" w:cs="Times New Roman" w:eastAsia="Times New Roman" w:hAnsi="Times New Roman"/>
          <w:sz w:val="18"/>
          <w:szCs w:val="18"/>
          <w:color w:val="auto"/>
        </w:rPr>
        <w:t>On May 21, 2026, the Company held its 2026 annual meeting of stockholders (the “2026 Annual Meeting”). At the 2026 Annual Meeting, the Company's stockholders voted on two proposals, each of which is described in more detail in the Company's definitive proxy statement filed with the Securities and Exchange Commission on April 9, 2026 (the “Proxy Statement”). A brief description of each matter voted upon and the certified results, including the number of votes cast for or against each proposal, the number of votes withheld with respect to each proposal (if applicable), the number of abstentions with respect to each proposal (if applicable) and the number of broker non-votes (if applicable), with respect to each proposal follows below.</w:t>
      </w:r>
    </w:p>
    <w:p>
      <w:pPr>
        <w:spacing w:after="0" w:line="212" w:lineRule="exact"/>
        <w:rPr>
          <w:sz w:val="20"/>
          <w:szCs w:val="20"/>
          <w:color w:val="auto"/>
        </w:rPr>
      </w:pPr>
    </w:p>
    <w:p>
      <w:pPr>
        <w:jc w:val="both"/>
        <w:ind w:right="380" w:firstLine="8"/>
        <w:spacing w:after="0" w:line="250" w:lineRule="auto"/>
        <w:tabs>
          <w:tab w:leader="none" w:pos="3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of Class II Directors</w:t>
      </w:r>
      <w:r>
        <w:rPr>
          <w:rFonts w:ascii="Times New Roman" w:cs="Times New Roman" w:eastAsia="Times New Roman" w:hAnsi="Times New Roman"/>
          <w:sz w:val="18"/>
          <w:szCs w:val="18"/>
          <w:color w:val="auto"/>
        </w:rPr>
        <w:t>. Each of the three nominees for Class II director was elected to serve as a Class II director until the Company's 2029 annual meeting of stockholders and her successor is duly elected and qualified, or until her respective earlier death, resignation or removal. The voting results are as follows:</w:t>
      </w:r>
    </w:p>
    <w:p>
      <w:pPr>
        <w:spacing w:after="0" w:line="267" w:lineRule="exact"/>
        <w:rPr>
          <w:sz w:val="20"/>
          <w:szCs w:val="20"/>
          <w:color w:val="auto"/>
        </w:rPr>
      </w:pPr>
    </w:p>
    <w:tbl>
      <w:tblPr>
        <w:tblLayout w:type="fixed"/>
        <w:tblInd w:w="1360" w:type="dxa"/>
        <w:tblCellMar>
          <w:top w:w="0" w:type="dxa"/>
          <w:left w:w="0" w:type="dxa"/>
          <w:bottom w:w="0" w:type="dxa"/>
          <w:right w:w="0" w:type="dxa"/>
        </w:tblCellMar>
      </w:tblPr>
      <w:tr>
        <w:trPr>
          <w:trHeight w:val="238"/>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Nominee</w:t>
            </w:r>
          </w:p>
        </w:tc>
        <w:tc>
          <w:tcPr>
            <w:tcW w:w="21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38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18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w w:val="96"/>
              </w:rPr>
              <w:t>Broker Non-Votes</w:t>
            </w:r>
          </w:p>
        </w:tc>
      </w:t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Jessica Alba</w:t>
            </w:r>
          </w:p>
        </w:tc>
        <w:tc>
          <w:tcPr>
            <w:tcW w:w="2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17,459,113</w:t>
            </w:r>
          </w:p>
        </w:tc>
        <w:tc>
          <w:tcPr>
            <w:tcW w:w="23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21,791,263</w:t>
            </w:r>
          </w:p>
        </w:tc>
        <w:tc>
          <w:tcPr>
            <w:tcW w:w="2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32,742,372</w:t>
            </w:r>
          </w:p>
        </w:tc>
      </w:t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Alissa Hsu Lynch</w:t>
            </w:r>
          </w:p>
        </w:tc>
        <w:tc>
          <w:tcPr>
            <w:tcW w:w="2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33,431,262</w:t>
            </w:r>
          </w:p>
        </w:tc>
        <w:tc>
          <w:tcPr>
            <w:tcW w:w="23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5,819,114</w:t>
            </w:r>
          </w:p>
        </w:tc>
        <w:tc>
          <w:tcPr>
            <w:tcW w:w="2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32,742,372</w:t>
            </w:r>
          </w:p>
        </w:tc>
      </w:t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Andrea A. Turner</w:t>
            </w:r>
          </w:p>
        </w:tc>
        <w:tc>
          <w:tcPr>
            <w:tcW w:w="2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37,911,775</w:t>
            </w:r>
          </w:p>
        </w:tc>
        <w:tc>
          <w:tcPr>
            <w:tcW w:w="23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1,338,601</w:t>
            </w:r>
          </w:p>
        </w:tc>
        <w:tc>
          <w:tcPr>
            <w:tcW w:w="2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32,742,372</w:t>
            </w:r>
          </w:p>
        </w:tc>
      </w:tr>
    </w:tbl>
    <w:p>
      <w:pPr>
        <w:spacing w:after="0" w:line="319" w:lineRule="exact"/>
        <w:rPr>
          <w:sz w:val="20"/>
          <w:szCs w:val="20"/>
          <w:color w:val="auto"/>
        </w:rPr>
      </w:pPr>
    </w:p>
    <w:p>
      <w:pPr>
        <w:ind w:right="220" w:firstLine="8"/>
        <w:spacing w:after="0" w:line="250" w:lineRule="auto"/>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 of the Appointment of the Independent Registered Public Accounting Firm</w:t>
      </w:r>
      <w:r>
        <w:rPr>
          <w:rFonts w:ascii="Times New Roman" w:cs="Times New Roman" w:eastAsia="Times New Roman" w:hAnsi="Times New Roman"/>
          <w:sz w:val="18"/>
          <w:szCs w:val="18"/>
          <w:color w:val="auto"/>
        </w:rPr>
        <w:t>. The Company's stockholders ratified the selection of PricewaterhouseCoopers LLP as the Company's independent registered public accounting firm for the Company's fiscal year ending December 31, 2026. The voting results were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rPr>
              <w:t>For</w:t>
            </w:r>
          </w:p>
        </w:tc>
        <w:tc>
          <w:tcPr>
            <w:tcW w:w="228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596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70"/>
        </w:trPr>
        <w:tc>
          <w:tcPr>
            <w:tcW w:w="30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71,155,449</w:t>
            </w:r>
          </w:p>
        </w:tc>
        <w:tc>
          <w:tcPr>
            <w:tcW w:w="22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299,331</w:t>
            </w:r>
          </w:p>
        </w:tc>
        <w:tc>
          <w:tcPr>
            <w:tcW w:w="59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537,968</w:t>
            </w:r>
          </w:p>
        </w:tc>
      </w:tr>
      <w:tr>
        <w:trPr>
          <w:trHeight w:val="885"/>
        </w:trPr>
        <w:tc>
          <w:tcPr>
            <w:tcW w:w="30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337" w:lineRule="exact"/>
        <w:rPr>
          <w:sz w:val="20"/>
          <w:szCs w:val="20"/>
          <w:color w:val="auto"/>
        </w:rPr>
      </w:pPr>
    </w:p>
    <w:p>
      <w:pPr>
        <w:ind w:left="20"/>
        <w:spacing w:after="0"/>
        <w:tabs>
          <w:tab w:leader="none" w:pos="560" w:val="left"/>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w:t>
        <w:tab/>
        <w:t>May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Brendan Sheehey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34290</wp:posOffset>
            </wp:positionV>
            <wp:extent cx="33000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Brendan Sheehey</w:t>
      </w:r>
    </w:p>
    <w:p>
      <w:pPr>
        <w:spacing w:after="0" w:line="6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Senior Vice President, General Counsel &amp; Corporate Secretary</w:t>
      </w:r>
    </w:p>
    <w:sectPr>
      <w:pgSz w:w="11900" w:h="16838" w:orient="portrait"/>
      <w:cols w:equalWidth="0" w:num="1">
        <w:col w:w="11200"/>
      </w:cols>
      <w:pgMar w:left="320" w:top="76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2026-05-27T16:04:26Z</dcterms:created>
  <dcterms:modified xsi:type="dcterms:W3CDTF">2026-05-27T16:04:26Z</dcterms:modified>
</cp:coreProperties>
</file>