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089148.xml.htm"/>
      <w:bookmarkStart w:id="1" w:name="kswkform4_17730891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Winchell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12130 MILLENNIUM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Honest Company, Inc.</w:t>
              </w:r>
            </w:hyperlink>
            <w:r>
              <w:rPr/>
              <w:t xml:space="preserve"> [ </w:t>
            </w:r>
            <w:r>
              <w:rPr>
                <w:rFonts w:ascii="Times;serif" w:hAnsi="Times;serif"/>
                <w:color w:val="0000FF"/>
                <w:sz w:val="24"/>
                <w:shd w:fill="FFFFFF" w:val="clear"/>
              </w:rPr>
              <w:t>HNST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Innovation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31"/>
        <w:gridCol w:w="454"/>
        <w:gridCol w:w="712"/>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21,287</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2.85</w:t>
            </w:r>
            <w:r>
              <w:rPr>
                <w:rFonts w:ascii="Times;serif" w:hAnsi="Times;serif"/>
                <w:color w:val="008000"/>
                <w:position w:val="7"/>
                <w:sz w:val="16"/>
                <w:sz w:val="20"/>
                <w:shd w:fill="FFFFFF" w:val="clear"/>
              </w:rPr>
              <w:t>(2)</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496,179</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approved sell-to-cover plan by the Compensation Committee for all executive officers, shares were sold solely to cover the associated tax liability upon the vesting of a previously granted award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$2.85 to $2.87, inclusive. The reporting person undertakes to provide to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392,001 RSUs which are payable in an equivalent number of shares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Sheehey,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33634" TargetMode="External"/><Relationship Id="rId5" Type="http://schemas.openxmlformats.org/officeDocument/2006/relationships/hyperlink" Target="http://www.sec.gov/cgi-bin/browse-edgar?action=getcompany&amp;CIK=00015309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683</Words>
  <Characters>3716</Characters>
  <CharactersWithSpaces>4337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