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196"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w:t>
      </w:r>
      <w:r>
        <w:rPr>
          <w:rFonts w:ascii="Times New Roman;serif" w:hAnsi="Times New Roman;serif"/>
          <w:b/>
          <w:color w:val="000000"/>
          <w:sz w:val="20"/>
        </w:rPr>
        <w:t>to</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Commission File Number: 001-40378</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8288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572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Trading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11" w:before="0" w:after="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1"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300"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As of November 3, 2025, the registrant had 111,790,674 shares of common stock, $0.0001 par value per share outstanding.</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8864"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80"/>
        <w:gridCol w:w="180"/>
        <w:gridCol w:w="25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Page </w:t>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3">
              <w:r>
                <w:rPr>
                  <w:rStyle w:val="InternetLink"/>
                  <w:rFonts w:ascii="Times New Roman;serif" w:hAnsi="Times New Roman;serif"/>
                  <w:b w:val="false"/>
                  <w:strike w:val="false"/>
                  <w:dstrike w:val="false"/>
                  <w:color w:val="000000"/>
                  <w:sz w:val="20"/>
                  <w:u w:val="none"/>
                  <w:effect w:val="none"/>
                </w:rPr>
                <w:t>FINANCIAL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3">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6">
              <w:r>
                <w:rPr>
                  <w:rStyle w:val="InternetLink"/>
                  <w:rFonts w:ascii="Times New Roman;serif" w:hAnsi="Times New Roman;serif"/>
                  <w:b w:val="false"/>
                  <w:strike w:val="false"/>
                  <w:dstrike w:val="false"/>
                  <w:color w:val="000000"/>
                  <w:sz w:val="20"/>
                  <w:u w:val="none"/>
                  <w:effect w:val="none"/>
                </w:rPr>
                <w:t>Condensed Consolidated Financial Statements (Unaudited)</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6">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9">
              <w:r>
                <w:rPr>
                  <w:rStyle w:val="InternetLink"/>
                  <w:rFonts w:ascii="Times New Roman;serif" w:hAnsi="Times New Roman;serif"/>
                  <w:b w:val="false"/>
                  <w:strike w:val="false"/>
                  <w:dstrike w:val="false"/>
                  <w:color w:val="000000"/>
                  <w:sz w:val="20"/>
                  <w:u w:val="none"/>
                  <w:effect w:val="none"/>
                </w:rPr>
                <w:t xml:space="preserve">Condensed Consolidated Balance Sheets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9">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22">
              <w:r>
                <w:rPr>
                  <w:rStyle w:val="InternetLink"/>
                  <w:rFonts w:ascii="Times New Roman;serif" w:hAnsi="Times New Roman;serif"/>
                  <w:b w:val="false"/>
                  <w:strike w:val="false"/>
                  <w:dstrike w:val="false"/>
                  <w:color w:val="000080"/>
                  <w:sz w:val="20"/>
                  <w:u w:val="single"/>
                  <w:effect w:val="none"/>
                </w:rPr>
                <w:t xml:space="preserve">Condensed Consolidated Statements of Comprehensive </w:t>
              </w:r>
            </w:hyperlink>
            <w:hyperlink w:anchor="ia54110145af043649897be5f998606bc_22">
              <w:r>
                <w:rPr>
                  <w:rStyle w:val="InternetLink"/>
                  <w:rFonts w:ascii="Times New Roman;serif" w:hAnsi="Times New Roman;serif"/>
                  <w:b w:val="false"/>
                  <w:strike w:val="false"/>
                  <w:dstrike w:val="false"/>
                  <w:color w:val="000080"/>
                  <w:sz w:val="20"/>
                  <w:u w:val="single"/>
                  <w:effect w:val="none"/>
                </w:rPr>
                <w:t>Income (</w:t>
              </w:r>
            </w:hyperlink>
            <w:hyperlink w:anchor="ia54110145af043649897be5f998606bc_22">
              <w:r>
                <w:rPr>
                  <w:rStyle w:val="InternetLink"/>
                  <w:rFonts w:ascii="Times New Roman;serif" w:hAnsi="Times New Roman;serif"/>
                  <w:b w:val="false"/>
                  <w:strike w:val="false"/>
                  <w:dstrike w:val="false"/>
                  <w:color w:val="000080"/>
                  <w:sz w:val="20"/>
                  <w:u w:val="single"/>
                  <w:effect w:val="none"/>
                </w:rPr>
                <w:t>Loss</w:t>
              </w:r>
            </w:hyperlink>
            <w:hyperlink w:anchor="ia54110145af043649897be5f998606bc_22">
              <w:r>
                <w:rPr>
                  <w:rStyle w:val="InternetLink"/>
                  <w:rFonts w:ascii="Times New Roman;serif" w:hAnsi="Times New Roman;serif"/>
                  <w:b w:val="false"/>
                  <w:strike w:val="false"/>
                  <w:dstrike w:val="false"/>
                  <w:color w:val="000080"/>
                  <w:sz w:val="20"/>
                  <w:u w:val="single"/>
                  <w:effect w:val="none"/>
                </w:rPr>
                <w:t>)</w:t>
              </w:r>
            </w:hyperlink>
            <w:hyperlink w:anchor="ia54110145af043649897be5f998606bc_22">
              <w:r>
                <w:rPr>
                  <w:rStyle w:val="InternetLink"/>
                  <w:rFonts w:ascii="Times New Roman;serif" w:hAnsi="Times New Roman;serif"/>
                  <w:b w:val="false"/>
                  <w:strike w:val="false"/>
                  <w:dstrike w:val="false"/>
                  <w:color w:val="000080"/>
                  <w:sz w:val="20"/>
                  <w:u w:val="single"/>
                  <w:effect w:val="none"/>
                </w:rPr>
                <w:t xml:space="preserve">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22">
              <w:r>
                <w:rPr>
                  <w:rStyle w:val="InternetLink"/>
                  <w:rFonts w:ascii="Times New Roman;serif" w:hAnsi="Times New Roman;serif"/>
                  <w:b w:val="false"/>
                  <w:color w:val="0000FF"/>
                  <w:sz w:val="20"/>
                  <w:u w:val="singl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25">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w:t>
              </w:r>
            </w:hyperlink>
            <w:hyperlink w:anchor="ia54110145af043649897be5f998606bc_25">
              <w:r>
                <w:rPr>
                  <w:rStyle w:val="InternetLink"/>
                  <w:rFonts w:ascii="Times New Roman;serif" w:hAnsi="Times New Roman;serif"/>
                  <w:b w:val="false"/>
                  <w:strike w:val="false"/>
                  <w:dstrike w:val="false"/>
                  <w:color w:val="000080"/>
                  <w:sz w:val="20"/>
                  <w:u w:val="single"/>
                  <w:effect w:val="none"/>
                </w:rPr>
                <w:t>Equity</w:t>
              </w:r>
            </w:hyperlink>
            <w:hyperlink w:anchor="ia54110145af043649897be5f998606bc_25">
              <w:r>
                <w:rPr>
                  <w:rStyle w:val="InternetLink"/>
                  <w:rFonts w:ascii="Times New Roman;serif" w:hAnsi="Times New Roman;serif"/>
                  <w:b w:val="false"/>
                  <w:strike w:val="false"/>
                  <w:dstrike w:val="false"/>
                  <w:color w:val="000080"/>
                  <w:sz w:val="20"/>
                  <w:u w:val="single"/>
                  <w:effect w:val="none"/>
                </w:rPr>
                <w:t xml:space="preserve">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25">
              <w:r>
                <w:rPr>
                  <w:rStyle w:val="InternetLink"/>
                  <w:rFonts w:ascii="Times New Roman;serif" w:hAnsi="Times New Roman;serif"/>
                  <w:b w:val="false"/>
                  <w:color w:val="0000FF"/>
                  <w:sz w:val="20"/>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28">
              <w:r>
                <w:rPr>
                  <w:rStyle w:val="InternetLink"/>
                  <w:rFonts w:ascii="Times New Roman;serif" w:hAnsi="Times New Roman;serif"/>
                  <w:b w:val="false"/>
                  <w:strike w:val="false"/>
                  <w:dstrike w:val="false"/>
                  <w:color w:val="000000"/>
                  <w:sz w:val="20"/>
                  <w:u w:val="none"/>
                  <w:effect w:val="none"/>
                </w:rPr>
                <w:t xml:space="preserve">Condensed Consolidated Statements of Cash Flows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28">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31">
              <w:r>
                <w:rPr>
                  <w:rStyle w:val="InternetLink"/>
                  <w:rFonts w:ascii="Times New Roman;serif" w:hAnsi="Times New Roman;serif"/>
                  <w:b w:val="false"/>
                  <w:color w:val="0000FF"/>
                  <w:sz w:val="20"/>
                  <w:u w:val="single"/>
                </w:rPr>
                <w:t>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8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82">
              <w:r>
                <w:rPr>
                  <w:rStyle w:val="InternetLink"/>
                  <w:rFonts w:ascii="Times New Roman;serif" w:hAnsi="Times New Roman;serif"/>
                  <w:b w:val="false"/>
                  <w:color w:val="0000FF"/>
                  <w:sz w:val="20"/>
                  <w:u w:val="single"/>
                </w:rPr>
                <w:t>16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8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88">
              <w:r>
                <w:rPr>
                  <w:rStyle w:val="InternetLink"/>
                  <w:rFonts w:ascii="Times New Roman;serif" w:hAnsi="Times New Roman;serif"/>
                  <w:b w:val="false"/>
                  <w:color w:val="0000FF"/>
                  <w:sz w:val="20"/>
                  <w:u w:val="single"/>
                </w:rPr>
                <w:t>28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94">
              <w:r>
                <w:rPr>
                  <w:rStyle w:val="InternetLink"/>
                  <w:rFonts w:ascii="Times New Roman;serif" w:hAnsi="Times New Roman;serif"/>
                  <w:b w:val="false"/>
                  <w:strike w:val="false"/>
                  <w:dstrike w:val="false"/>
                  <w:color w:val="000000"/>
                  <w:sz w:val="20"/>
                  <w:u w:val="none"/>
                  <w:effect w:val="none"/>
                </w:rPr>
                <w:t>Controls and Procedures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94">
              <w:r>
                <w:rPr>
                  <w:rStyle w:val="InternetLink"/>
                  <w:rFonts w:ascii="Times New Roman;serif" w:hAnsi="Times New Roman;serif"/>
                  <w:b w:val="false"/>
                  <w:color w:val="0000FF"/>
                  <w:sz w:val="20"/>
                  <w:u w:val="single"/>
                </w:rPr>
                <w:t>28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97">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00">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00">
              <w:r>
                <w:rPr>
                  <w:rStyle w:val="InternetLink"/>
                  <w:rFonts w:ascii="Times New Roman;serif" w:hAnsi="Times New Roman;serif"/>
                  <w:b w:val="false"/>
                  <w:strike w:val="false"/>
                  <w:dstrike w:val="false"/>
                  <w:color w:val="000000"/>
                  <w:sz w:val="20"/>
                  <w:u w:val="none"/>
                  <w:effect w:val="none"/>
                </w:rPr>
                <w:t>Legal Proceedings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00">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03">
              <w:r>
                <w:rPr>
                  <w:rStyle w:val="InternetLink"/>
                  <w:rFonts w:ascii="Times New Roman;serif" w:hAnsi="Times New Roman;serif"/>
                  <w:b w:val="false"/>
                  <w:strike w:val="false"/>
                  <w:dstrike w:val="false"/>
                  <w:color w:val="000000"/>
                  <w:sz w:val="20"/>
                  <w:u w:val="none"/>
                  <w:effect w:val="none"/>
                </w:rPr>
                <w:t>Risk Factors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03">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06">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06">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09">
              <w:r>
                <w:rPr>
                  <w:rStyle w:val="InternetLink"/>
                  <w:rFonts w:ascii="Times New Roman;serif" w:hAnsi="Times New Roman;serif"/>
                  <w:b w:val="false"/>
                  <w:strike w:val="false"/>
                  <w:dstrike w:val="false"/>
                  <w:color w:val="000000"/>
                  <w:sz w:val="20"/>
                  <w:u w:val="none"/>
                  <w:effect w:val="none"/>
                </w:rPr>
                <w:t>Defaults Under Senior Securities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09">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12">
              <w:r>
                <w:rPr>
                  <w:rStyle w:val="InternetLink"/>
                  <w:rFonts w:ascii="Times New Roman;serif" w:hAnsi="Times New Roman;serif"/>
                  <w:b w:val="false"/>
                  <w:strike w:val="false"/>
                  <w:dstrike w:val="false"/>
                  <w:color w:val="000000"/>
                  <w:sz w:val="20"/>
                  <w:u w:val="none"/>
                  <w:effect w:val="none"/>
                </w:rPr>
                <w:t>Mine Safety Disclosures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12">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15">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15">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21">
              <w:r>
                <w:rPr>
                  <w:rStyle w:val="InternetLink"/>
                  <w:rFonts w:ascii="Times New Roman;serif" w:hAnsi="Times New Roman;serif"/>
                  <w:b w:val="false"/>
                  <w:strike w:val="false"/>
                  <w:dstrike w:val="false"/>
                  <w:color w:val="000000"/>
                  <w:sz w:val="20"/>
                  <w:u w:val="none"/>
                  <w:effect w:val="none"/>
                </w:rPr>
                <w:t>Exhibits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21">
              <w:r>
                <w:rPr>
                  <w:rStyle w:val="InternetLink"/>
                  <w:rFonts w:ascii="Times New Roman;serif" w:hAnsi="Times New Roman;serif"/>
                  <w:b w:val="false"/>
                  <w:color w:val="0000FF"/>
                  <w:sz w:val="20"/>
                  <w:u w:val="singl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4110145af043649897be5f998606bc_124">
              <w:r>
                <w:rPr>
                  <w:rStyle w:val="InternetLink"/>
                  <w:rFonts w:ascii="Times New Roman;serif" w:hAnsi="Times New Roman;serif"/>
                  <w:b w:val="false"/>
                  <w:strike w:val="false"/>
                  <w:dstrike w:val="false"/>
                  <w:color w:val="000000"/>
                  <w:sz w:val="20"/>
                  <w:u w:val="none"/>
                  <w:effect w:val="none"/>
                </w:rPr>
                <w:t>Signatures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54110145af043649897be5f998606bc_124">
              <w:r>
                <w:rPr>
                  <w:rStyle w:val="InternetLink"/>
                  <w:rFonts w:ascii="Times New Roman;serif" w:hAnsi="Times New Roman;serif"/>
                  <w:b w:val="false"/>
                  <w:color w:val="0000FF"/>
                  <w:sz w:val="20"/>
                  <w:u w:val="single"/>
                </w:rPr>
                <w:t>35</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erif" w:hAnsi="Times New Roman;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erif" w:hAnsi="Times New Roman;serif"/>
          <w:b w:val="false"/>
          <w:color w:val="000000"/>
          <w:sz w:val="20"/>
        </w:rPr>
        <w:t>, those set forth in Part II, Item 1A, “Risk Factors,” and other factors set forth in other parts of this Quarterly Report on Form 10-Q as well as in Part I, Item 1A, “Risk Factors” in our Annual Report on Form 10-K for the fiscal year ended December 31, 2024 (the “Annual Report”), filed with the Securities and Exchange Commission (“SEC”) on February 26, 2025.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ability to achieve or maintain profitability; our ability to continue to launch new products; our ability to attract and retain customers; our ability to execute on and to continue driving benefits from our Transformation Pillars of Brand Maximization, Margin Enhancement, and Operating Discipline; our ability to successfully implement, execute, and derive benefits from our Powering Honest Growth program (as defined below); our tariff mitigation strategy; our pricing, marketing, and distribution strategies; our continued focus on research, development and innovation; our expectations regarding consumer demand or behavior and the timing and amount of orders from our largest customers; the effect of macroeconomic factors, including supply chain disruptions, tariffs, and inflationary pressures;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11"/>
        <w:gridCol w:w="2258"/>
        <w:gridCol w:w="2185"/>
        <w:gridCol w:w="247"/>
        <w:gridCol w:w="970"/>
        <w:gridCol w:w="127"/>
        <w:gridCol w:w="109"/>
        <w:gridCol w:w="109"/>
        <w:gridCol w:w="109"/>
        <w:gridCol w:w="243"/>
        <w:gridCol w:w="954"/>
        <w:gridCol w:w="183"/>
      </w:tblGrid>
      <w:tr>
        <w:trPr/>
        <w:tc>
          <w:tcPr>
            <w:tcW w:w="271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85,266 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216,158 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213,918 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241,539 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247,393 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44,873 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73,086 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Commitments and contingencies (Note </w:t>
            </w:r>
            <w:r>
              <w:rPr>
                <w:rFonts w:ascii="Times New Roman;serif" w:hAnsi="Times New Roman;serif"/>
                <w:b w:val="false"/>
                <w:color w:val="000000"/>
                <w:sz w:val="22"/>
              </w:rPr>
              <w:t>7</w:t>
            </w:r>
            <w:r>
              <w:rPr>
                <w:rFonts w:ascii="Times New Roman;serif" w:hAnsi="Times New Roman;serif"/>
                <w:b w:val="false"/>
                <w:color w:val="000000"/>
                <w:sz w:val="20"/>
              </w:rPr>
              <w:t>)</w:t>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equity </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 shares authorized at September 30, 2025 and December 31, 2024, none issued or outstanding as of September 30, 2025 and December 31, 2024</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at September 30, 2025 and December 31, 2024; 112,123,757 and 109,159,697 shares issued and outstanding as of September 30, 2025 and December 31, 2024, respectively</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667,484 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(477,310)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190,185 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241,539 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247,393 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7"/>
        <w:gridCol w:w="1096"/>
        <w:gridCol w:w="1004"/>
        <w:gridCol w:w="319"/>
        <w:gridCol w:w="929"/>
        <w:gridCol w:w="124"/>
        <w:gridCol w:w="124"/>
        <w:gridCol w:w="124"/>
        <w:gridCol w:w="124"/>
        <w:gridCol w:w="319"/>
        <w:gridCol w:w="929"/>
        <w:gridCol w:w="124"/>
        <w:gridCol w:w="109"/>
        <w:gridCol w:w="109"/>
        <w:gridCol w:w="109"/>
        <w:gridCol w:w="286"/>
        <w:gridCol w:w="962"/>
        <w:gridCol w:w="119"/>
        <w:gridCol w:w="119"/>
        <w:gridCol w:w="119"/>
        <w:gridCol w:w="119"/>
        <w:gridCol w:w="263"/>
        <w:gridCol w:w="908"/>
        <w:gridCol w:w="180"/>
      </w:tblGrid>
      <w:tr>
        <w:trPr/>
        <w:tc>
          <w:tcPr>
            <w:tcW w:w="15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99,237 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278,503 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58,082 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60,841 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173,369 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172,613 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109,911 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105,890 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72,277 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111,192 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(5,258)</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1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8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(loss) per share attributable to common stockholders: </w:t>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111,839,451 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100,690,486 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110,802,832 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98,688,196 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113,709,908 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104,588,417 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114,115,977 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98,688,196 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rPr/>
      </w:pPr>
      <w:r>
        <w:rPr>
          <w:rFonts w:ascii="Times New Roman;serif" w:hAnsi="Times New Roman;serif"/>
          <w:b w:val="false"/>
          <w:i/>
          <w:color w:val="000000"/>
          <w:sz w:val="18"/>
        </w:rPr>
        <w:t>(in thousands, except share amounts)</w:t>
      </w:r>
      <w:r>
        <w:rPr>
          <w:color w:val="000000"/>
        </w:rPr>
        <w:t xml:space="preserve"> </w:t>
      </w:r>
    </w:p>
    <w:tbl>
      <w:tblPr>
        <w:tblW w:w="11276"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2"/>
        <w:gridCol w:w="594"/>
        <w:gridCol w:w="232"/>
        <w:gridCol w:w="109"/>
        <w:gridCol w:w="109"/>
        <w:gridCol w:w="109"/>
        <w:gridCol w:w="311"/>
        <w:gridCol w:w="533"/>
        <w:gridCol w:w="162"/>
        <w:gridCol w:w="280"/>
        <w:gridCol w:w="280"/>
        <w:gridCol w:w="281"/>
        <w:gridCol w:w="223"/>
        <w:gridCol w:w="876"/>
        <w:gridCol w:w="117"/>
        <w:gridCol w:w="109"/>
        <w:gridCol w:w="109"/>
        <w:gridCol w:w="109"/>
        <w:gridCol w:w="211"/>
        <w:gridCol w:w="841"/>
        <w:gridCol w:w="109"/>
        <w:gridCol w:w="109"/>
        <w:gridCol w:w="109"/>
        <w:gridCol w:w="109"/>
        <w:gridCol w:w="126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95,868,421 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602,198 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1,174,282 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97,168,703 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605,229 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2,924,878 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100,156,974 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614,220 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(484,548)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129,681 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586,865 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101,203,839 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618,241 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(484,383)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133,868 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rPr/>
      </w:pPr>
      <w:r>
        <w:rPr>
          <w:rFonts w:ascii="Times New Roman;serif" w:hAnsi="Times New Roman;serif"/>
          <w:b w:val="false"/>
          <w:i/>
          <w:color w:val="000000"/>
          <w:sz w:val="18"/>
        </w:rPr>
        <w:t>(in thousands, except share amounts)</w:t>
      </w:r>
      <w:r>
        <w:rPr>
          <w:color w:val="000000"/>
        </w:rPr>
        <w:t xml:space="preserve"> </w:t>
      </w:r>
    </w:p>
    <w:tbl>
      <w:tblPr>
        <w:tblW w:w="11276"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3"/>
        <w:gridCol w:w="593"/>
        <w:gridCol w:w="232"/>
        <w:gridCol w:w="109"/>
        <w:gridCol w:w="109"/>
        <w:gridCol w:w="109"/>
        <w:gridCol w:w="311"/>
        <w:gridCol w:w="533"/>
        <w:gridCol w:w="162"/>
        <w:gridCol w:w="280"/>
        <w:gridCol w:w="280"/>
        <w:gridCol w:w="281"/>
        <w:gridCol w:w="223"/>
        <w:gridCol w:w="876"/>
        <w:gridCol w:w="117"/>
        <w:gridCol w:w="109"/>
        <w:gridCol w:w="109"/>
        <w:gridCol w:w="109"/>
        <w:gridCol w:w="211"/>
        <w:gridCol w:w="841"/>
        <w:gridCol w:w="109"/>
        <w:gridCol w:w="109"/>
        <w:gridCol w:w="109"/>
        <w:gridCol w:w="109"/>
        <w:gridCol w:w="126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109,159,697 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1,253,999 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110,488,696 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662,284 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(481,938)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1,093,352 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111,600,237 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665,085 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523,520 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112,123,757 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667,484 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(477,310)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190,185 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92"/>
        <w:gridCol w:w="2143"/>
        <w:gridCol w:w="2158"/>
        <w:gridCol w:w="292"/>
        <w:gridCol w:w="1003"/>
        <w:gridCol w:w="151"/>
        <w:gridCol w:w="151"/>
        <w:gridCol w:w="151"/>
        <w:gridCol w:w="151"/>
        <w:gridCol w:w="292"/>
        <w:gridCol w:w="1003"/>
        <w:gridCol w:w="218"/>
      </w:tblGrid>
      <w:tr>
        <w:trPr/>
        <w:tc>
          <w:tcPr>
            <w:tcW w:w="2492"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6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provided by operating activities:</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ROU assets</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6,621 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long-term liabilities</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(6,052)</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18,366 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2021 ESPP</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liabilities</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increase in cash and cash equivalents </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20,614 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71,453 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53,441 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3"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 and accrued expenses</w:t>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 percentages and as otherwise indicated)</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Honest Company, Inc. (the “Company”) was incorporated in the State of California on July 19, 2011 and on May 23, 2012 was re-incorporated in the State of Delaware under the same name. The Company is a personal care company dedicated to creating cleanly-formulated and sustainably-designed products.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2024.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2024 has been derived from the audited financial statements at that date but does not include all of the disclosures required by GAAP. The condensed consolidated financial statements include the accounts of the Company, and its wholly owned subsidiaries after elimination of intercompany transactions and balances.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reclassifications to the Company's previously reported financial information have been made to conform to the current period presentation. The Company made reclassifications to the condensed consolidated statement of cash flows, including a reclassification of $4.8 million from "Other" to "Amortization of operating right-of-use (“ROU”) assets" in the "adjustments to reconcile net income (loss) to net cash (used in) provided by operating activities" section of the consolidated statements of cash flow for the nine months ended September 30, 2024 to conform to the current year presentation, among other immaterial reclassifications.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principal business primarily focuses on creating cleanly-formulated and sustainably-designed products. The Company’s Chief Executive Officer (“CEO”), as the chief operating decision maker (“CODM”),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performance based on consolidated net income (loss).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regularly provide the CODM with more detailed segment expense information beyond what is included in the condensed consolidated statements of comprehensive income (loss). The significant expense categories which are used to manage operations are those reflected in the Company's condensed consolidated statements of comprehensive income (loss). Refer to the condensed consolidated statements of comprehensive income (loss) included in the consolidated financial statements included elsewhere in this Quarterly Report on Form 10-Q for more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assessed certain accounting matters and estimates that generally require consideration of forecasted information in context with the information reasonably available to the Company as of September 30, 2025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have an impact on the Company's customers' ability to pay. The allowance for credit losses was immaterial as of September 30, 2025 and December 31, 2024.</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ind w:left="0" w:right="0" w:hanging="81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of such assets is measured using Level 3 inputs in the fair value hierarchy.</w:t>
      </w:r>
    </w:p>
    <w:p>
      <w:pPr>
        <w:pStyle w:val="TextBody"/>
        <w:bidi w:val="0"/>
        <w:spacing w:lineRule="auto" w:line="268" w:before="0" w:after="0"/>
        <w:jc w:val="both"/>
        <w:rPr/>
      </w:pPr>
      <w:r>
        <w:rPr>
          <w:rFonts w:ascii="Times New Roman;serif" w:hAnsi="Times New Roman;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Improvements to Income Tax Disclosures</w:t>
      </w:r>
      <w:r>
        <w:rPr>
          <w:rFonts w:ascii="Times New Roman;serif" w:hAnsi="Times New Roman;serif"/>
          <w:b w:val="false"/>
          <w:color w:val="000000"/>
          <w:sz w:val="20"/>
        </w:rPr>
        <w:t xml:space="preserve">. This guidance requires consistent categories and greater disaggregation of information in the rate reconciliation and disclosures of income taxes paid by jurisdiction. For public business entities, the amendments in this update are effective for annual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after December 15, 2024. The adoption of ASU No. 2023-09 is not expected to have a material impact on the Company’s consolidated financial statements or disclosures.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update is to improve the disclosures of components of certain income 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July 2025, the FASB issued ASU No. 2025-05,</w:t>
      </w:r>
      <w:r>
        <w:rPr>
          <w:color w:val="000000"/>
        </w:rPr>
        <w:t xml:space="preserve">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creates a practical expedient for estimating expected credit losses on current accounts receivable and current contract assets arising from transactions under ASC 606 by assuming that current conditions at the balance sheet date will remain unchanged over the life of the asset. For public business entities, the amendments in this update are effective for annual periods beginning after December 15, 2025, and interim periods within those annual reporting periods. Early adoption permitted in both interim and annual reporting periods in which financial statements have not yet been issued or made available for issuance. The adoption of ASU No. 2025-05 is not expected to have a material impact on the Company's consolidated financial statements or related disclosures.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Internal-Use Software (Subtopic 350-40): Targeted Improvements to the Accounting for Internal-Use Software</w:t>
      </w:r>
      <w:r>
        <w:rPr>
          <w:rFonts w:ascii="Times New Roman;serif" w:hAnsi="Times New Roman;serif"/>
          <w:b w:val="false"/>
          <w:color w:val="000000"/>
          <w:sz w:val="20"/>
        </w:rPr>
        <w:t>. This update is to modernize the accounting for software costs that are accounted for under Subtopic 350-40, Intangibles-Goodwill and Other-Internal-Use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The adoption of ASU No. 2025-06 is not expected to have a material impact on the Company's consolidated financial statements or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333333"/>
          <w:sz w:val="20"/>
        </w:rPr>
      </w:pPr>
      <w:r>
        <w:rPr>
          <w:rFonts w:ascii="Times New Roman;serif" w:hAnsi="Times New Roman;serif"/>
          <w:b/>
          <w:color w:val="333333"/>
          <w:sz w:val="20"/>
        </w:rPr>
        <w:t xml:space="preserve">3.Revenue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Retail and Third-Party Ecommerce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Direct-to-Consumer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direct sales to the consumer through the Company’s website, Honest.com,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and payments are typically processed within two to three business days.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 Revenue generated from Honest.com was 10% and 12%, respectively, of the Company's total revenue during the three months ended September 30, 2025 and 2024, and 10% and 13%, respectively, of the Company's total revenue during the nine months ended September 30, 2025 and 2024.</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nine months ended September 30, 2025 and 2024,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and 2024, the Company did not recognize any revenue or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Any impairment losses are charged to marketing expense in the condensed consolidated statements of comprehensive income (loss) as they become determinable. For the nine months ended September 30, 2025 and 2024, the Company recorded no impairment losses related to these credits and used an aggregate of $0.6 million and $1.6 million of credits, respectively.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Measurements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measured and recorded at fair value on a recurring basis consist of the following as of:</w:t>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for the Company’s cash equivalents, accounts receivable, accounts payable, and accrued expenses approximate fair value due to their short maturities.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5.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income (loss). For the three and nine months ended September 30, 2025 and 2024, the commitment fee incurred was immaterial. As of September 30, 2025, there were $1.5 million of outstanding letters of credit and $31.5 million available to be drawn upon. As of September 30, 2025, there was no outstanding balance under the 2023 Credit Facility.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September 30, 2025, the Company is in compliance with all covenants under the 2023 Credit Facility.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 xml:space="preserve">6.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7090" w:type="dxa"/>
        <w:jc w:val="left"/>
        <w:tblInd w:w="0" w:type="dxa"/>
        <w:tblLayout w:type="fixed"/>
        <w:tblCellMar>
          <w:top w:w="28" w:type="dxa"/>
          <w:left w:w="28" w:type="dxa"/>
          <w:bottom w:w="28" w:type="dxa"/>
          <w:right w:w="28" w:type="dxa"/>
        </w:tblCellMar>
      </w:tblPr>
      <w:tblGrid>
        <w:gridCol w:w="1167"/>
        <w:gridCol w:w="1027"/>
        <w:gridCol w:w="1030"/>
        <w:gridCol w:w="358"/>
        <w:gridCol w:w="1226"/>
        <w:gridCol w:w="185"/>
        <w:gridCol w:w="109"/>
        <w:gridCol w:w="109"/>
        <w:gridCol w:w="109"/>
        <w:gridCol w:w="344"/>
        <w:gridCol w:w="1175"/>
        <w:gridCol w:w="25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Payroll and payroll related expenses</w:t>
            </w:r>
            <w:r>
              <w:rPr>
                <w:rFonts w:ascii="Times New Roman;serif" w:hAnsi="Times New Roman;serif"/>
                <w:b w:val="false"/>
                <w:color w:val="000000"/>
                <w:sz w:val="13"/>
              </w:rPr>
              <w:t>(1)</w:t>
            </w:r>
          </w:p>
        </w:tc>
        <w:tc>
          <w:tcPr>
            <w:tcW w:w="3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 purchases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rent</w:t>
            </w:r>
            <w:r>
              <w:rPr>
                <w:rFonts w:ascii="Times New Roman;serif" w:hAnsi="Times New Roman;serif"/>
                <w:b w:val="false"/>
                <w:color w:val="000000"/>
                <w:sz w:val="13"/>
              </w:rPr>
              <w:t>(2)</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35,869 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(1) Includes $0.4 million and $0.3 million of executive transition related expenses as of September 30, 2025 and December 31, 2024, respectively. </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 Represents short-term operating lease liabilities. Refer to Note 11, "Leases" included in these consolidated financial statements for more information on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Times New Roman;serif" w:hAnsi="Times New Roman;serif"/>
          <w:b/>
          <w:color w:val="000000"/>
          <w:sz w:val="20"/>
        </w:rPr>
        <w:t>7.    Commitments and Contingencies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Litigation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On January 23, 2025, the Court granted the Company's motion for summary judgment. On April 8, 2025, CAPA served its Notice of Appeal in the matter. On August 4, 2025, the Court dismissed CAPA's appeal. Following the dismissal of CAPA's appeal, the Company does not believe that a loss is probable or estimable in this matter.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initial public offering (“IPO”) (“Securities Litigation Case”).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amended consolidated complaint with respect to the claims against them. On January 31, 2024, that motion to dismiss was granted by the court to the extent those additional defendants challenged the claims as untimely. The court granted Lead Plaintiff leave to amend within fourteen days of that order. On February 14, 2024, the Lead Plaintiff filed a second amended consolidated complaint against the additional defendants. The additional defendants filed a motion to dismiss the second amended consolidated complaint, which was denied by the court on April 22, 2024. On January 21, 2025, the parties filed a joint stipulation stating that they had reached an agreement in principle to fully settle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pending claims in the action and asking the court to stay the case so the parties could have additional time to negotiate the terms of a formal stipulation of settlement and related documentation. The court entered an order staying the case on the same day. On April 14, 2025, the court preliminarily approved the parties’ settlement. Under the terms of the settlement, in exchange for the release and dismissal with prejudice of all claims against the defendants in the second amended consolidated complaint, we have agreed to pay $20,000,000 to resolve the dispute, to be fully funded by the Company’s insurance carriers. The proposed settlement does not constitute an admission of fault or wrongdoing by the Company, the named individual defendants, or the underwriters. The Company recorded the settlement amount of $20,000,000 within accrued expenses and a corresponding insurance recovery of $20,000,000 within prepaids and other current assets related to the legal settlement on the consolidated balance sheet as of March 31, 2025. The determination that the recorded insurance recovery receivable is probable of collection is based on the terms of the applicable insurance policies, settlement agreement, and communications with the insurers. On July 28, 2025, the court held a hearing on the plaintiffs' motion for final approval of the class settlement. The settlement was fully funded by the insurance carriers into plaintiff’s escrow in May 2025 and on July 30, 2025, the court entered a final order approving the settlement and judgment disposing of the Securities Litigation Case.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These matters are in the preliminary stages of litigation with uncertain outcomes at this time. Therefore, the Company cannot estimate the probability of loss or make an estimate of the loss or range of loss in these matters.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September 30, 2025 and December 31, 2024,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w:t>
      </w:r>
    </w:p>
    <w:p>
      <w:pPr>
        <w:pStyle w:val="TextBody"/>
        <w:bidi w:val="0"/>
        <w:spacing w:before="0" w:after="0"/>
        <w:jc w:val="left"/>
        <w:rPr/>
      </w:pPr>
      <w:r>
        <w:rPr/>
      </w:r>
    </w:p>
    <w:tbl>
      <w:tblPr>
        <w:tblW w:w="8109" w:type="dxa"/>
        <w:jc w:val="left"/>
        <w:tblInd w:w="0" w:type="dxa"/>
        <w:tblLayout w:type="fixed"/>
        <w:tblCellMar>
          <w:top w:w="28" w:type="dxa"/>
          <w:left w:w="28" w:type="dxa"/>
          <w:bottom w:w="28" w:type="dxa"/>
          <w:right w:w="28" w:type="dxa"/>
        </w:tblCellMar>
      </w:tblPr>
      <w:tblGrid>
        <w:gridCol w:w="1113"/>
        <w:gridCol w:w="978"/>
        <w:gridCol w:w="983"/>
        <w:gridCol w:w="569"/>
        <w:gridCol w:w="569"/>
        <w:gridCol w:w="571"/>
        <w:gridCol w:w="109"/>
        <w:gridCol w:w="109"/>
        <w:gridCol w:w="109"/>
        <w:gridCol w:w="721"/>
        <w:gridCol w:w="1748"/>
        <w:gridCol w:w="530"/>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December 31, 2024</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4,985,886 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(1,354,750)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September 30, 2025</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3,556,136 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are granted under the 2021 Plan. The 2021 Plan provides for grants of incentive stock options (“ISOs”) within the meaning of Section 422 of the Internal Revenue Code of 1986, as amended (the “Code”), to the Company’s employees and its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2025, 4,356,092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rPr/>
      </w:pPr>
      <w:r>
        <w:r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2023 Inducement Plan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2023, the Company's Compensation Committee adopted the 2023 Inducement Plan (the “2023 Inducement Plan”). The 2023 Inducement Plan reserved 4,000,000 shares of the Company’s common stock for issuance under the 2023 Inducement Plan to individuals who satisfy the standards for inducement grants under the relevant Nasdaq Stock Market rules. As of September 30, 2025, there were 625,349 shares available for future grant under the 2023 Inducement Plan.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16, 2025, the Company granted 115,122 RSUs to the Senior Vice President of Supply Chain under the 2023 Inducement Plan. On July 1, 2025, the Company granted 202,880 RSUs to the Chief Financial Officer under the 2023 Inducement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under the 2021 Equity Incentive Plan and the 2023 Inducement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5"/>
        <w:gridCol w:w="629"/>
        <w:gridCol w:w="632"/>
        <w:gridCol w:w="551"/>
        <w:gridCol w:w="551"/>
        <w:gridCol w:w="553"/>
        <w:gridCol w:w="133"/>
        <w:gridCol w:w="133"/>
        <w:gridCol w:w="133"/>
        <w:gridCol w:w="773"/>
        <w:gridCol w:w="576"/>
        <w:gridCol w:w="578"/>
        <w:gridCol w:w="109"/>
        <w:gridCol w:w="109"/>
        <w:gridCol w:w="109"/>
        <w:gridCol w:w="503"/>
        <w:gridCol w:w="982"/>
        <w:gridCol w:w="171"/>
        <w:gridCol w:w="155"/>
        <w:gridCol w:w="155"/>
        <w:gridCol w:w="155"/>
        <w:gridCol w:w="525"/>
        <w:gridCol w:w="949"/>
        <w:gridCol w:w="296"/>
      </w:tblGrid>
      <w:tr>
        <w:trPr/>
        <w:tc>
          <w:tcPr>
            <w:tcW w:w="74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Directors, Officers and Employees</w:t>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December 31, 2024</w:t>
            </w:r>
          </w:p>
        </w:tc>
        <w:tc>
          <w:tcPr>
            <w:tcW w:w="11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726,573 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6,956,604 </w:t>
            </w:r>
          </w:p>
        </w:tc>
        <w:tc>
          <w:tcPr>
            <w:tcW w:w="5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39,061 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2,600,925 </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(530,052)</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(2,340,819)</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(877,929)</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September 30, 2025</w:t>
            </w:r>
          </w:p>
        </w:tc>
        <w:tc>
          <w:tcPr>
            <w:tcW w:w="11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235,582 </w:t>
            </w:r>
          </w:p>
        </w:tc>
        <w:tc>
          <w:tcPr>
            <w:tcW w:w="5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6,338,781 </w:t>
            </w:r>
          </w:p>
        </w:tc>
        <w:tc>
          <w:tcPr>
            <w:tcW w:w="5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was $21.6 million of unrecognized stock-based compensation expense related to unvested RSUs, which is expected to be recognized over a weighted-average period of 2.6 years.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Employee Stock Purchase Plan (the “2021 ESPP”). The Company initially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2025, 1,089,023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nine months ended September 30, 2025, 18,189 shares were purchased under the 2021 ESPP. As of September 30, 2025, the Company had 4,687,742 remaining authorized shares available for purchase.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input assumptions used in the Black-Scholes option-pricing model to estimate the grant-date fair value of the 2021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167" w:type="dxa"/>
        <w:jc w:val="left"/>
        <w:tblInd w:w="0" w:type="dxa"/>
        <w:tblLayout w:type="fixed"/>
        <w:tblCellMar>
          <w:top w:w="28" w:type="dxa"/>
          <w:left w:w="28" w:type="dxa"/>
          <w:bottom w:w="28" w:type="dxa"/>
          <w:right w:w="28" w:type="dxa"/>
        </w:tblCellMar>
      </w:tblPr>
      <w:tblGrid>
        <w:gridCol w:w="1478"/>
        <w:gridCol w:w="1299"/>
        <w:gridCol w:w="1303"/>
        <w:gridCol w:w="245"/>
        <w:gridCol w:w="245"/>
        <w:gridCol w:w="245"/>
        <w:gridCol w:w="191"/>
        <w:gridCol w:w="191"/>
        <w:gridCol w:w="191"/>
        <w:gridCol w:w="224"/>
        <w:gridCol w:w="224"/>
        <w:gridCol w:w="331"/>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 (in years)</w:t>
            </w:r>
          </w:p>
        </w:tc>
        <w:tc>
          <w:tcPr>
            <w:tcW w:w="20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63.10%</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70.18%</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2087"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grant-date fair value per share </w:t>
            </w:r>
          </w:p>
        </w:tc>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r>
    </w:tbl>
    <w:p>
      <w:pPr>
        <w:pStyle w:val="TextBody"/>
        <w:bidi w:val="0"/>
        <w:spacing w:before="0" w:after="0"/>
        <w:ind w:left="0" w:right="0" w:firstLine="720"/>
        <w:jc w:val="left"/>
        <w:rPr/>
      </w:pPr>
      <w:r>
        <w:r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RSU awards under the 2021 Equity Incentive Plan and the 2023 Inducement Plan, 2021 ESPP purchases and stock options, as applicable,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6"/>
        <w:gridCol w:w="981"/>
        <w:gridCol w:w="986"/>
        <w:gridCol w:w="325"/>
        <w:gridCol w:w="952"/>
        <w:gridCol w:w="168"/>
        <w:gridCol w:w="168"/>
        <w:gridCol w:w="168"/>
        <w:gridCol w:w="168"/>
        <w:gridCol w:w="325"/>
        <w:gridCol w:w="952"/>
        <w:gridCol w:w="168"/>
        <w:gridCol w:w="109"/>
        <w:gridCol w:w="109"/>
        <w:gridCol w:w="109"/>
        <w:gridCol w:w="304"/>
        <w:gridCol w:w="891"/>
        <w:gridCol w:w="157"/>
        <w:gridCol w:w="157"/>
        <w:gridCol w:w="157"/>
        <w:gridCol w:w="157"/>
        <w:gridCol w:w="304"/>
        <w:gridCol w:w="1043"/>
        <w:gridCol w:w="231"/>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13,593 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9.     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income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290"/>
        <w:gridCol w:w="1029"/>
        <w:gridCol w:w="1036"/>
        <w:gridCol w:w="386"/>
        <w:gridCol w:w="868"/>
        <w:gridCol w:w="154"/>
        <w:gridCol w:w="154"/>
        <w:gridCol w:w="154"/>
        <w:gridCol w:w="154"/>
        <w:gridCol w:w="386"/>
        <w:gridCol w:w="868"/>
        <w:gridCol w:w="154"/>
        <w:gridCol w:w="109"/>
        <w:gridCol w:w="109"/>
        <w:gridCol w:w="109"/>
        <w:gridCol w:w="329"/>
        <w:gridCol w:w="909"/>
        <w:gridCol w:w="139"/>
        <w:gridCol w:w="139"/>
        <w:gridCol w:w="139"/>
        <w:gridCol w:w="139"/>
        <w:gridCol w:w="329"/>
        <w:gridCol w:w="916"/>
        <w:gridCol w:w="206"/>
      </w:tblGrid>
      <w:tr>
        <w:trPr/>
        <w:tc>
          <w:tcPr>
            <w:tcW w:w="129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and per share values)</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 basic</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 diluted</w:t>
            </w:r>
          </w:p>
        </w:tc>
        <w:tc>
          <w:tcPr>
            <w:tcW w:w="38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3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20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 basic </w:t>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111,839,451 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100,690,486 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110,802,832 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98,688,196 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RSUs</w:t>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1,870,457 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3,215,974 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stock options</w:t>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97,171 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2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113,709,908 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104,588,417 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114,115,977 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98,688,196 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shareholders:</w:t>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8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0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shares were excluded from the computation of diluted net income (loss) per share because including them would have been antidilutive: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26"/>
        <w:gridCol w:w="781"/>
        <w:gridCol w:w="784"/>
        <w:gridCol w:w="714"/>
        <w:gridCol w:w="348"/>
        <w:gridCol w:w="290"/>
        <w:gridCol w:w="290"/>
        <w:gridCol w:w="290"/>
        <w:gridCol w:w="290"/>
        <w:gridCol w:w="786"/>
        <w:gridCol w:w="361"/>
        <w:gridCol w:w="308"/>
        <w:gridCol w:w="109"/>
        <w:gridCol w:w="109"/>
        <w:gridCol w:w="109"/>
        <w:gridCol w:w="714"/>
        <w:gridCol w:w="335"/>
        <w:gridCol w:w="277"/>
        <w:gridCol w:w="277"/>
        <w:gridCol w:w="277"/>
        <w:gridCol w:w="277"/>
        <w:gridCol w:w="786"/>
        <w:gridCol w:w="348"/>
        <w:gridCol w:w="419"/>
      </w:tblGrid>
      <w:tr>
        <w:trPr/>
        <w:tc>
          <w:tcPr>
            <w:tcW w:w="9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9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3,557,343 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13,131,408 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2,430,453 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12,408,885 </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2,599,830 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1,143,065 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1,127,705 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8,223,281 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26,681 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23,663 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44,245 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6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6,183,854 </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14,274,473 </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3,581,821 </w:t>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20,676,411 </w:t>
            </w:r>
          </w:p>
        </w:tc>
        <w:tc>
          <w:tcPr>
            <w:tcW w:w="4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quarterly provisions for income taxes, the Company uses the annual estimated effective tax rate applied to the actual year-to-date income or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However, given the Company's recent profitability, the Company believes that there is a reasonable possibility that, in the near term, sufficient positive evidence may become available that supports the release of a portion of the Company's valuation allowance, which would result in the recognition of certain U.S. deferred tax assets and a decrease to income tax expense for the period in which the release is recorded. The exact timing and amount of the valuation allowance release if any would be subject to change based on the level of profitability that the Company can achieve.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the Company has not recorded any uncertain tax positions and has not recognized interest or penalties in the condensed consolidated statements of comprehensive income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2025 budget reconciliation bill, officially known as the One Big Beautiful Bill Act of 2025 (the “Act”), was enacted into law. The Act includes a broad range of tax reforms such as deductions for domestic research and development expenditures and federal bonus depreciation. The Company has evaluated the provisions of the Act and determined that, because it maintains a full valuation allowance against its deferred tax assets, the Act does not have a material impact on the Company’s condensed consolidated financial statements or effective tax rate.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three years.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9828" w:type="dxa"/>
        <w:jc w:val="left"/>
        <w:tblInd w:w="0" w:type="dxa"/>
        <w:tblLayout w:type="fixed"/>
        <w:tblCellMar>
          <w:top w:w="28" w:type="dxa"/>
          <w:left w:w="28" w:type="dxa"/>
          <w:bottom w:w="28" w:type="dxa"/>
          <w:right w:w="28" w:type="dxa"/>
        </w:tblCellMar>
      </w:tblPr>
      <w:tblGrid>
        <w:gridCol w:w="815"/>
        <w:gridCol w:w="714"/>
        <w:gridCol w:w="720"/>
        <w:gridCol w:w="349"/>
        <w:gridCol w:w="1021"/>
        <w:gridCol w:w="180"/>
        <w:gridCol w:w="180"/>
        <w:gridCol w:w="180"/>
        <w:gridCol w:w="180"/>
        <w:gridCol w:w="349"/>
        <w:gridCol w:w="1021"/>
        <w:gridCol w:w="180"/>
        <w:gridCol w:w="109"/>
        <w:gridCol w:w="109"/>
        <w:gridCol w:w="109"/>
        <w:gridCol w:w="340"/>
        <w:gridCol w:w="992"/>
        <w:gridCol w:w="175"/>
        <w:gridCol w:w="175"/>
        <w:gridCol w:w="175"/>
        <w:gridCol w:w="175"/>
        <w:gridCol w:w="340"/>
        <w:gridCol w:w="992"/>
        <w:gridCol w:w="248"/>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 net</w:t>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before="1" w:after="1"/>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nature of the Right-Of-Use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income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rPr/>
      </w:pPr>
      <w:r>
        <w:rPr/>
      </w:r>
    </w:p>
    <w:tbl>
      <w:tblPr>
        <w:tblW w:w="8677" w:type="dxa"/>
        <w:jc w:val="left"/>
        <w:tblInd w:w="0" w:type="dxa"/>
        <w:tblLayout w:type="fixed"/>
        <w:tblCellMar>
          <w:top w:w="28" w:type="dxa"/>
          <w:left w:w="28" w:type="dxa"/>
          <w:bottom w:w="28" w:type="dxa"/>
          <w:right w:w="28" w:type="dxa"/>
        </w:tblCellMar>
      </w:tblPr>
      <w:tblGrid>
        <w:gridCol w:w="796"/>
        <w:gridCol w:w="701"/>
        <w:gridCol w:w="708"/>
        <w:gridCol w:w="109"/>
        <w:gridCol w:w="109"/>
        <w:gridCol w:w="109"/>
        <w:gridCol w:w="1333"/>
        <w:gridCol w:w="1333"/>
        <w:gridCol w:w="1338"/>
        <w:gridCol w:w="109"/>
        <w:gridCol w:w="109"/>
        <w:gridCol w:w="109"/>
        <w:gridCol w:w="352"/>
        <w:gridCol w:w="1205"/>
        <w:gridCol w:w="257"/>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12,281 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15,359 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the Company’s leases for the nine months ended September 30, 2025 was as follows:</w:t>
      </w:r>
    </w:p>
    <w:p>
      <w:pPr>
        <w:pStyle w:val="TextBody"/>
        <w:bidi w:val="0"/>
        <w:spacing w:before="0" w:after="0"/>
        <w:ind w:left="0" w:right="0" w:firstLine="720"/>
        <w:jc w:val="left"/>
        <w:rPr/>
      </w:pPr>
      <w:r>
        <w:rPr/>
      </w:r>
    </w:p>
    <w:tbl>
      <w:tblPr>
        <w:tblW w:w="8358" w:type="dxa"/>
        <w:jc w:val="left"/>
        <w:tblInd w:w="0" w:type="dxa"/>
        <w:tblLayout w:type="fixed"/>
        <w:tblCellMar>
          <w:top w:w="28" w:type="dxa"/>
          <w:left w:w="28" w:type="dxa"/>
          <w:bottom w:w="28" w:type="dxa"/>
          <w:right w:w="28" w:type="dxa"/>
        </w:tblCellMar>
      </w:tblPr>
      <w:tblGrid>
        <w:gridCol w:w="2614"/>
        <w:gridCol w:w="2296"/>
        <w:gridCol w:w="2305"/>
        <w:gridCol w:w="211"/>
        <w:gridCol w:w="616"/>
        <w:gridCol w:w="316"/>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 (in thousands)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cash flows used in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Financing cash flows used in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non-cash ROU assets obtained in exchange for lease liabilities during the nine months ended September 30, 2025 for either finance or operating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2025, the Company's Board of Directors approved the Transformation 2.0: Powering Honest Growth ("Powering Honest Growth") which builds upon the Company's original Transformation Pillars of Brand Maximization, Margin Enhancement and Operating Discipline. Powering Honest Growth is aimed at improving simplicity, focus and profitability, which includes exiting certain lower margin, non-strategic categories and channels, including exiting Honest.com fulfillment and apparel, as well as exiting retail and online stores in Canada, optimizing the Company's cost structure by rightsizing selling, general and administrative expenses and implementing supply chain efficiencies. The Company expects to incur total pre-tax charges of approximately $25.0 million to $35.0 million, consisting primarily of employee-related costs, contract-terminations, and other associated exit costs. The Company anticipates these actions will be substantially completed as of December 31, 2026. The accompanying financial statements do not reflect any related charges.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filed a complaint in the U.S. District Court for the Central District of California (the "Court") alleging that Butterblu, LLC (“Butterblu”) breached the supplier services agreement, as amended, that the Company and Butterblu had entered into as of August 15, 2022 (the "Supplier Services Agreement") pursuant to which Butterblu provides certain design, manufacturing, sales and marketing services to us in connection with the Company's apparel products. The Company has requested monetary damages and declaratory relief as determined by the Court. This matter is in the preliminary stages of litigation with uncertain outcomes at this time. Therefore, the Company cannot estimate the probability of gain or loss, or make an estimate of the gain or loss or range of gain or loss in this matter.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2024 (the “Annual Report”), filed with the Securities and Exchange Commission (“SEC”) on February 26, 2025.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0" w:after="0"/>
        <w:jc w:val="left"/>
        <w:rPr/>
      </w:pPr>
      <w:r>
        <w:rPr/>
      </w:r>
    </w:p>
    <w:p>
      <w:pPr>
        <w:pStyle w:val="TextBody"/>
        <w:bidi w:val="0"/>
        <w:spacing w:lineRule="auto" w:line="268" w:before="1" w:after="1"/>
        <w:jc w:val="left"/>
        <w:rPr/>
      </w:pPr>
      <w:r>
        <w:rPr>
          <w:color w:val="000000"/>
        </w:rPr>
        <w:t> </w:t>
      </w:r>
      <w:r>
        <w:rPr>
          <w:rFonts w:ascii="Times New Roman;serif" w:hAnsi="Times New Roman;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Honest Company, Inc. (“Honest” and, together with its consolidated subsidiaries, the “Company,” “we,” “us” and “our”) is a personal care company dedicated to creating cleanly-formulated and sustainably-designed products spanning categories across diapers, wipes, baby personal care, beauty, apparel, household care and wellness. Launched in 2012, the Company is on a mission to challenge ingredients, ideals, and industries through the power of the Honest brand, the Honest team, and the Honest Standard. Our commitment to our core values, continual innovation and engaging our community has differentiated and elevated our brand and our products. We have cultivated deep trust around what matters most to our consumers: their health, their families and their homes. We seek to meet consumers wherever they want to shop, balancing deep consumer connection with broad convenience and availability. Our distribution strategy positions us for continued growth through our trusted brand and award-winning multi-category product offerings.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integrated multi-category product portfolio is intentionally designed to serve our consumers every day, at every age and through every life stage. We believe this drives loyalty, increases our consumer wallet share and generates attractive consumer lifetime value.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consumers are modern, aspirational and style-forward and that they seek out high quality, effective and thoughtfully-designed products. We believe that they are very choiceful about the products that they purchase and use. And, we believe they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digital content. Our direct connection with our community enables us to understand what consumers’ needs are and inspires our product innovation pipeline, generating a significant competitive advantage over more traditional consumer packaged goods (“CPG”) peers.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omnichannel presence seeks to meet consumers wherever they want to shop, balancing deep consumer connection with broad convenience and availability. Since our launch, we have built a well-integrated omnichannel presence by expanding our product availability, including the launch of strategic partnerships with Target, Amazon and Walmart in 2014, 2017 and 2022, respectively. We are transitioning away from Honest.com as a shipping and fulfillment channel, while maintaining Honest.com as a resource for educating consumers, showcasing our complete product portfolio, and driving consumers to purchase through our leading retailers and their websites, and third-party ecommerce sites with the last order shipment expected to occur on December 28, 2025. Our integrated omnichannel presence provides meaningful benefits to our consumers which we believe are not easily replicated by our competitors.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Transformation 2.0: Powering Honest Growth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during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2025, our Board of Directors approved the Transformation 2.0: Powering Honest Growth ("Powering Honest Growth") which builds upon our original Transformation Pillars of Brand Maximization, Margin Enhancement and Operating Discipline. Powering Honest Growth is aimed at improving simplicity, focus and profitability, which includes exiting certain lower margin, non-strategic categories and channels, including exiting Honest.com fulfillment and apparel, as well as exiting retail and online stores in Canada, optimizing our cost structure by rightsizing selling, general and administrative expenses and implementing supply chain efficiencies. We expect to substantially complete the actions under Powering Honest Growth by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continue driving benefits from its three Transformation Pillars of Brand Maximization, Margin Enhancement, and Operating Discipline: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Leveraging the strength of the Honest brand to drive growth through greater availability, expanded household penetration, product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Pricing strategy as a driver of revenue is also a component of Brand Maximization. </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our resources on the United States, which included the exit of our low-margin business in Europe, Asia and, most recently, Canada in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Exiting low-margin elements of the cleaning and sanitization business in 2023; and apparel in 2025.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Executing an inventory, or stock-keeping unit (“SKU”), rationalization program in 2023.</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Re-directing resources to accelerate cost savings, including optimization of our contract manufacturing strategies, optimization of our supply chain footprint and inventory management, along with leveraging technology to improve systems,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Realigning resources to reflect the prioritization of higher-margin opportunities, including strategic shift away from our lower margin channels, including our direct-to-consumer (“DTC”) business in 2025.</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on improving our executional excellence in how we operate as an enterprise.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Managing working capital including the reduction of inventory.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Rightsizing selling and general and administrative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Operational and Marketing Efficiency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grow our business, we intend to continue to improve our operational and marketing efficiency, which includes attracting new consumers, increasing community engagement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omnichannel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Ability to Execute Increasing Physical Availability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core of our growth strategy centers around increasing physical availability of our products through expanded stores, doors, aisles, shelves and facings.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 Due to the higher costs of shipping and fulfillment activities related to our DTC business and other related costs, as disclosed previously, we will no longer sell products through this channel and instead continue to shift our focus and investments towards more efficient and scalable distribution models with our current retail and digital customers.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will no longer utilize Honest.com as a shipping and fulfillment channel, while ensuring the site remains a resource for educating consumers, showcasing our complete product portfolio, and driving consumers to purchase offsite. Our transition from Honest.com as a shipping and fulfillment channel has negatively impacted Honest.com revenue throughout 2025 as we are not focusing marketing efforts in this channel. We expect it will negatively impact revenue upon cessation at the end of the year; however, we also expect that it will enable improved gross margin in future years.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For example, we experienced distribution losses with two of our largest customers on certain diaper SKUs mainly related to these retailers' footprint changes for certain product categories overall and a shift to more exclusive non-gendered prints with one of these retailers, which has impacted our revenue in 2025 and we expect will negatively impact our diaper revenue in the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mix is a driver of our financial performance given our focus on accretive product launches and innovation to increase product margins. Even though our growth strategy aims to boost sales across products by increasing total distribution, we intend to prioritize growth in products with attractive margin characteristics, including wipes, and leverage our brand equity and consumer insights to extend into new products.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our ability to communicate the value of those products as cleanly-formulated, sustainably-designed and effective,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experts in chemistry and toxicology, develop innovative cleanly-formulated products. At Honest, product innovation is top of mind.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consumers’ increasing interest in cleanly-designed products and purpose-driven companies has contributed to higher demand for certain products, which we believe we are strategically positioned to benefit from. At the same time, changes in macro-level trends, including as a result of global pandemics, changing consumer attitudes or behavior or other macroeconomic conditions, such as inflation, tariffs or supply chain disruptions, have resulted and could in the future result in fluctuations in our operating results.</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uncertainty have increased due to the impact of continued inflationary pressures, adverse impact on confidence in financial markets and geopolitical events, including recently imposed tariffs on certain foreign goods and the possibility of expanding the tariffs to capture other types of goods. Additionally, the extent of the impact of macroeconomic trends on the Company’s operational and financial performance in the future will depend on future developments. Prolonged unfavorable economic conditions, including as a result of changing consumer attitudes or behaviors or other macroeconomic conditions, such as rising inflation and interest rates, tariffs, supply chain disruptions, trade disputes, foreign exchange volatility, financial market instability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Supply Chain Disruptions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and continues to be an adverse impact on global economic conditions, specifically inflationary pressures, which has adversely affected our supply chain in regards to cost of revenue. We have experienced and anticipate continued increases in product costs and labor costs due to inflationary pressures, which has in the past and could continue to hamper our ability to drive margin expansion. In addition, past and current tariffs have increased, and may continue to increase, the cost of raw materials, components and finished goods, which has adversely impacted our operational expenses, and may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our ability to source our finished goods and components. We have taken measures to bolster key aspects of our supply chain and mitigate the impact of tariffs, such as creating an agile supply chain, ensuring sufficient inventory to support our continued growth, minimizing lead times for raw materials, and implementing a robust cost-savings program, as part of our tariff mitigation strategy. If we are not successful in our attempts to bolster our supply chain and mitigate the impact of tariffs, our product and fulfillment costs may increase and our business, financial condition, results of operations and prospects could be adversely affected. For example, the fluctuation in tariff rates during the nine months ended September 30, 2025 and the ongoing uncertainty of those rates, has primarily impacted our wipes product costs during this period, and may in the future impact our ability to forecast the tariff impacts on our cost of revenue. As part of our Powering Honest Growth, we are also taking action to optimize our supply chain footprint and inventory management, along with leveraging technology to improve systems.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experienced purchase price increases from our third-party manufacturers in the past and could face escalation of purchase costs and cost of revenue in the future. In 2025, we have agreed to increased purchase costs from our diaper manufacturer and received requests to renegotiate purchase costs from other third-party manufacturers.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in the power of our omnichannel distribution model. 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 Given changing macroeconomic conditions, we also believe that consumers have changed their shopping behaviors and have become more price sensitive when purchasing products in some of our product categories, including diapers.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 As part of our efforts to mitigate the impact of tariffs, we increased our inventory on hand during the first half of 2025 to delay the impact of incremental tariffs during 2025. In connection with Powering Honest Growth, we expect additional inventory write-downs specifically related to our Supplier Services Agreement (defined below), Honest.com and supply chain optimization.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termination of the Likeness Agreement with Jessica Alba, as part of Ms. Alba's departure from her Chief Creative Officer position, after April 4, 2025 we are prohibited from selling existing inventory that uses certain specified licensed intellectual property on its packaging, which resulted in inventory write-offs in the past.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Supplier Services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2022, we entered into a supplier services agreement with Butterblu, LLC (“Butterblu”) pursuant to which Butterblu provides certain design, manufacturing, sales and marketing services to us (the “Supplier Services Agreement”). As part of the Supplier Services Agreement, we agreed to purchase and own inventory for the term of the agreement, which was until December 31, 2026, unless terminated sooner. On November 5, 2025, we sent Butterblu a notice of termination of the Supplier Services Agreement, to be effective immediately. Pursuant to the terms of the Supplier Services Agreement, upon termination, Butterblu shall immediately discontinue using Honest’s trademarks and prints and consummate all pending, open orders received in writing as of the November 5, 2025 termination date, and Honest shall have the right to sell off all products sourced by Butterblu until and through November 5, 2026 and pay Butterblu the Base Service Fee, defined as 22% of Honest's net revenue for product sales and adjusted to ensure that the Base Service Fee does not exceed Honest's gross profit for product sales in the applicable quarter, for product sales through November 5, 2026. The termination of this Supplier Services Agreement, any disputes over the terms of the termination, and costs related to the apparel inventory we own may negatively impact revenue and gross profit, offset by lower operating costs for the fourth quarter of and full year 2025 and will impact these financial accounts in 2026. See Note 12, “Subsequent Events,” to the condensed consolidated financial statements included elsewhere in this Quarterly Report on Form 10-Q for more information.</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the sale of our products through our leading retailers and their websites,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ecommerce sites and Honest.com. Our revenue is recognized net of allowances for returns, discounts, credits and any taxes collected from consumers.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selling, general and administrative, marketing and research and development expenses.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Honest baby clothing, our apparel business; and, depreciation and amortization expenses. We expect our general and administrative expenses to decrease as a percentage of revenue as we continue to grow our business and organizational capabilities and efficiencies. We have incurred and expect in the future to continue to incur additional third-party professional fees related to compliance obligations as a public company.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consumer insights research,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best-selling products with key retailers, as well as expand brand awareness, introduce new product innovation across multiple product categories and implement new marketing strategies. As we launch new products, we expect to make marketing investments to build brand awareness, encourage first-time use and set the foundation for future revenue growth.</w:t>
      </w:r>
    </w:p>
    <w:p>
      <w:pPr>
        <w:pStyle w:val="TextBody"/>
        <w:bidi w:val="0"/>
        <w:spacing w:before="0" w:after="0"/>
        <w:ind w:left="0" w:right="0" w:firstLine="27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erif" w:hAnsi="Times New Roman;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(Expense), Net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primarily of interest income earned on our short-term investments and our cash and cash equivalents balances. Interest expense includes fees incurred under our 2023 Credit Facility, including commitment fees and debt issuance costs.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 </w:t>
      </w:r>
    </w:p>
    <w:p>
      <w:pPr>
        <w:pStyle w:val="TextBody"/>
        <w:bidi w:val="0"/>
        <w:spacing w:before="1" w:after="1"/>
        <w:jc w:val="left"/>
        <w:rPr/>
      </w:pPr>
      <w:r>
        <w:rPr/>
      </w:r>
    </w:p>
    <w:p>
      <w:pPr>
        <w:pStyle w:val="TextBody"/>
        <w:bidi w:val="0"/>
        <w:spacing w:lineRule="auto" w:line="268" w:before="0" w:after="0"/>
        <w:ind w:left="0" w:right="0" w:hanging="450"/>
        <w:jc w:val="left"/>
        <w:rPr>
          <w:rFonts w:ascii="Times New Roman;serif" w:hAnsi="Times New Roman;serif"/>
          <w:b/>
          <w:i/>
          <w:color w:val="000000"/>
          <w:sz w:val="20"/>
        </w:rPr>
      </w:pPr>
      <w:r>
        <w:rPr>
          <w:rFonts w:ascii="Times New Roman;serif" w:hAnsi="Times New Roman;serif"/>
          <w:b/>
          <w:i/>
          <w:color w:val="000000"/>
          <w:sz w:val="20"/>
        </w:rPr>
        <w:t xml:space="preserve">Income Tax Provision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condensed consolidated statements of comprehensive income (loss) data for each of the periods indicated: </w:t>
      </w:r>
    </w:p>
    <w:tbl>
      <w:tblPr>
        <w:tblW w:w="10205" w:type="dxa"/>
        <w:jc w:val="left"/>
        <w:tblInd w:w="0" w:type="dxa"/>
        <w:tblLayout w:type="fixed"/>
        <w:tblCellMar>
          <w:top w:w="28" w:type="dxa"/>
          <w:left w:w="28" w:type="dxa"/>
          <w:bottom w:w="28" w:type="dxa"/>
          <w:right w:w="28" w:type="dxa"/>
        </w:tblCellMar>
      </w:tblPr>
      <w:tblGrid>
        <w:gridCol w:w="1207"/>
        <w:gridCol w:w="1024"/>
        <w:gridCol w:w="999"/>
        <w:gridCol w:w="289"/>
        <w:gridCol w:w="988"/>
        <w:gridCol w:w="148"/>
        <w:gridCol w:w="148"/>
        <w:gridCol w:w="148"/>
        <w:gridCol w:w="148"/>
        <w:gridCol w:w="289"/>
        <w:gridCol w:w="988"/>
        <w:gridCol w:w="148"/>
        <w:gridCol w:w="109"/>
        <w:gridCol w:w="109"/>
        <w:gridCol w:w="109"/>
        <w:gridCol w:w="265"/>
        <w:gridCol w:w="1039"/>
        <w:gridCol w:w="136"/>
        <w:gridCol w:w="136"/>
        <w:gridCol w:w="136"/>
        <w:gridCol w:w="136"/>
        <w:gridCol w:w="265"/>
        <w:gridCol w:w="1039"/>
        <w:gridCol w:w="202"/>
      </w:tblGrid>
      <w:tr>
        <w:trPr/>
        <w:tc>
          <w:tcPr>
            <w:tcW w:w="120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99,237 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278,503 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58,082 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60,841 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173,369 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172,613 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34,489 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105,890 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72,277 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38,339 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104,203 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111,192 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(5,258)</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13"/>
        </w:rPr>
      </w:pPr>
      <w:r>
        <w:rPr>
          <w:rFonts w:ascii="Times New Roman;serif" w:hAnsi="Times New Roman;serif"/>
          <w:b w:val="false"/>
          <w:color w:val="000000"/>
          <w:sz w:val="13"/>
        </w:rPr>
        <w:t>__________________________</w:t>
      </w:r>
    </w:p>
    <w:p>
      <w:pPr>
        <w:pStyle w:val="TextBody"/>
        <w:bidi w:val="0"/>
        <w:spacing w:lineRule="auto" w:line="268" w:before="1" w:after="1"/>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Includes stock-based compensation expense as follows: </w:t>
      </w:r>
    </w:p>
    <w:tbl>
      <w:tblPr>
        <w:tblW w:w="10205" w:type="dxa"/>
        <w:jc w:val="left"/>
        <w:tblInd w:w="0" w:type="dxa"/>
        <w:tblLayout w:type="fixed"/>
        <w:tblCellMar>
          <w:top w:w="28" w:type="dxa"/>
          <w:left w:w="28" w:type="dxa"/>
          <w:bottom w:w="28" w:type="dxa"/>
          <w:right w:w="28" w:type="dxa"/>
        </w:tblCellMar>
      </w:tblPr>
      <w:tblGrid>
        <w:gridCol w:w="1032"/>
        <w:gridCol w:w="909"/>
        <w:gridCol w:w="913"/>
        <w:gridCol w:w="337"/>
        <w:gridCol w:w="986"/>
        <w:gridCol w:w="174"/>
        <w:gridCol w:w="174"/>
        <w:gridCol w:w="174"/>
        <w:gridCol w:w="174"/>
        <w:gridCol w:w="337"/>
        <w:gridCol w:w="986"/>
        <w:gridCol w:w="174"/>
        <w:gridCol w:w="109"/>
        <w:gridCol w:w="109"/>
        <w:gridCol w:w="109"/>
        <w:gridCol w:w="314"/>
        <w:gridCol w:w="920"/>
        <w:gridCol w:w="162"/>
        <w:gridCol w:w="162"/>
        <w:gridCol w:w="162"/>
        <w:gridCol w:w="162"/>
        <w:gridCol w:w="314"/>
        <w:gridCol w:w="1076"/>
        <w:gridCol w:w="236"/>
      </w:tblGrid>
      <w:tr>
        <w:trPr/>
        <w:tc>
          <w:tcPr>
            <w:tcW w:w="10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3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3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13,593 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comprehensive income (loss) data expressed as a percentage of revenue*:</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1236"/>
        <w:gridCol w:w="1054"/>
        <w:gridCol w:w="1027"/>
        <w:gridCol w:w="389"/>
        <w:gridCol w:w="332"/>
        <w:gridCol w:w="332"/>
        <w:gridCol w:w="332"/>
        <w:gridCol w:w="332"/>
        <w:gridCol w:w="332"/>
        <w:gridCol w:w="387"/>
        <w:gridCol w:w="332"/>
        <w:gridCol w:w="352"/>
        <w:gridCol w:w="109"/>
        <w:gridCol w:w="109"/>
        <w:gridCol w:w="109"/>
        <w:gridCol w:w="383"/>
        <w:gridCol w:w="325"/>
        <w:gridCol w:w="325"/>
        <w:gridCol w:w="325"/>
        <w:gridCol w:w="325"/>
        <w:gridCol w:w="325"/>
        <w:gridCol w:w="381"/>
        <w:gridCol w:w="325"/>
        <w:gridCol w:w="345"/>
        <w:gridCol w:w="109"/>
        <w:gridCol w:w="109"/>
        <w:gridCol w:w="164"/>
      </w:tblGrid>
      <w:tr>
        <w:trPr/>
        <w:tc>
          <w:tcPr>
            <w:tcW w:w="123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5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1" w:after="1"/>
        <w:jc w:val="left"/>
        <w:rPr/>
      </w:pPr>
      <w:r>
        <w:rPr/>
      </w:r>
    </w:p>
    <w:p>
      <w:pPr>
        <w:pStyle w:val="TextBody"/>
        <w:bidi w:val="0"/>
        <w:spacing w:lineRule="auto" w:line="268" w:before="0" w:after="0"/>
        <w:jc w:val="left"/>
        <w:rPr/>
      </w:pPr>
      <w:r>
        <w:rPr>
          <w:rFonts w:ascii="Times New Roman;serif" w:hAnsi="Times New Roman;serif"/>
          <w:b w:val="false"/>
          <w:color w:val="231F20"/>
          <w:sz w:val="13"/>
        </w:rPr>
        <w:t>*</w:t>
      </w:r>
      <w:r>
        <w:rPr>
          <w:color w:val="231F20"/>
        </w:rPr>
        <w:t xml:space="preserve"> </w:t>
      </w:r>
      <w:r>
        <w:rPr>
          <w:rFonts w:ascii="Times New Roman;serif" w:hAnsi="Times New Roman;serif"/>
          <w:b w:val="false"/>
          <w:color w:val="231F20"/>
          <w:sz w:val="13"/>
        </w:rPr>
        <w:t>Amounts</w:t>
      </w:r>
      <w:r>
        <w:rPr>
          <w:color w:val="231F20"/>
        </w:rPr>
        <w:t xml:space="preserve"> </w:t>
      </w:r>
      <w:r>
        <w:rPr>
          <w:rFonts w:ascii="Times New Roman;serif" w:hAnsi="Times New Roman;serif"/>
          <w:b w:val="false"/>
          <w:color w:val="231F20"/>
          <w:sz w:val="13"/>
        </w:rPr>
        <w:t>may</w:t>
      </w:r>
      <w:r>
        <w:rPr>
          <w:color w:val="231F20"/>
        </w:rPr>
        <w:t xml:space="preserve"> </w:t>
      </w:r>
      <w:r>
        <w:rPr>
          <w:rFonts w:ascii="Times New Roman;serif" w:hAnsi="Times New Roman;serif"/>
          <w:b w:val="false"/>
          <w:color w:val="231F20"/>
          <w:sz w:val="13"/>
        </w:rPr>
        <w:t>not sum</w:t>
      </w:r>
      <w:r>
        <w:rPr>
          <w:color w:val="231F20"/>
        </w:rPr>
        <w:t xml:space="preserve"> </w:t>
      </w:r>
      <w:r>
        <w:rPr>
          <w:rFonts w:ascii="Times New Roman;serif" w:hAnsi="Times New Roman;serif"/>
          <w:b w:val="false"/>
          <w:color w:val="231F20"/>
          <w:sz w:val="13"/>
        </w:rPr>
        <w:t>due to rounding.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Comparison of the Three and Nine Months Ended September 30, 2025 and 2024</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1655" w:type="dxa"/>
        <w:jc w:val="left"/>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315"/>
        <w:gridCol w:w="315"/>
        <w:gridCol w:w="316"/>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$92.6 million for the three months ended September 30, 2025, as compared to $99.2 million for the three months ended September 30, 2024. The decrease of $6.7 million, or 6.7%, was due to a decrease in retail revenue of $4.0 million and a decline in Honest.com revenue of $2.7 million as we transition away from Honest.com. The decrease in retail revenue was driven by a decrease in diaper revenue of $7.5 million primarily related to distribution losses, lapping of certain retailer promotional events, changes in consumer shopping behavior, slower conversion to our new diaper renovation at certain retailers and a decline in baby apparel revenue of $0.9 million, partially offset by a $4.5 million increase in wipes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was $283.3 million for the nine months ended September 30, 2025, as compared to $278.5 million for the nine months ended September 30, 2024. The increase of $4.8 million, or 1.7%, was due to an increase in retail revenue of $12.8 million, offset by a decline in Honest.com revenue of $8.0 million. The increase in retail revenue was driven by a $22.6 million increase in wipes revenue and a $3.0 million increase in baby personal care revenue, partially offset by a decrease in diaper revenue primarily related to distribution losses, the lapping of certain retailer promotional events, changes in consumer shopping behavior, adult facial care (including skin care and cosmetics) revenue and baby apparel revenue of $9.2 million, $3.4 million and $0.9 million, respectively.</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before="1" w:after="1"/>
        <w:jc w:val="left"/>
        <w:rPr/>
      </w:pPr>
      <w:r>
        <w:rPr/>
      </w:r>
    </w:p>
    <w:tbl>
      <w:tblPr>
        <w:tblW w:w="11580" w:type="dxa"/>
        <w:jc w:val="left"/>
        <w:tblInd w:w="0" w:type="dxa"/>
        <w:tblLayout w:type="fixed"/>
        <w:tblCellMar>
          <w:top w:w="28" w:type="dxa"/>
          <w:left w:w="28" w:type="dxa"/>
          <w:bottom w:w="28" w:type="dxa"/>
          <w:right w:w="28" w:type="dxa"/>
        </w:tblCellMar>
      </w:tblPr>
      <w:tblGrid>
        <w:gridCol w:w="277"/>
        <w:gridCol w:w="244"/>
        <w:gridCol w:w="245"/>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315"/>
        <w:gridCol w:w="315"/>
        <w:gridCol w:w="316"/>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$58.1 million for the three months ended September 30, 2025, as compared to $60.8 million for the three months ended September 30, 2024. The decrease of $2.8 million, or 4.5%, was primarily driven by a decrease in product costs due to sales volume decline, partially offset by tariff costs. Cost of revenue as a percentage of revenue increased by 140 basis points compared to the three months ended September 30,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was $173.4 million for the nine months ended September 30, 2025, as compared to $172.6 million for the nine months ended September 30, 2024. The increase of $0.8 million, or 0.4%, was primarily driven by tariff costs, partially offset by a change in inventory reserves. Cost of revenue as a percentage of revenue decreased by 78 basis points compared to the nine months ended September 30,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$34.5 million for the three months ended September 30, 2025, as compared to $38.4 million for the three months ended September 30, 2024. The decrease of $3.9 million, or 10.2%, was primarily related to a decline in sales volume and an increase in tariff costs, partially offset by lower trade spend and favorable product mix.</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$109.9 million for the nine months ended September 30, 2025, as compared to $105.9 million for the nine months ended September 30, 2024. The increase of $4.0 million, or 3.8%, was primarily related to favorable product mix, lower trade spend and sales volume growth, partially offset by an increase in tariff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before="1" w:after="1"/>
        <w:jc w:val="left"/>
        <w:rPr/>
      </w:pPr>
      <w:r>
        <w:rPr/>
      </w:r>
    </w:p>
    <w:tbl>
      <w:tblPr>
        <w:tblW w:w="12015"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315"/>
        <w:gridCol w:w="315"/>
        <w:gridCol w:w="316"/>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$17.7 million for the three months ended September 30, 2025, as compared to $23.4 million for the three months ended September 30, 2024. The decrease of $5.7 million, or 24.5%, was primarily due to a $4.3 million decrease in legal expenses and a $1.0 million decline in third-party service fees. Selling, general and administrative expenses as a percentage of revenue decreased 4.5% as compared to the three months ended September 30, 2024.</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$59.1 million for the nine months ended September 30, 2025, as compared to $72.3 million for the nine months ended September 30, 2024. The decrease of $13.2 million, or 18.3%, was primarily due to a $6.2 million decrease in stock-based compensation expense and a $5.7 million decrease in legal expenses. Selling, general and administrative expenses as a percentage of revenue decreased 5.1% as compared to the nine months ended September 30, 2024.</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Expenses </w:t>
      </w:r>
    </w:p>
    <w:p>
      <w:pPr>
        <w:pStyle w:val="TextBody"/>
        <w:bidi w:val="0"/>
        <w:spacing w:before="1" w:after="1"/>
        <w:jc w:val="left"/>
        <w:rPr/>
      </w:pPr>
      <w:r>
        <w:rPr/>
      </w:r>
    </w:p>
    <w:tbl>
      <w:tblPr>
        <w:tblW w:w="11565"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bookmarkStart w:id="1" w:name="icb966ab4eba94aac999ce405b0cd41da_44352"/>
      <w:bookmarkEnd w:id="1"/>
      <w:r>
        <w:rPr>
          <w:rFonts w:ascii="Times New Roman;serif" w:hAnsi="Times New Roman;serif"/>
          <w:b w:val="false"/>
          <w:color w:val="000000"/>
          <w:sz w:val="20"/>
        </w:rPr>
        <w:t xml:space="preserve">Marketing expenses were $14.8 million for the three months ended September 30, 2025, as compared to $13.2 million for the three months ended September 30, 2024. The increase of $1.6 million, or 12.3%, was primarily due to a $0.8 million increase in retail marketing and a $0.7 million increase in direct brand advertising. Marketing expenses as a percentage of revenue increased 2.7% as compared to the three months ended September 30, 2024.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were $39.6 million for the nine months ended September 30, 2025, as compared to $33.8 million for the nine months ended September 30, 2024. The increase of $5.8 million, or 17.3%, was primarily due to a $3.9 million increase in retail marketing and a $1.8 million increase in direct brand advertising. Marketing expenses as a percentage of revenue increased 1.9% as compared to the nine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1" w:after="1"/>
        <w:jc w:val="left"/>
        <w:rPr/>
      </w:pPr>
      <w:r>
        <w:rPr/>
      </w:r>
    </w:p>
    <w:tbl>
      <w:tblPr>
        <w:tblW w:w="11195"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59"/>
        <w:gridCol w:w="462"/>
        <w:gridCol w:w="135"/>
        <w:gridCol w:w="109"/>
        <w:gridCol w:w="109"/>
        <w:gridCol w:w="109"/>
        <w:gridCol w:w="315"/>
        <w:gridCol w:w="315"/>
        <w:gridCol w:w="316"/>
        <w:gridCol w:w="109"/>
        <w:gridCol w:w="109"/>
        <w:gridCol w:w="109"/>
        <w:gridCol w:w="211"/>
        <w:gridCol w:w="616"/>
        <w:gridCol w:w="109"/>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$1.7 million for the three months ended September 30, 2025, as compared to $1.7 million for the three months ended September 30, 2024. </w:t>
      </w:r>
    </w:p>
    <w:p>
      <w:pPr>
        <w:pStyle w:val="TextBody"/>
        <w:bidi w:val="0"/>
        <w:spacing w:before="1" w:after="1"/>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$5.5 million for the nine months ended September 30, 2025, as compared to $5.1 million for the nine months ended September 30, 2024. </w:t>
      </w:r>
    </w:p>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(Expense), Net</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830"/>
        <w:gridCol w:w="731"/>
        <w:gridCol w:w="733"/>
        <w:gridCol w:w="252"/>
        <w:gridCol w:w="559"/>
        <w:gridCol w:w="130"/>
        <w:gridCol w:w="130"/>
        <w:gridCol w:w="130"/>
        <w:gridCol w:w="130"/>
        <w:gridCol w:w="252"/>
        <w:gridCol w:w="559"/>
        <w:gridCol w:w="130"/>
        <w:gridCol w:w="121"/>
        <w:gridCol w:w="121"/>
        <w:gridCol w:w="121"/>
        <w:gridCol w:w="255"/>
        <w:gridCol w:w="533"/>
        <w:gridCol w:w="121"/>
        <w:gridCol w:w="109"/>
        <w:gridCol w:w="109"/>
        <w:gridCol w:w="109"/>
        <w:gridCol w:w="109"/>
        <w:gridCol w:w="109"/>
        <w:gridCol w:w="212"/>
        <w:gridCol w:w="619"/>
        <w:gridCol w:w="109"/>
        <w:gridCol w:w="109"/>
        <w:gridCol w:w="109"/>
        <w:gridCol w:w="109"/>
        <w:gridCol w:w="212"/>
        <w:gridCol w:w="362"/>
        <w:gridCol w:w="109"/>
        <w:gridCol w:w="109"/>
        <w:gridCol w:w="109"/>
        <w:gridCol w:w="109"/>
        <w:gridCol w:w="212"/>
        <w:gridCol w:w="619"/>
        <w:gridCol w:w="109"/>
        <w:gridCol w:w="109"/>
        <w:gridCol w:w="109"/>
        <w:gridCol w:w="109"/>
        <w:gridCol w:w="109"/>
        <w:gridCol w:w="169"/>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4"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6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was net income of $0.6 million for the three months ended September 30, 2025, as compared to net income of $0.1 million for the three months ended September 30, 2024.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was net income of $2.4 million for the nine months ended September 30, 2025, as compared to net income of $44.0 thousand for the nine months ended September 30, 2024. The increase of $2.3 million primarily relates to interest income earned on our money market account.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$71.5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condensed consolidated financial statements. We will need to generate sufficient cash from operations or may need to raise additional capital to meet our long-term working capital and capital expenditure needs in the future. We also have availability under our 2023 Credit Facility, which was not drawn as of September 30,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income (loss). For the three and nine months ended September 30, 2025, the commitment fee incurred was immaterial. As of September 30, 2025, there were $1.5 million of outstanding letters of credit and $31.5 million available to be drawn upon. As of September 30, 2025, there was no outstanding balance under the 2023 Credit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September 30, 2025, we are in compliance with all covenants under the 2023 Credit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5 “Credit Facilities” included in the condensed consolidated financial statements included elsewhere in this Quarterly Report on Form 10-Q for more information on the 2023 Credit Facility.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825" w:type="dxa"/>
        <w:jc w:val="left"/>
        <w:tblInd w:w="0" w:type="dxa"/>
        <w:tblLayout w:type="fixed"/>
        <w:tblCellMar>
          <w:top w:w="28" w:type="dxa"/>
          <w:left w:w="28" w:type="dxa"/>
          <w:bottom w:w="28" w:type="dxa"/>
          <w:right w:w="28" w:type="dxa"/>
        </w:tblCellMar>
      </w:tblPr>
      <w:tblGrid>
        <w:gridCol w:w="1526"/>
        <w:gridCol w:w="1343"/>
        <w:gridCol w:w="1346"/>
        <w:gridCol w:w="314"/>
        <w:gridCol w:w="1030"/>
        <w:gridCol w:w="162"/>
        <w:gridCol w:w="162"/>
        <w:gridCol w:w="162"/>
        <w:gridCol w:w="162"/>
        <w:gridCol w:w="314"/>
        <w:gridCol w:w="1075"/>
        <w:gridCol w:w="229"/>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18,366 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largest source of operating cash is from the sales of our products to our consumers and customers. Our primary uses of cash from operating activities are for cost of revenue, selling, general and administrative expenses, marketing expenses and research and development expenses. We have in the three and nine months ended September 30, 2025 and in the past generated negative cash flows from operating activities and have in the past supplemented working capital requirements through net proceeds from the sale and maturity of short-term investments.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of $4.2 million for the nine months ended September 30, 2025 was primarily due to a net decrease in cash related to changes in operating assets and liabilities of $29.4 million, partially offset by non-cash adjustments of $17.3 million and net income of $7.9 million. Non-cash adjustments for accounts receivable reserves, inventory reserves, donation expense and utilization of marketing credits are included in "other" in the accompanying condensed consolidated statements of cash flows. Net cash used in operating activities primarily consisted of a $15.1 million decrease in accounts payable and accrued expenses due to timing of payments, a $10.8 million increase in inventory, a $6.4 million use of cash due to operating lease obligations, and a $0.3 million decrease in deferred revenue, partially offset by a $2.7 million decrease in prepaid expenses and other assets. Non-cash adjustments primarily consisted of stock-based compensation of $7.5 million, amortization of operating Right-of-Use (“ROU”) assets of $5.0 million, depreciation and amortization of $2.2 million and other items such as the marketing credits mentioned above.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of $18.4 million for the nine months ended September 30, 2024 was primarily due to non-cash adjustments of $23.9 million and a net decrease in cash related to changes in operating assets and liabilities of $0.2 million, partially offset by a net loss of $5.3 million. Non-cash adjustments primarily consisted of stock-based compensation of $13.6 million, amortization of operating ROU assets of $4.8 million, depreciation and amortization of $2.1 million and utilization of marketing credits of $1.6 million. Net cash used in operating activities primarily consisted of a $6.1 million use of cash due to operating lease obligations, a $2.7 million increase in inventory, partially offset by a $6.6 million decrease in accounts receivable and a $3.6 million increase in accounts payable and accrued expenses driven by timing of payments to vendors.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investing cash is property and equipment.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$0.3 million for the nine months ended September 30, 2025 was due to purchases of property and equipment.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$0.2 million for the nine months ended September 30, 2024 was due to purchases of property and equipment.</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of $0.5 million for the nine months ended September 30, 2025 consisted primarily of $0.4 million of proceeds from stock option award exercises.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$2.4 million for the nine months ended September 30, 2024 consisted primarily of $2.4 million of proceeds from stock option award exercises.</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and present our condensed consolidated financial statements in accordance with GAAP. However, management believes that Organic Revenue and Adjusted EBITDA, which are are non-GAAP financial measures, which provide investors with additional useful information in evaluating our performance. </w:t>
      </w:r>
    </w:p>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Organic Revenue as net revenue, adjusted to exclude revenue from exited operations including: (1) product revenue from our apparel line; (2) revenue from our Honest.com website as a fulfillment center; (3) revenue from sales to Canadian retailers or channels and (4) in certain periods, revenue from other acquisitions, divestitures and product or channel exits.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and (6) executive officer transition expenses.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Organic Revenue and Adjusted EBITDA are financial measures that are not required by, or presented in accordance with GAAP. We believe that Organic Revenue and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Organic Revenue and Adjusted EBITDA is helpful to our investors as they are measures used by management in assessing the health of our business, determining incentive compensation and evaluating our operating performance, as well as for internal planning and forecasting purposes. Additionally, we believe Organic Revenue is helpful to our investors as it adjusts for revenue sources that we are exiting in connection with Powering Honest Growth.</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it does not include certain non-ordinary cash expenses that we do not believe are representative of our business on a steady-state basis, such as executive officer transition expenses. In addition, our use of Adjusted EBITDA and Organic Revenue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and Organic Revenue alongside other financial measures, including our revenue, net income (loss) and other results stated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revenue, the most directly comparable financial measure stated in accordance with GAAP, to Organic Revenue, for each of the periods presented: </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1180"/>
        <w:gridCol w:w="1038"/>
        <w:gridCol w:w="1043"/>
        <w:gridCol w:w="287"/>
        <w:gridCol w:w="983"/>
        <w:gridCol w:w="147"/>
        <w:gridCol w:w="147"/>
        <w:gridCol w:w="147"/>
        <w:gridCol w:w="147"/>
        <w:gridCol w:w="287"/>
        <w:gridCol w:w="983"/>
        <w:gridCol w:w="147"/>
        <w:gridCol w:w="109"/>
        <w:gridCol w:w="109"/>
        <w:gridCol w:w="109"/>
        <w:gridCol w:w="264"/>
        <w:gridCol w:w="1034"/>
        <w:gridCol w:w="135"/>
        <w:gridCol w:w="135"/>
        <w:gridCol w:w="135"/>
        <w:gridCol w:w="135"/>
        <w:gridCol w:w="264"/>
        <w:gridCol w:w="1034"/>
        <w:gridCol w:w="206"/>
      </w:tblGrid>
      <w:tr>
        <w:trPr/>
        <w:tc>
          <w:tcPr>
            <w:tcW w:w="11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Revenue to Organic Revenue</w:t>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99,237 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278,503 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revenue from:</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Apparel</w:t>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(10,397)</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(28,682)</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(29,626)</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Honest.com</w:t>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(28,979)</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(36,985)</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w:t>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72,577 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76,146 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223,759 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210,562 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99"/>
        <w:gridCol w:w="1142"/>
        <w:gridCol w:w="1147"/>
        <w:gridCol w:w="297"/>
        <w:gridCol w:w="871"/>
        <w:gridCol w:w="153"/>
        <w:gridCol w:w="153"/>
        <w:gridCol w:w="153"/>
        <w:gridCol w:w="153"/>
        <w:gridCol w:w="297"/>
        <w:gridCol w:w="871"/>
        <w:gridCol w:w="153"/>
        <w:gridCol w:w="109"/>
        <w:gridCol w:w="109"/>
        <w:gridCol w:w="109"/>
        <w:gridCol w:w="273"/>
        <w:gridCol w:w="935"/>
        <w:gridCol w:w="141"/>
        <w:gridCol w:w="141"/>
        <w:gridCol w:w="141"/>
        <w:gridCol w:w="141"/>
        <w:gridCol w:w="273"/>
        <w:gridCol w:w="935"/>
        <w:gridCol w:w="209"/>
      </w:tblGrid>
      <w:tr>
        <w:trPr/>
        <w:tc>
          <w:tcPr>
            <w:tcW w:w="129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(Loss) to Adjusted EBITDA</w:t>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litigation expense</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5,759 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Executive officer transition expense</w:t>
            </w:r>
            <w:r>
              <w:rPr>
                <w:rFonts w:ascii="Times New Roman;serif" w:hAnsi="Times New Roman;serif"/>
                <w:b w:val="false"/>
                <w:color w:val="000000"/>
                <w:sz w:val="13"/>
              </w:rPr>
              <w:t>(1)</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expense related to stock-based compensation</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18,068 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17,317 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3"/>
        </w:rPr>
      </w:pPr>
      <w:r>
        <w:rPr>
          <w:rFonts w:ascii="Times New Roman;serif" w:hAnsi="Times New Roman;serif"/>
          <w:b w:val="false"/>
          <w:color w:val="000000"/>
          <w:sz w:val="13"/>
        </w:rPr>
        <w:t>(1) For the nine months ended September 30, 2024, this includes sign-on bonus and relocation costs related to the appointment of our Chief Executive Officer and separation costs related to the termination of our founder and former Chief Creative Officer. For the nine months ended September 30, 2025, this includes separation, bonus and recruiting costs related to our Chief Financial Officer transition.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were no changes to our material cash requirements from those described under “Management's Discussion and Analysis of Financial Condition and Results of Operations” in our Annual Report.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nine months ended September 30, 2025, there were no material changes to our critical accounting estimates from those discussed in our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to our condensed consolidated financial statements included elsewhere in this Quarterly Report on Form 10-Q for a discussion of recently issued accounting pronouncements.</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We expect to lose the benefits provided to emerging growth companies as of December 31,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 rules and regulations, as a smaller reporting company, we are not required to provide the information required by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maintain “disclosure controls a</w:t>
      </w:r>
      <w:r>
        <w:rPr>
          <w:rFonts w:ascii="Times New Roman;serif" w:hAnsi="Times New Roman;serif"/>
          <w:b w:val="false"/>
          <w:color w:val="000000"/>
          <w:sz w:val="20"/>
          <w:shd w:fill="FFFFFF" w:val="clear"/>
        </w:rPr>
        <w:t xml:space="preserve">nd procedures,” as defined in Rules 13a-15(e) and 15d-15(e) under the Securities Exchange Act of 1934, as amended, (the </w:t>
      </w:r>
      <w:r>
        <w:rPr>
          <w:color w:val="000000"/>
        </w:rPr>
        <w:t>“</w:t>
      </w:r>
      <w:r>
        <w:rPr>
          <w:rFonts w:ascii="Times New Roman;serif" w:hAnsi="Times New Roman;serif"/>
          <w:b w:val="false"/>
          <w:color w:val="000000"/>
          <w:sz w:val="20"/>
          <w:shd w:fill="FFFFFF" w:val="clear"/>
        </w:rPr>
        <w:t xml:space="preserve">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erif" w:hAnsi="Times New Roman;serif"/>
          <w:b w:val="false"/>
          <w:color w:val="000000"/>
          <w:sz w:val="20"/>
        </w:rPr>
        <w:t xml:space="preserve">Our management, with the participation of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evaluated, as of the period ended September 30, 2025,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the Company's internal control over financial reporting that occurred during the quarter ended September 30, 2025 that has materially affected, or is reasonably likely to materially affect, the Company's internal control over financial reporting.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under the heading “Litigation” in Note 7 and "Subsequent Events" in Note 12 to our condensed consolidated financial statements included in this Quarterly Report on Form 10-Q is incorporated by reference into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substantial risks. Some of the more significant risks include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quarterly operating results may fluctuate, which could cause our stock price to decline.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future success depends, in part, on our ability to achieve our long-term strategy.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International trade disputes and the U.S. government’s trade policy, including recently enacted tariffs and potential new tariffs, could adversely affect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Overall macroeconomic trends, including due to pandemics or disease outbreaks, have had and may continue to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not be able to compete successfully in our highly competitive market.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strategic initiatives, including as part of the Transformation Initiative and Powering Honest Growth, to reduce our costs could have long-term adverse effects on our business, financial condition, results of operations and prospects, could result in total costs and expenses that are greater than expected, and we may not realize the operational or financial benefits from such actions.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maintain our competitive position is largely dependent on the services of our senior management and other key personnel.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have a history of net losses and we may not be able to achieve or maintain profitability in the future.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may be adversely affected if we are unable to provide our consumers with a technology platform that is able to respond and adapt to rapid changes in technology.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disruption in our operations could have an adverse effect on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adversely affect our business, harm our brand, cause consumer dissatisfaction, and require us to find alternative suppliers of our products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Increasing scrutiny and evolving expectations from stakeholders with respect to our ESG practices, performance, commitments and disclosures may impact our reputation, increase our costs and impact our access to capital.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 xml:space="preserve">included in our Annual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Our future success depends, in part, on our ability to achieve our long-term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Achieving our long-term strategy will require investment in new capabilities, employees, products, distribution channels, supply chain facilities and technologies. These investments may result in short-term costs without any current sales and, therefore, may be dilutive to our earnings. In addition, we have in the past, will in the near term, and may in the future dispose of or discontinue select products or streamline operations and incur costs or restructuring and other charges in doing so. For example, during the year ended December 31, 2023 we exited certain retail and online stores in unprofitable geographical locations, in Asia and Europe, and we incurred restructuring costs in connection with the Transformation Initiative of approximately $2.2 million. In November 2025, we announced that we will be sunsetting our fulfillment of orders via Honest.com and exiting retail and online stores in Canada effective December 31, 2025 and terminating our Supplier Services Agreement for the sale of Honest apparel. We are currently working on updating our strategic focus, which could impact our business and results of operations. Although we are committed to ensuring that our updated strategy will lead to long-term growth in sales and profitability, we may not realize the anticipated benefits. The failure to realize benefits from our updated strategy, which may be due to our inability to execute plans, global or local economic conditions, competition, changes in our industry and the other risks described herein,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231F20"/>
          <w:sz w:val="20"/>
        </w:rPr>
        <w:t xml:space="preserve">International trade disputes and the U.S. government’s trade policy, including </w:t>
      </w:r>
      <w:r>
        <w:rPr>
          <w:rFonts w:ascii="Times New Roman;serif" w:hAnsi="Times New Roman;serif"/>
          <w:b/>
          <w:i/>
          <w:color w:val="000000"/>
          <w:sz w:val="20"/>
        </w:rPr>
        <w:t>recently enacted tariffs and potential new tariffs</w:t>
      </w:r>
      <w:r>
        <w:rPr>
          <w:color w:val="231F20"/>
        </w:rPr>
        <w:t xml:space="preserve"> </w:t>
      </w:r>
      <w:r>
        <w:rPr>
          <w:rFonts w:ascii="Times New Roman;serif" w:hAnsi="Times New Roman;serif"/>
          <w:b/>
          <w:i/>
          <w:color w:val="231F20"/>
          <w:sz w:val="20"/>
        </w:rPr>
        <w:t>could adversely affect our business, financial condition, results of operations and prospects.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International trade disputes or changes in government priorities could result in tariffs and other protectionist measures that could adversely affect our business. Tariffs could increase the cost of our products and the components and raw materials that go into making them. These increased costs could adversely impact the gross margin that we earn on our products. Countries may also adopt other protectionist measures that could limit our ability to offer our products. The recent announcements of substantial new tariffs and other restrictive trade policies have created a dynamic and unpredictable trade landscape, which could adversely impact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The U.S. government has adopted, and indicated its intent to continue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Although the tariffs that have been initiated as of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231F20"/>
          <w:sz w:val="20"/>
        </w:rPr>
        <w:t xml:space="preserve">have not had a material impact on our operating results, to the extent that significant additional tariffs are imposed including the new tariffs being imposed under the new presidential administration they could have a material impact on our operating results. Certain products, such as our baby wipes, are imported from China, our diapers are imported from Mexico and certain other components of our products are sourced from other countries and could be subject to the new tariffs. The imposition of tariffs have led costs on products from China to increase, including our wipes products and certain product components, and other new tariffs imposed by the United States </w:t>
      </w:r>
      <w:r>
        <w:rPr>
          <w:rFonts w:ascii="Times New Roman;serif" w:hAnsi="Times New Roman;serif"/>
          <w:b w:val="false"/>
          <w:color w:val="000000"/>
          <w:sz w:val="20"/>
        </w:rPr>
        <w:t xml:space="preserve">could cause costs to increase further, which could lead to price increases on these products, which may not be absorbed by consumers or may lead to decreased demand; or any such tariffs could require a shift in manufacturing location, which could have an adverse effect on results of operations and could introduce uncertainty, including on product quality, with a new manufacturer.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on expected timelines or if any price increases are poorly received by our consumers. Any attempt to mitigate the adverse effects of these tariffs may not be successful.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adoption and expansion of trade restrictions, the occurrence of a trade war, or other governmental action related to tariffs or trade agreements or policies may exacerbate unfavorable macroeconomic conditions including inflationary pressures, foreign exchange volatility, financial market instability, and economic recessions or downturns, which may also adversely impact demand for our products, our costs, our consumers, our suppliers, and limit our access to capital, which in turn could have an adverse effect on our business, financial condition, results of operations and prospects. Ongoing tariff, trade restrictions and macroeconomic uncertainty also may contribute to volatility in the price of our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the section titled “Risk Factors” included in our Annual Report.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rely on third-party suppliers, manufacturers, retail and ecommerce customers and other vendors, and they may not continue to produce products or provide services that are consistent with our standards or applicable regulatory requirements, which could adversely affect our business, harm our brand, cause consumer dissatisfaction, and require us to find alternative suppliers of our products or services.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do not own or operate any manufacturing facilities. We use multiple third-party suppliers and manufacturers based primarily in the United States, China and Mexico and other countries to a lesser extent, to source, manufacture and partner with us for the innovation of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manufacture and to partner in innovation of our products may be affected by raw material availability and prices, competing orders placed by other companies and the demands of those companies.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2021, we were informed by two third-party manufacturers that those hurdles had been met. In addition, in 2022, we received requests from the same two third-party manufacturers to renegotiate purchase costs due to continued increases in raw material costs. As a result, we negotiated and agreed to higher purchase prices, which negatively impacted our cost of revenue in 2022 and 2023. In 2025, we have agreed to increased purchase costs from our diaper manufacturer and received requests to renegotiate purchase costs from other third-party manufacturers.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In addition, if we experience significant decreases in demand, our third-party manufacturers may increase product purchase costs.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In addition, quality control problems, such as the use of materials and delivery of products that do not meet our quality control standards and specifications or comply with applicable laws or regulations, could harm our business or cause consumer dissatisfaction. For example, as disinfecting and sanitization products faced supply chain challenges during the COVID-19 pandemic, decelerating market demand and aging and slower turning inventory, we had received some product quality complaints from customers and consumers that resulted in additional refunds, returns, write-offs and remediation costs. Remediation costs would be significant, including the cost to rework a product to be in sellable condition or the cost to destroy a product that cannot be remediated, and while immaterial as of </w:t>
      </w:r>
      <w:r>
        <w:rPr>
          <w:rFonts w:ascii="Times New Roman;serif" w:hAnsi="Times New Roman;serif"/>
          <w:b w:val="false"/>
          <w:color w:val="000000"/>
          <w:sz w:val="20"/>
        </w:rPr>
        <w:t>September 30, 2025</w:t>
      </w:r>
      <w:r>
        <w:rPr>
          <w:rFonts w:ascii="Times New Roman;serif" w:hAnsi="Times New Roman;serif"/>
          <w:b w:val="false"/>
          <w:color w:val="231F20"/>
          <w:sz w:val="20"/>
        </w:rPr>
        <w:t>, they could have an adverse effect on our business, financial condition and results of operations. Quality control problems could result in regulatory action, such as restrictions on importation, products of inferior quality or product stock outages or shortages, harming our sales and creating inventory write-downs for unusable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customers, and upon expiration of these existing agreements, we may not be able to renegotiate the terms on a commercially reasonable basis, or at 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Further, our third-party manufacturers, suppliers and retail and ecommerce customers may:</w: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have economic or business interests or goals that are inconsistent with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take actions contrary to our instructions, requests, policies or objectives;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have financial difficulties;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raw material or labor shortages;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increases in raw material or labor costs which may affect our procurement costs;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difficulties with proper payment of custom duties or excise taxes;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disclose our confidential information or intellectual property to competitors or third parties;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engage in activities or employ practices that may harm our reputation; and</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work with, be acquired by, or come under control of, our competitors.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may be unable to accurately forecast revenue, gross margin or operating expenses and appropriately plan our expenses in the future.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as well as the U.S. government's evolving trade policy. We base our expense levels and investment plans on our estimates of revenue and gross margin. We cannot be sure prior growth rates and trends are meaningful predictors of future growth. For example, in the third quarter of 2022, some of our customers reduced inventory on hand and changed their fulfillment schedules, which negatively impacted our fulfillment operations in 2022. Furthermore, during 2024, we experienced distribution losses with two of our largest customers on certain diaper SKUs mainly related to these retailers' footprint changes for certain product categories overall and a shift to more exclusive non-gendered prints, which has impacted our revenue in 2025 and we expect will negatively impact our diaper revenue in the future. In addition, we have seen certain retailer promotional events on our diaper SKUs not repeat in the third quarter of 2025 and slower conversion to our new diaper SKUs at certain retailers, which have negatively impacted our diaper revenue in the third quarter of 2025. If our assumptions prove to be wrong, we may generate lower revenue or gross margin than anticipated or may spend more than we anticipate acquiring and retaining consumers either of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 xml:space="preserve">Our strategic initiatives, including as part of the Transformation Initiative and Powering Honest Growth, to reduce our costs could have long-term adverse effects on our business, financial condition, results of operations and prospects, could result in total costs and expenses that are greater than expected, and we may not realize the operational or financial benefits from such actions.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31F20"/>
          <w:sz w:val="20"/>
        </w:rPr>
        <w:t xml:space="preserve">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In November 2025, we announced Powering Honest Growth to power growth through </w:t>
      </w:r>
      <w:r>
        <w:rPr>
          <w:rFonts w:ascii="Times New Roman;serif" w:hAnsi="Times New Roman;serif"/>
          <w:b w:val="false"/>
          <w:color w:val="000000"/>
          <w:sz w:val="20"/>
        </w:rPr>
        <w:t>improved simplicity, focus and profitability of the business</w:t>
      </w:r>
      <w:r>
        <w:rPr>
          <w:rFonts w:ascii="Times New Roman;serif" w:hAnsi="Times New Roman;serif"/>
          <w:b w:val="false"/>
          <w:color w:val="231F20"/>
          <w:sz w:val="20"/>
        </w:rPr>
        <w:t>. The Transformation Initiative and Powering Honest Growth and the timing and success of such efforts are subject to many risks and uncertainties, including, without limitation, our ability to reduce costs and achieve positive gross margins; meet certain revenue and operating expense targets; and monetize inventory and manage working capital. In addition, any changes we make to reduce our cost structure, including changes to our products, formulations, or packaging, may result in reduced consumer demand for our products and increased carrying costs and have been and may in the future be negatively impacted by macroeconomic factors. For example, changes made to our cost structure and brand maximization efforts under the Transformation Initiative were negatively impacted by changing macroeconomic factors like tariffs, consumer behavior, and rising input costs. Our future financial performance will depend, in part, on our ability to effectively manage any future growth or restructuring, as applicable, including Powering Honest Growth, and evolving macroeconomic factors. We may not realize, in full or in part, the anticipated benefits, savings, efficiencies and improvements in our cost structure from the Transformation Initiative and Powering Honest Growth due to unforeseen difficulties, delays or unexpected costs. If we are unable to realize the anticipated savings and efficiencies of our strategic initiatives, or if they result in unintended consequences, then our operating and financial results would be adversely affected and could differ materially from our expectations.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Additionally, the Transformation Initiative and Powering Honest Growth has resulted in, or will result in, the loss of institutional knowledge and expertise, as well as the reallocation and combination of certain roles and responsibilities across the Company, all of which could adversely affect our operations. These effects could have a material adverse effect on our ability to execute on our updated business model. There can be no assurance that we will be successful in executing the Transformation Initiative or Powering Honest Growth. The Transformation Initiative and Powering Honest Growth may also be disruptive to our operations. For example, our headcount reductions could yield unanticipated consequences, such as increased difficulties in implementing our business strategy, including retention of our remaining employees, adverse effects on employee morale, diversion of management attention, and adverse effects on our reputation as an employer. Future growth would impose significant added responsibilities on members of management, including the need to identify, recruit, maintain and integrate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 and Non-Rule 10b5-1 Trading Arrangements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contracts, instructions or written plans adopted or terminated during the quarter ended September 30, 2025 providing for the purchase and/or sale of the Company's securities by the Company’s directors and officers (as defined in Rule 16a-1(f) under the Exchange Act):</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47"/>
        <w:gridCol w:w="387"/>
        <w:gridCol w:w="391"/>
        <w:gridCol w:w="642"/>
        <w:gridCol w:w="468"/>
        <w:gridCol w:w="447"/>
        <w:gridCol w:w="220"/>
        <w:gridCol w:w="220"/>
        <w:gridCol w:w="221"/>
        <w:gridCol w:w="246"/>
        <w:gridCol w:w="246"/>
        <w:gridCol w:w="252"/>
        <w:gridCol w:w="327"/>
        <w:gridCol w:w="327"/>
        <w:gridCol w:w="327"/>
        <w:gridCol w:w="504"/>
        <w:gridCol w:w="404"/>
        <w:gridCol w:w="393"/>
        <w:gridCol w:w="779"/>
        <w:gridCol w:w="779"/>
        <w:gridCol w:w="782"/>
        <w:gridCol w:w="404"/>
        <w:gridCol w:w="404"/>
        <w:gridCol w:w="588"/>
      </w:tblGrid>
      <w:tr>
        <w:trPr/>
        <w:tc>
          <w:tcPr>
            <w:tcW w:w="44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Action</w:t>
            </w:r>
          </w:p>
        </w:tc>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Rule 10b5-1</w:t>
            </w:r>
            <w:r>
              <w:rPr>
                <w:rFonts w:ascii="Times New Roman;serif" w:hAnsi="Times New Roman;serif"/>
                <w:b/>
                <w:color w:val="000000"/>
                <w:sz w:val="13"/>
              </w:rPr>
              <w:t>(1)</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Non-Rule 10b5-1</w:t>
            </w:r>
            <w:r>
              <w:rPr>
                <w:rFonts w:ascii="Times New Roman;serif" w:hAnsi="Times New Roman;serif"/>
                <w:b/>
                <w:color w:val="000000"/>
                <w:sz w:val="13"/>
              </w:rPr>
              <w:t>(2)</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Shares of Common Stock to be Sold</w:t>
            </w:r>
            <w:r>
              <w:rPr>
                <w:rFonts w:ascii="Times New Roman;serif" w:hAnsi="Times New Roman;serif"/>
                <w:b/>
                <w:color w:val="000000"/>
                <w:sz w:val="13"/>
              </w:rPr>
              <w:t>(3)</w:t>
            </w:r>
          </w:p>
        </w:tc>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Expiration Date</w:t>
            </w:r>
            <w:r>
              <w:rPr>
                <w:rFonts w:ascii="Times New Roman;serif" w:hAnsi="Times New Roman;serif"/>
                <w:b/>
                <w:color w:val="000000"/>
                <w:sz w:val="13"/>
              </w:rPr>
              <w:t>(4)</w:t>
            </w:r>
          </w:p>
        </w:tc>
      </w:tr>
      <w:tr>
        <w:trPr/>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Mayle</w:t>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SVP, Customer Sales</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9/11/2025</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88,777</w:t>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9/11/2026</w:t>
            </w:r>
          </w:p>
        </w:tc>
      </w:tr>
      <w:tr>
        <w:trPr/>
        <w:tc>
          <w:tcPr>
            <w:tcW w:w="1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Winchell</w:t>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Innovation Officer</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w:t>
            </w:r>
          </w:p>
        </w:tc>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8/13/2025</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60,000</w:t>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9/2/2026</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(1) Contract, instruction or written plan intended to satisfy the affirmative defense conditions of Rule10b5-1(c) under the Exchange Act.</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(2) Non-Rule Rule 10b5-1 trading arrangement as defined in Item 408(c) of Regulation S-K under the Exchange Act.</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(3) The total shares to be sold cannot be determined at the date of this Quarterly Report as the planned sale amount for such officer is equal to a designated percentage of the net number of shares after a portion of the shares have been sold to cover withholding taxes from RSU vesting. The amount listed for such officer reflects the maximum number of shares available to be sold, which is the net number of shares after taxes, multiplied by the designated percentages set forth in such officer's respective 10b5-1 trading plan.</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(4) Each Plan terminates on the earlier of: (i) the expiration date listed in the table above; (ii) the first date on which all trades set forth in the Plan have been executed; or (iii) such date the Plan is otherwise terminated according to its terms.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Curtiss Bruce, our Chief Financial Officer, entered into a sell-to-cover arrangement adopted pursuant to Rule 10b5-1 on August 24, 2025. The sell-to-cover arrangements adopted pursuant to Rule 10b5-1 authorized the pre-arranged sale of shares to satisfy tax withholding obligations of the Company arising exclusively from the vesting of time-vesting or performance-vesting restricted stock units and the related issuance of shares of Common Stock. The amount of shares of Common Stock to be sold to satisfy the Company’s tax withholding obligations under this arrangement is dependent on future events which cannot be known at this time, including the future trading price of Company shares. The expiration date relating to the arrangement is dependent on future events which cannot be known at this time, including the final vest date of the applicable time-vesting or performance-vesting restricted stock units and the officer’s termination of service.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9"/>
        <w:gridCol w:w="350"/>
        <w:gridCol w:w="352"/>
        <w:gridCol w:w="109"/>
        <w:gridCol w:w="109"/>
        <w:gridCol w:w="109"/>
        <w:gridCol w:w="2684"/>
        <w:gridCol w:w="2514"/>
        <w:gridCol w:w="3579"/>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1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as currently in effect (incorporated herein by reference to Exhibit 3.1 to the Company’s Current Report on Form 8-K (File No. 001-40378), filed with the SEC on March 12, 2025).</w:t>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7"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5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and Rule 15d-14(a), as adopted pursuant to Section 302 of the Sarbanes-Oxley Act of 2002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5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and Rule 15d-14(a), as adopted pursuant to Section 302 of the Sarbanes-Oxley Act of 2002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5exhibit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Certification of Principal Executive Officer pursuant to 18 U.S.C. Section 1350, as adopted pursuant to Section 906 of the Sarbanes-Oxley Act of 2002 </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5exhibit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101.INS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—the instance document does not appear in the Interactive Data File because its XBRL tags are embedded within the Inline XBRL document.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erif" w:hAnsi="Times New Roman;serif"/>
          <w:b w:val="false"/>
          <w:color w:val="000000"/>
          <w:sz w:val="13"/>
        </w:rPr>
      </w:pPr>
      <w:r>
        <w:rPr>
          <w:rFonts w:ascii="Times New Roman;serif" w:hAnsi="Times New Roman;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49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465" w:type="dxa"/>
        <w:jc w:val="left"/>
        <w:tblInd w:w="0" w:type="dxa"/>
        <w:tblLayout w:type="fixed"/>
        <w:tblCellMar>
          <w:top w:w="28" w:type="dxa"/>
          <w:left w:w="28" w:type="dxa"/>
          <w:bottom w:w="28" w:type="dxa"/>
          <w:right w:w="28" w:type="dxa"/>
        </w:tblCellMar>
      </w:tblPr>
      <w:tblGrid>
        <w:gridCol w:w="759"/>
        <w:gridCol w:w="668"/>
        <w:gridCol w:w="672"/>
        <w:gridCol w:w="359"/>
        <w:gridCol w:w="359"/>
        <w:gridCol w:w="359"/>
        <w:gridCol w:w="1248"/>
        <w:gridCol w:w="1248"/>
        <w:gridCol w:w="179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Honest Company,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Carla Vernón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Carla Vernón </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Curtiss Bruce</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Executive Vice President,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and </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Carla Vernón, certify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p>
      <w:pPr>
        <w:pStyle w:val="TextBody"/>
        <w:bidi w:val="0"/>
        <w:spacing w:before="0" w:after="0"/>
        <w:jc w:val="left"/>
        <w:rPr/>
      </w:pPr>
      <w:r>
        <w:rPr/>
      </w:r>
    </w:p>
    <w:tbl>
      <w:tblPr>
        <w:tblW w:w="56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14"/>
        <w:gridCol w:w="914"/>
        <w:gridCol w:w="129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Carla Vernón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Carla Vernón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Curtiss Bruce,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8109" w:type="dxa"/>
        <w:jc w:val="left"/>
        <w:tblInd w:w="0" w:type="dxa"/>
        <w:tblLayout w:type="fixed"/>
        <w:tblCellMar>
          <w:top w:w="28" w:type="dxa"/>
          <w:left w:w="28" w:type="dxa"/>
          <w:bottom w:w="28" w:type="dxa"/>
          <w:right w:w="28" w:type="dxa"/>
        </w:tblCellMar>
      </w:tblPr>
      <w:tblGrid>
        <w:gridCol w:w="759"/>
        <w:gridCol w:w="668"/>
        <w:gridCol w:w="672"/>
        <w:gridCol w:w="267"/>
        <w:gridCol w:w="267"/>
        <w:gridCol w:w="272"/>
        <w:gridCol w:w="1517"/>
        <w:gridCol w:w="1517"/>
        <w:gridCol w:w="217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209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September 30, 2025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6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13"/>
        <w:gridCol w:w="913"/>
        <w:gridCol w:w="129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Carla Vernón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Carla Vernón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September 30, 2025 as filed with the Securities and Exchange Commission on the date hereof (the “Report”), I, Curtiss Bruce,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987"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307"/>
        <w:gridCol w:w="1307"/>
        <w:gridCol w:w="187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Accounting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5000024/thehonestcompanyinc-arby.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23810</Words>
  <Characters>133793</Characters>
  <CharactersWithSpaces>156505</CharactersWithSpaces>
  <Paragraphs>2015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