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3880" w:right="1620" w:hanging="3807"/>
        <w:spacing w:after="0" w:line="200" w:lineRule="auto"/>
        <w:tabs>
          <w:tab w:leader="none" w:pos="466" w:val="left"/>
        </w:tabs>
        <w:numPr>
          <w:ilvl w:val="0"/>
          <w:numId w:val="1"/>
        </w:numPr>
        <w:rPr>
          <w:rFonts w:ascii="MS PGothic" w:cs="MS PGothic" w:eastAsia="MS PGothic" w:hAnsi="MS PGothic"/>
          <w:sz w:val="40"/>
          <w:szCs w:val="40"/>
          <w:color w:val="auto"/>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460" w:hanging="387"/>
        <w:spacing w:after="0"/>
        <w:tabs>
          <w:tab w:leader="none" w:pos="4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3" w:lineRule="exact"/>
        <w:rPr>
          <w:sz w:val="24"/>
          <w:szCs w:val="24"/>
          <w:color w:val="auto"/>
        </w:rPr>
      </w:pPr>
    </w:p>
    <w:p>
      <w:pPr>
        <w:ind w:left="430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25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Commission File Number: 001-40378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191135</wp:posOffset>
            </wp:positionV>
            <wp:extent cx="2931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285750</wp:posOffset>
            </wp:positionV>
            <wp:extent cx="1800225" cy="334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The Honest Company, Inc.</w:t>
      </w:r>
    </w:p>
    <w:p>
      <w:pPr>
        <w:spacing w:after="0" w:line="2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29210</wp:posOffset>
            </wp:positionV>
            <wp:extent cx="2931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tbl>
      <w:tblPr>
        <w:tblLayout w:type="fixed"/>
        <w:tblInd w:w="960" w:type="dxa"/>
        <w:tblCellMar>
          <w:top w:w="0" w:type="dxa"/>
          <w:left w:w="0" w:type="dxa"/>
          <w:bottom w:w="0" w:type="dxa"/>
          <w:right w:w="0" w:type="dxa"/>
        </w:tblCellMar>
      </w:tblPr>
      <w:tr>
        <w:trPr>
          <w:trHeight w:val="238"/>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840" w:type="dxa"/>
            <w:vAlign w:val="bottom"/>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90-0750205</w:t>
            </w:r>
          </w:p>
        </w:tc>
      </w:tr>
      <w:tr>
        <w:trPr>
          <w:trHeight w:val="250"/>
        </w:trPr>
        <w:tc>
          <w:tcPr>
            <w:tcW w:w="2760" w:type="dxa"/>
            <w:vAlign w:val="bottom"/>
          </w:tcPr>
          <w:p>
            <w:pPr>
              <w:jc w:val="center"/>
              <w:ind w:right="55"/>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5840" w:type="dxa"/>
            <w:vAlign w:val="bottom"/>
          </w:tcPr>
          <w:p>
            <w:pPr>
              <w:jc w:val="center"/>
              <w:ind w:left="4575"/>
              <w:spacing w:after="0"/>
              <w:rPr>
                <w:sz w:val="20"/>
                <w:szCs w:val="20"/>
                <w:color w:val="auto"/>
              </w:rPr>
            </w:pPr>
            <w:r>
              <w:rPr>
                <w:rFonts w:ascii="Times New Roman" w:cs="Times New Roman" w:eastAsia="Times New Roman" w:hAnsi="Times New Roman"/>
                <w:sz w:val="16"/>
                <w:szCs w:val="16"/>
                <w:color w:val="auto"/>
              </w:rPr>
              <w:t>(I.R.S. Employer</w:t>
            </w:r>
          </w:p>
        </w:tc>
      </w:tr>
      <w:tr>
        <w:trPr>
          <w:trHeight w:val="243"/>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840" w:type="dxa"/>
            <w:vAlign w:val="bottom"/>
          </w:tcPr>
          <w:p>
            <w:pPr>
              <w:jc w:val="center"/>
              <w:ind w:left="4555"/>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63"/>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9"/>
              </w:rPr>
              <w:t>12130 Millennium Drive, #500</w:t>
            </w:r>
          </w:p>
        </w:tc>
        <w:tc>
          <w:tcPr>
            <w:tcW w:w="5840" w:type="dxa"/>
            <w:vAlign w:val="bottom"/>
          </w:tcPr>
          <w:p>
            <w:pPr>
              <w:spacing w:after="0"/>
              <w:rPr>
                <w:sz w:val="22"/>
                <w:szCs w:val="22"/>
                <w:color w:val="auto"/>
              </w:rPr>
            </w:pPr>
          </w:p>
        </w:tc>
      </w:tr>
      <w:tr>
        <w:trPr>
          <w:trHeight w:val="270"/>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rPr>
              <w:t>Los Angeles, CA</w:t>
            </w:r>
          </w:p>
        </w:tc>
        <w:tc>
          <w:tcPr>
            <w:tcW w:w="5840" w:type="dxa"/>
            <w:vAlign w:val="bottom"/>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90094</w:t>
            </w:r>
          </w:p>
        </w:tc>
      </w:tr>
      <w:tr>
        <w:trPr>
          <w:trHeight w:val="250"/>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5840" w:type="dxa"/>
            <w:vAlign w:val="bottom"/>
          </w:tcPr>
          <w:p>
            <w:pPr>
              <w:jc w:val="center"/>
              <w:ind w:left="4555"/>
              <w:spacing w:after="0"/>
              <w:rPr>
                <w:sz w:val="20"/>
                <w:szCs w:val="20"/>
                <w:color w:val="auto"/>
              </w:rPr>
            </w:pPr>
            <w:r>
              <w:rPr>
                <w:rFonts w:ascii="Times New Roman" w:cs="Times New Roman" w:eastAsia="Times New Roman" w:hAnsi="Times New Roman"/>
                <w:sz w:val="16"/>
                <w:szCs w:val="16"/>
                <w:color w:val="auto"/>
              </w:rPr>
              <w:t>(Zip Code)</w:t>
            </w:r>
          </w:p>
        </w:tc>
      </w:tr>
      <w:tr>
        <w:trPr>
          <w:trHeight w:val="263"/>
        </w:trPr>
        <w:tc>
          <w:tcPr>
            <w:tcW w:w="2760" w:type="dxa"/>
            <w:vAlign w:val="bottom"/>
          </w:tcPr>
          <w:p>
            <w:pPr>
              <w:spacing w:after="0"/>
              <w:rPr>
                <w:sz w:val="22"/>
                <w:szCs w:val="22"/>
                <w:color w:val="auto"/>
              </w:rPr>
            </w:pPr>
          </w:p>
        </w:tc>
        <w:tc>
          <w:tcPr>
            <w:tcW w:w="584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9"/>
              </w:rPr>
              <w:t>(888) 862-8818</w:t>
            </w:r>
          </w:p>
        </w:tc>
      </w:tr>
      <w:tr>
        <w:trPr>
          <w:trHeight w:val="250"/>
        </w:trPr>
        <w:tc>
          <w:tcPr>
            <w:tcW w:w="2760" w:type="dxa"/>
            <w:vAlign w:val="bottom"/>
          </w:tcPr>
          <w:p>
            <w:pPr>
              <w:spacing w:after="0"/>
              <w:rPr>
                <w:sz w:val="21"/>
                <w:szCs w:val="21"/>
                <w:color w:val="auto"/>
              </w:rPr>
            </w:pPr>
          </w:p>
        </w:tc>
        <w:tc>
          <w:tcPr>
            <w:tcW w:w="5840" w:type="dxa"/>
            <w:vAlign w:val="bottom"/>
          </w:tcPr>
          <w:p>
            <w:pPr>
              <w:jc w:val="center"/>
              <w:ind w:right="195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63"/>
        </w:trPr>
        <w:tc>
          <w:tcPr>
            <w:tcW w:w="2760" w:type="dxa"/>
            <w:vAlign w:val="bottom"/>
          </w:tcPr>
          <w:p>
            <w:pPr>
              <w:spacing w:after="0"/>
              <w:rPr>
                <w:sz w:val="22"/>
                <w:szCs w:val="22"/>
                <w:color w:val="auto"/>
              </w:rPr>
            </w:pPr>
          </w:p>
        </w:tc>
        <w:tc>
          <w:tcPr>
            <w:tcW w:w="584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rPr>
              <w:t>N/A</w:t>
            </w:r>
          </w:p>
        </w:tc>
      </w:tr>
    </w:tbl>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1"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40" w:type="dxa"/>
            <w:vAlign w:val="bottom"/>
          </w:tcPr>
          <w:p>
            <w:pPr>
              <w:spacing w:after="0"/>
              <w:rPr>
                <w:sz w:val="18"/>
                <w:szCs w:val="18"/>
                <w:color w:val="auto"/>
              </w:rPr>
            </w:pPr>
          </w:p>
        </w:tc>
      </w:tr>
      <w:tr>
        <w:trPr>
          <w:trHeight w:val="238"/>
        </w:trPr>
        <w:tc>
          <w:tcPr>
            <w:tcW w:w="442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6"/>
        </w:trPr>
        <w:tc>
          <w:tcPr>
            <w:tcW w:w="4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00" w:type="dxa"/>
            <w:vAlign w:val="bottom"/>
          </w:tcPr>
          <w:p>
            <w:pPr>
              <w:spacing w:after="0"/>
              <w:rPr>
                <w:sz w:val="20"/>
                <w:szCs w:val="20"/>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HNST</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0" w:lineRule="exact"/>
        <w:rPr>
          <w:sz w:val="24"/>
          <w:szCs w:val="24"/>
          <w:color w:val="auto"/>
        </w:rPr>
      </w:pPr>
    </w:p>
    <w:p>
      <w:pPr>
        <w:spacing w:after="0" w:line="241" w:lineRule="exact"/>
        <w:rPr>
          <w:sz w:val="24"/>
          <w:szCs w:val="24"/>
          <w:color w:val="auto"/>
        </w:rPr>
      </w:pPr>
    </w:p>
    <w:p>
      <w:pPr>
        <w:jc w:val="both"/>
        <w:ind w:firstLine="539"/>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3" w:lineRule="auto"/>
        <w:rPr>
          <w:sz w:val="20"/>
          <w:szCs w:val="20"/>
          <w:color w:val="auto"/>
        </w:rPr>
      </w:pPr>
      <w:r>
        <w:rPr>
          <w:rFonts w:ascii="Times New Roman" w:cs="Times New Roman" w:eastAsia="Times New Roman" w:hAnsi="Times New Roman"/>
          <w:sz w:val="18"/>
          <w:szCs w:val="18"/>
          <w:color w:val="auto"/>
        </w:rPr>
        <w:t>requirements for the past 90 days.</w:t>
      </w:r>
    </w:p>
    <w:p>
      <w:pPr>
        <w:spacing w:after="0" w:line="1" w:lineRule="exact"/>
        <w:rPr>
          <w:sz w:val="24"/>
          <w:szCs w:val="24"/>
          <w:color w:val="auto"/>
        </w:rPr>
      </w:pPr>
    </w:p>
    <w:p>
      <w:pPr>
        <w:ind w:left="160"/>
        <w:spacing w:after="0" w:line="207" w:lineRule="exact"/>
        <w:tabs>
          <w:tab w:leader="none" w:pos="7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78" w:lineRule="exact"/>
        <w:rPr>
          <w:sz w:val="24"/>
          <w:szCs w:val="24"/>
          <w:color w:val="auto"/>
        </w:rPr>
      </w:pPr>
    </w:p>
    <w:p>
      <w:pPr>
        <w:jc w:val="both"/>
        <w:ind w:firstLine="539"/>
        <w:spacing w:after="0" w:line="18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1" w:lineRule="exact"/>
        <w:rPr>
          <w:sz w:val="24"/>
          <w:szCs w:val="24"/>
          <w:color w:val="auto"/>
        </w:rPr>
      </w:pPr>
    </w:p>
    <w:p>
      <w:pPr>
        <w:jc w:val="both"/>
        <w:ind w:firstLine="539"/>
        <w:spacing w:after="0" w:line="21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5"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64" w:lineRule="exact"/>
        <w:rPr>
          <w:sz w:val="24"/>
          <w:szCs w:val="24"/>
          <w:color w:val="auto"/>
        </w:rPr>
      </w:pPr>
    </w:p>
    <w:p>
      <w:pPr>
        <w:ind w:right="280" w:firstLine="539"/>
        <w:spacing w:after="0" w:line="20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116" w:right="339" w:bottom="0" w:gutter="0" w:footer="0" w:header="0"/>
        </w:sectPr>
      </w:pPr>
    </w:p>
    <w:bookmarkStart w:id="1" w:name="page2"/>
    <w:bookmarkEnd w:id="1"/>
    <w:p>
      <w:pPr>
        <w:spacing w:after="0" w:line="207" w:lineRule="exact"/>
        <w:tabs>
          <w:tab w:leader="none" w:pos="8320" w:val="left"/>
          <w:tab w:leader="none" w:pos="89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9639"/>
          </w:cols>
          <w:pgMar w:left="820" w:top="91" w:right="1440" w:bottom="1440" w:gutter="0" w:footer="0" w:header="0"/>
        </w:sectPr>
      </w:pP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As of August 10, 2022, the registrant had 92,416,444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1007745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43180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9639"/>
          </w:cols>
          <w:pgMar w:left="820" w:top="91" w:right="1440" w:bottom="1440" w:gutter="0" w:footer="0" w:header="0"/>
          <w:type w:val="continuous"/>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9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64"/>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INFORMATION</w:t>
            </w:r>
          </w:p>
        </w:tc>
        <w:tc>
          <w:tcPr>
            <w:tcW w:w="940" w:type="dxa"/>
            <w:vAlign w:val="bottom"/>
            <w:gridSpan w:val="2"/>
          </w:tcPr>
          <w:p>
            <w:pPr>
              <w:jc w:val="center"/>
              <w:ind w:left="668"/>
              <w:spacing w:after="0"/>
              <w:rPr>
                <w:sz w:val="20"/>
                <w:szCs w:val="20"/>
                <w:color w:val="auto"/>
              </w:rPr>
            </w:pPr>
            <w:r>
              <w:rPr>
                <w:rFonts w:ascii="Times New Roman" w:cs="Times New Roman" w:eastAsia="Times New Roman" w:hAnsi="Times New Roman"/>
                <w:sz w:val="20"/>
                <w:szCs w:val="20"/>
                <w:color w:val="0000FF"/>
                <w:w w:val="99"/>
              </w:rPr>
              <w:t>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Financial Statements (Unaudited)</w:t>
            </w:r>
          </w:p>
        </w:tc>
        <w:tc>
          <w:tcPr>
            <w:tcW w:w="940" w:type="dxa"/>
            <w:vAlign w:val="bottom"/>
            <w:gridSpan w:val="2"/>
          </w:tcPr>
          <w:p>
            <w:pPr>
              <w:jc w:val="center"/>
              <w:ind w:left="668"/>
              <w:spacing w:after="0"/>
              <w:rPr>
                <w:sz w:val="20"/>
                <w:szCs w:val="20"/>
                <w:color w:val="auto"/>
              </w:rPr>
            </w:pPr>
            <w:r>
              <w:rPr>
                <w:rFonts w:ascii="Times New Roman" w:cs="Times New Roman" w:eastAsia="Times New Roman" w:hAnsi="Times New Roman"/>
                <w:sz w:val="20"/>
                <w:szCs w:val="20"/>
                <w:color w:val="0000FF"/>
                <w:w w:val="99"/>
              </w:rPr>
              <w:t>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spacing w:after="0"/>
              <w:rPr>
                <w:sz w:val="22"/>
                <w:szCs w:val="22"/>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940" w:type="dxa"/>
            <w:vAlign w:val="bottom"/>
            <w:gridSpan w:val="2"/>
          </w:tcPr>
          <w:p>
            <w:pPr>
              <w:jc w:val="center"/>
              <w:ind w:left="668"/>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spacing w:after="0"/>
              <w:rPr>
                <w:sz w:val="22"/>
                <w:szCs w:val="22"/>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Condensed Consolidated Statements of Comprehensive Loss</w:t>
            </w:r>
          </w:p>
        </w:tc>
        <w:tc>
          <w:tcPr>
            <w:tcW w:w="940" w:type="dxa"/>
            <w:vAlign w:val="bottom"/>
            <w:gridSpan w:val="2"/>
          </w:tcPr>
          <w:p>
            <w:pPr>
              <w:jc w:val="center"/>
              <w:ind w:left="668"/>
              <w:spacing w:after="0"/>
              <w:rPr>
                <w:sz w:val="20"/>
                <w:szCs w:val="20"/>
                <w:color w:val="auto"/>
              </w:rPr>
            </w:pPr>
            <w:r>
              <w:rPr>
                <w:rFonts w:ascii="Times New Roman" w:cs="Times New Roman" w:eastAsia="Times New Roman" w:hAnsi="Times New Roman"/>
                <w:sz w:val="20"/>
                <w:szCs w:val="20"/>
                <w:color w:val="0000FF"/>
                <w:w w:val="99"/>
              </w:rPr>
              <w:t>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spacing w:after="0"/>
              <w:rPr>
                <w:sz w:val="24"/>
                <w:szCs w:val="2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Condensed Consolidated Statements of Redeemable Convertible Preferred Stock and Stockholders’ Equity (Deficit)</w:t>
            </w:r>
          </w:p>
        </w:tc>
        <w:tc>
          <w:tcPr>
            <w:tcW w:w="940" w:type="dxa"/>
            <w:vAlign w:val="bottom"/>
            <w:gridSpan w:val="2"/>
          </w:tcPr>
          <w:p>
            <w:pPr>
              <w:jc w:val="center"/>
              <w:ind w:left="668"/>
              <w:spacing w:after="0"/>
              <w:rPr>
                <w:sz w:val="20"/>
                <w:szCs w:val="20"/>
                <w:color w:val="auto"/>
              </w:rPr>
            </w:pPr>
            <w:r>
              <w:rPr>
                <w:rFonts w:ascii="Times New Roman" w:cs="Times New Roman" w:eastAsia="Times New Roman" w:hAnsi="Times New Roman"/>
                <w:sz w:val="20"/>
                <w:szCs w:val="20"/>
                <w:color w:val="0000FF"/>
                <w:w w:val="99"/>
              </w:rPr>
              <w:t>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spacing w:after="0"/>
              <w:rPr>
                <w:sz w:val="22"/>
                <w:szCs w:val="22"/>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940" w:type="dxa"/>
            <w:vAlign w:val="bottom"/>
            <w:gridSpan w:val="2"/>
          </w:tcPr>
          <w:p>
            <w:pPr>
              <w:jc w:val="center"/>
              <w:ind w:left="668"/>
              <w:spacing w:after="0"/>
              <w:rPr>
                <w:sz w:val="20"/>
                <w:szCs w:val="20"/>
                <w:color w:val="auto"/>
              </w:rPr>
            </w:pPr>
            <w:r>
              <w:rPr>
                <w:rFonts w:ascii="Times New Roman" w:cs="Times New Roman" w:eastAsia="Times New Roman" w:hAnsi="Times New Roman"/>
                <w:sz w:val="18"/>
                <w:szCs w:val="18"/>
                <w:color w:val="0000FF"/>
              </w:rPr>
              <w:t>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940" w:type="dxa"/>
            <w:vAlign w:val="bottom"/>
            <w:gridSpan w:val="2"/>
          </w:tcPr>
          <w:p>
            <w:pPr>
              <w:jc w:val="center"/>
              <w:ind w:left="668"/>
              <w:spacing w:after="0"/>
              <w:rPr>
                <w:sz w:val="20"/>
                <w:szCs w:val="20"/>
                <w:color w:val="auto"/>
              </w:rPr>
            </w:pPr>
            <w:r>
              <w:rPr>
                <w:rFonts w:ascii="Times New Roman" w:cs="Times New Roman" w:eastAsia="Times New Roman" w:hAnsi="Times New Roman"/>
                <w:sz w:val="18"/>
                <w:szCs w:val="18"/>
                <w:color w:val="0000FF"/>
              </w:rPr>
              <w:t>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940" w:type="dxa"/>
            <w:vAlign w:val="bottom"/>
            <w:gridSpan w:val="2"/>
          </w:tcPr>
          <w:p>
            <w:pPr>
              <w:jc w:val="center"/>
              <w:ind w:left="668"/>
              <w:spacing w:after="0"/>
              <w:rPr>
                <w:sz w:val="20"/>
                <w:szCs w:val="20"/>
                <w:color w:val="auto"/>
              </w:rPr>
            </w:pPr>
            <w:r>
              <w:rPr>
                <w:rFonts w:ascii="Times New Roman" w:cs="Times New Roman" w:eastAsia="Times New Roman" w:hAnsi="Times New Roman"/>
                <w:sz w:val="18"/>
                <w:szCs w:val="18"/>
                <w:color w:val="0000FF"/>
                <w:w w:val="99"/>
              </w:rPr>
              <w:t>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940" w:type="dxa"/>
            <w:vAlign w:val="bottom"/>
            <w:gridSpan w:val="2"/>
          </w:tcPr>
          <w:p>
            <w:pPr>
              <w:jc w:val="center"/>
              <w:ind w:left="668"/>
              <w:spacing w:after="0"/>
              <w:rPr>
                <w:sz w:val="20"/>
                <w:szCs w:val="20"/>
                <w:color w:val="auto"/>
              </w:rPr>
            </w:pPr>
            <w:r>
              <w:rPr>
                <w:rFonts w:ascii="Times New Roman" w:cs="Times New Roman" w:eastAsia="Times New Roman" w:hAnsi="Times New Roman"/>
                <w:sz w:val="18"/>
                <w:szCs w:val="18"/>
                <w:color w:val="0000FF"/>
                <w:w w:val="99"/>
              </w:rPr>
              <w:t>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Controls and Procedures</w:t>
            </w:r>
          </w:p>
        </w:tc>
        <w:tc>
          <w:tcPr>
            <w:tcW w:w="940" w:type="dxa"/>
            <w:vAlign w:val="bottom"/>
            <w:gridSpan w:val="2"/>
          </w:tcPr>
          <w:p>
            <w:pPr>
              <w:jc w:val="center"/>
              <w:ind w:left="668"/>
              <w:spacing w:after="0"/>
              <w:rPr>
                <w:sz w:val="20"/>
                <w:szCs w:val="20"/>
                <w:color w:val="auto"/>
              </w:rPr>
            </w:pPr>
            <w:r>
              <w:rPr>
                <w:rFonts w:ascii="Times New Roman" w:cs="Times New Roman" w:eastAsia="Times New Roman" w:hAnsi="Times New Roman"/>
                <w:sz w:val="18"/>
                <w:szCs w:val="18"/>
                <w:color w:val="0000FF"/>
                <w:w w:val="99"/>
              </w:rPr>
              <w:t>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vMerge w:val="continue"/>
          </w:tcPr>
          <w:p>
            <w:pPr>
              <w:spacing w:after="0"/>
              <w:rPr>
                <w:sz w:val="21"/>
                <w:szCs w:val="21"/>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940" w:type="dxa"/>
            <w:vAlign w:val="bottom"/>
            <w:gridSpan w:val="2"/>
          </w:tcPr>
          <w:p>
            <w:pPr>
              <w:jc w:val="center"/>
              <w:ind w:left="668"/>
              <w:spacing w:after="0"/>
              <w:rPr>
                <w:sz w:val="20"/>
                <w:szCs w:val="20"/>
                <w:color w:val="auto"/>
              </w:rPr>
            </w:pPr>
            <w:r>
              <w:rPr>
                <w:rFonts w:ascii="Times New Roman" w:cs="Times New Roman" w:eastAsia="Times New Roman" w:hAnsi="Times New Roman"/>
                <w:sz w:val="18"/>
                <w:szCs w:val="18"/>
                <w:color w:val="0000FF"/>
                <w:w w:val="99"/>
              </w:rPr>
              <w:t>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940" w:type="dxa"/>
            <w:vAlign w:val="bottom"/>
            <w:gridSpan w:val="2"/>
          </w:tcPr>
          <w:p>
            <w:pPr>
              <w:jc w:val="center"/>
              <w:ind w:left="668"/>
              <w:spacing w:after="0"/>
              <w:rPr>
                <w:sz w:val="20"/>
                <w:szCs w:val="20"/>
                <w:color w:val="auto"/>
              </w:rPr>
            </w:pPr>
            <w:r>
              <w:rPr>
                <w:rFonts w:ascii="Times New Roman" w:cs="Times New Roman" w:eastAsia="Times New Roman" w:hAnsi="Times New Roman"/>
                <w:sz w:val="18"/>
                <w:szCs w:val="18"/>
                <w:color w:val="0000FF"/>
                <w:w w:val="99"/>
              </w:rPr>
              <w:t>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Factors</w:t>
            </w:r>
          </w:p>
        </w:tc>
        <w:tc>
          <w:tcPr>
            <w:tcW w:w="940" w:type="dxa"/>
            <w:vAlign w:val="bottom"/>
            <w:gridSpan w:val="2"/>
          </w:tcPr>
          <w:p>
            <w:pPr>
              <w:jc w:val="center"/>
              <w:ind w:left="668"/>
              <w:spacing w:after="0"/>
              <w:rPr>
                <w:sz w:val="20"/>
                <w:szCs w:val="20"/>
                <w:color w:val="auto"/>
              </w:rPr>
            </w:pPr>
            <w:r>
              <w:rPr>
                <w:rFonts w:ascii="Times New Roman" w:cs="Times New Roman" w:eastAsia="Times New Roman" w:hAnsi="Times New Roman"/>
                <w:sz w:val="18"/>
                <w:szCs w:val="18"/>
                <w:color w:val="0000FF"/>
                <w:w w:val="99"/>
              </w:rPr>
              <w:t>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940" w:type="dxa"/>
            <w:vAlign w:val="bottom"/>
            <w:gridSpan w:val="2"/>
          </w:tcPr>
          <w:p>
            <w:pPr>
              <w:jc w:val="center"/>
              <w:ind w:left="668"/>
              <w:spacing w:after="0"/>
              <w:rPr>
                <w:sz w:val="20"/>
                <w:szCs w:val="20"/>
                <w:color w:val="auto"/>
              </w:rPr>
            </w:pPr>
            <w:r>
              <w:rPr>
                <w:rFonts w:ascii="Times New Roman" w:cs="Times New Roman" w:eastAsia="Times New Roman" w:hAnsi="Times New Roman"/>
                <w:sz w:val="18"/>
                <w:szCs w:val="18"/>
                <w:color w:val="0000FF"/>
                <w:w w:val="99"/>
              </w:rPr>
              <w:t>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Defaults Under Senior Securities</w:t>
            </w:r>
          </w:p>
        </w:tc>
        <w:tc>
          <w:tcPr>
            <w:tcW w:w="940" w:type="dxa"/>
            <w:vAlign w:val="bottom"/>
            <w:gridSpan w:val="2"/>
          </w:tcPr>
          <w:p>
            <w:pPr>
              <w:jc w:val="center"/>
              <w:ind w:left="668"/>
              <w:spacing w:after="0"/>
              <w:rPr>
                <w:sz w:val="20"/>
                <w:szCs w:val="20"/>
                <w:color w:val="auto"/>
              </w:rPr>
            </w:pPr>
            <w:r>
              <w:rPr>
                <w:rFonts w:ascii="Times New Roman" w:cs="Times New Roman" w:eastAsia="Times New Roman" w:hAnsi="Times New Roman"/>
                <w:sz w:val="18"/>
                <w:szCs w:val="18"/>
                <w:color w:val="0000FF"/>
                <w:w w:val="99"/>
              </w:rPr>
              <w:t>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Mine Safety Disclosures</w:t>
            </w:r>
          </w:p>
        </w:tc>
        <w:tc>
          <w:tcPr>
            <w:tcW w:w="940" w:type="dxa"/>
            <w:vAlign w:val="bottom"/>
            <w:gridSpan w:val="2"/>
          </w:tcPr>
          <w:p>
            <w:pPr>
              <w:jc w:val="center"/>
              <w:ind w:left="668"/>
              <w:spacing w:after="0"/>
              <w:rPr>
                <w:sz w:val="20"/>
                <w:szCs w:val="20"/>
                <w:color w:val="auto"/>
              </w:rPr>
            </w:pPr>
            <w:r>
              <w:rPr>
                <w:rFonts w:ascii="Times New Roman" w:cs="Times New Roman" w:eastAsia="Times New Roman" w:hAnsi="Times New Roman"/>
                <w:sz w:val="18"/>
                <w:szCs w:val="18"/>
                <w:color w:val="0000FF"/>
                <w:w w:val="99"/>
              </w:rPr>
              <w:t>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940" w:type="dxa"/>
            <w:vAlign w:val="bottom"/>
            <w:gridSpan w:val="2"/>
          </w:tcPr>
          <w:p>
            <w:pPr>
              <w:jc w:val="center"/>
              <w:ind w:left="668"/>
              <w:spacing w:after="0"/>
              <w:rPr>
                <w:sz w:val="20"/>
                <w:szCs w:val="20"/>
                <w:color w:val="auto"/>
              </w:rPr>
            </w:pPr>
            <w:r>
              <w:rPr>
                <w:rFonts w:ascii="Times New Roman" w:cs="Times New Roman" w:eastAsia="Times New Roman" w:hAnsi="Times New Roman"/>
                <w:sz w:val="18"/>
                <w:szCs w:val="18"/>
                <w:color w:val="0000FF"/>
                <w:w w:val="99"/>
              </w:rPr>
              <w:t>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Exhibits</w:t>
            </w:r>
          </w:p>
        </w:tc>
        <w:tc>
          <w:tcPr>
            <w:tcW w:w="940" w:type="dxa"/>
            <w:vAlign w:val="bottom"/>
            <w:gridSpan w:val="2"/>
          </w:tcPr>
          <w:p>
            <w:pPr>
              <w:jc w:val="center"/>
              <w:ind w:left="668"/>
              <w:spacing w:after="0"/>
              <w:rPr>
                <w:sz w:val="20"/>
                <w:szCs w:val="20"/>
                <w:color w:val="auto"/>
              </w:rPr>
            </w:pPr>
            <w:r>
              <w:rPr>
                <w:rFonts w:ascii="Times New Roman" w:cs="Times New Roman" w:eastAsia="Times New Roman" w:hAnsi="Times New Roman"/>
                <w:sz w:val="18"/>
                <w:szCs w:val="18"/>
                <w:color w:val="0000FF"/>
                <w:w w:val="99"/>
              </w:rPr>
              <w:t>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Signatures</w:t>
            </w:r>
          </w:p>
        </w:tc>
        <w:tc>
          <w:tcPr>
            <w:tcW w:w="940" w:type="dxa"/>
            <w:vAlign w:val="bottom"/>
            <w:gridSpan w:val="2"/>
          </w:tcPr>
          <w:p>
            <w:pPr>
              <w:jc w:val="center"/>
              <w:ind w:left="668"/>
              <w:spacing w:after="0"/>
              <w:rPr>
                <w:sz w:val="20"/>
                <w:szCs w:val="20"/>
                <w:color w:val="auto"/>
              </w:rPr>
            </w:pPr>
            <w:r>
              <w:rPr>
                <w:rFonts w:ascii="Times New Roman" w:cs="Times New Roman" w:eastAsia="Times New Roman" w:hAnsi="Times New Roman"/>
                <w:sz w:val="18"/>
                <w:szCs w:val="18"/>
                <w:color w:val="0000FF"/>
                <w:w w:val="99"/>
              </w:rPr>
              <w:t>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233045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765" w:right="4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those set forth in Part II, Item 1A, “Risk Factors,” if any, and other factors set forth in other parts of this Quarterly Report on Form 10-Q. Furthermore, such forward-looking statements speak only as of the date of this report. Except as required by law, we undertake no obligation to update any forward-looking statements to reflect events or circumstances after the date of such statements. These forward-looking statements include, but are not limited to, statements concerning the following:</w:t>
      </w:r>
    </w:p>
    <w:p>
      <w:pPr>
        <w:spacing w:after="0" w:line="22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cost of revenue, operating expenses, gross margin, adjusted EBITDA and other operating results;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initiatives and priorities, including the timing, focus and cadence of our marketing, innovation, and distribution and costovation strategies;</w:t>
      </w:r>
    </w:p>
    <w:p>
      <w:pPr>
        <w:ind w:left="660" w:right="340" w:hanging="328"/>
        <w:spacing w:after="0" w:line="24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offset commodity prices, labor costs, input cost and transportation cost inflation with price increases, productivity or investing in digital capabilities;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strategy to deliver sustained long-term growth;</w:t>
      </w:r>
    </w:p>
    <w:p>
      <w:pPr>
        <w:ind w:left="660" w:right="620" w:hanging="328"/>
        <w:spacing w:after="0" w:line="24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COVID-19 or other public health crises or macroeconomic factors on our business and the global economy, including shifting consumer demand between our Digital and Retail channels and the impact from supply chain disruptions;</w:t>
      </w:r>
    </w:p>
    <w:p>
      <w:pPr>
        <w:spacing w:after="0" w:line="1"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economic conditions, including a recession and inflationary pressures and their impact on consumer spending and our profit margin;</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revenue growth through our omnichannel strategy and ability to capture growth in whitespace opportunities in the Retail channel;</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marketing efforts, and our ability to grow brand awareness and maintain, protect and enhance our brand;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household penetration and increase market share in our core product categories;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innovation and digital capabilities to fuel growth;</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shift towards clean and natural products and the whitespace opportunity it provides for further market penetration and category growth in the clean and natural segments;</w:t>
      </w:r>
    </w:p>
    <w:p>
      <w:pPr>
        <w:ind w:left="660" w:right="2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to address the reduction in demand of certain products in our Household and Wellness product category and the related impact on our business;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consumers and successfully retain existing consumers, including their level of spend with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with retail and digital partners;</w:t>
      </w:r>
    </w:p>
    <w:p>
      <w:pPr>
        <w:spacing w:after="0" w:line="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retain new distribution partners;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bring new products to market and to identify and successfully launch new category adjacencies;</w:t>
      </w:r>
    </w:p>
    <w:p>
      <w:pPr>
        <w:spacing w:after="0" w:line="1" w:lineRule="exact"/>
        <w:rPr>
          <w:rFonts w:ascii="Arial" w:cs="Arial" w:eastAsia="Arial" w:hAnsi="Arial"/>
          <w:sz w:val="22"/>
          <w:szCs w:val="22"/>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growth rates, and challenges in our business and in the markets in which we operate;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consumer demand and the timing and amount of orders from key customers;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our profitability;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practices, commitments and performance related to environmental, social and governance matters;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inventory and maintain sufficient inventory to satisfy customer demands and meet revenue targets;</w:t>
      </w:r>
    </w:p>
    <w:p>
      <w:pPr>
        <w:spacing w:after="0" w:line="7" w:lineRule="exact"/>
        <w:rPr>
          <w:rFonts w:ascii="Times New Roman" w:cs="Times New Roman" w:eastAsia="Times New Roman" w:hAnsi="Times New Roman"/>
          <w:sz w:val="18"/>
          <w:szCs w:val="18"/>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liquidate excess inventory related to drops in consumer demand for our products, product discontinuations or product restages;</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gauge consumer trends and changing consumer preferences;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and any costs associated therewith;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enter new markets and expand internationally;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complete acquisitions that complement and expand our reach and platform;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and our relationships with, our suppliers, manufacturers, distributors and retailers;</w:t>
      </w:r>
    </w:p>
    <w:p>
      <w:pPr>
        <w:spacing w:after="0" w:line="27" w:lineRule="exact"/>
        <w:rPr>
          <w:rFonts w:ascii="Times New Roman" w:cs="Times New Roman" w:eastAsia="Times New Roman" w:hAnsi="Times New Roman"/>
          <w:sz w:val="18"/>
          <w:szCs w:val="18"/>
          <w:color w:val="auto"/>
        </w:rPr>
      </w:pPr>
    </w:p>
    <w:p>
      <w:pPr>
        <w:ind w:left="328" w:hanging="328"/>
        <w:spacing w:after="0" w:line="23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and manufacturers to comply with safety, environmental or other laws or regulations;</w:t>
      </w:r>
    </w:p>
    <w:p>
      <w:pPr>
        <w:jc w:val="both"/>
        <w:ind w:left="328" w:hanging="328"/>
        <w:spacing w:after="0" w:line="239"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or remain in compliance with laws and regulations that currently apply or become applicable to our business in the United States, such as the U.S. Food and Drug Administration governmental regulation and state regulation, and in other jurisdictions where we elect to do business;</w:t>
      </w: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 of legal or administrative proceedings; 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32"/>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78740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8"/>
          </w:cols>
          <w:pgMar w:left="652" w:top="769" w:right="5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540" w:type="dxa"/>
            <w:vAlign w:val="bottom"/>
            <w:gridSpan w:val="2"/>
          </w:tcPr>
          <w:p>
            <w:pPr>
              <w:jc w:val="center"/>
              <w:ind w:left="361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7040" w:type="dxa"/>
            <w:vAlign w:val="bottom"/>
          </w:tcPr>
          <w:p>
            <w:pPr>
              <w:jc w:val="center"/>
              <w:ind w:left="4130"/>
              <w:spacing w:after="0"/>
              <w:rPr>
                <w:sz w:val="20"/>
                <w:szCs w:val="20"/>
                <w:color w:val="auto"/>
              </w:rPr>
            </w:pPr>
            <w:r>
              <w:rPr>
                <w:rFonts w:ascii="Times New Roman" w:cs="Times New Roman" w:eastAsia="Times New Roman" w:hAnsi="Times New Roman"/>
                <w:sz w:val="18"/>
                <w:szCs w:val="18"/>
                <w:b w:val="1"/>
                <w:bCs w:val="1"/>
                <w:color w:val="auto"/>
                <w:w w:val="99"/>
              </w:rPr>
              <w:t>The Honest Company, Inc.</w:t>
            </w: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540" w:type="dxa"/>
            <w:vAlign w:val="bottom"/>
            <w:gridSpan w:val="2"/>
          </w:tcPr>
          <w:p>
            <w:pPr>
              <w:jc w:val="center"/>
              <w:ind w:left="363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550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540" w:type="dxa"/>
            <w:vAlign w:val="bottom"/>
            <w:gridSpan w:val="2"/>
          </w:tcPr>
          <w:p>
            <w:pPr>
              <w:jc w:val="center"/>
              <w:ind w:left="361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 share amounts)</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3"/>
                <w:szCs w:val="23"/>
                <w:color w:val="auto"/>
              </w:rPr>
            </w:pP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7"/>
        </w:trPr>
        <w:tc>
          <w:tcPr>
            <w:tcW w:w="7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70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5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40,348</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50,791</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5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42,388</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5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31,784</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5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75,668</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13,165</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5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205,858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213,796</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5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52,952</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5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5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259,575</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272,597</w:t>
            </w:r>
          </w:p>
        </w:tc>
        <w:tc>
          <w:tcPr>
            <w:tcW w:w="0" w:type="dxa"/>
            <w:vAlign w:val="bottom"/>
          </w:tcPr>
          <w:p>
            <w:pPr>
              <w:spacing w:after="0"/>
              <w:rPr>
                <w:sz w:val="1"/>
                <w:szCs w:val="1"/>
                <w:color w:val="auto"/>
              </w:rPr>
            </w:pPr>
          </w:p>
        </w:tc>
      </w:tr>
      <w:tr>
        <w:trPr>
          <w:trHeight w:val="21"/>
        </w:trPr>
        <w:tc>
          <w:tcPr>
            <w:tcW w:w="7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0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5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36,241</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28,743</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5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19,003</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5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48,477</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 term liabilities</w:t>
            </w:r>
          </w:p>
        </w:tc>
        <w:tc>
          <w:tcPr>
            <w:tcW w:w="5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financing obligation, net of current portion</w:t>
            </w:r>
          </w:p>
        </w:tc>
        <w:tc>
          <w:tcPr>
            <w:tcW w:w="500" w:type="dxa"/>
            <w:vAlign w:val="bottom"/>
          </w:tcPr>
          <w:p>
            <w:pPr>
              <w:spacing w:after="0"/>
              <w:rPr>
                <w:sz w:val="23"/>
                <w:szCs w:val="23"/>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37,527</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5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93,491</w:t>
            </w:r>
          </w:p>
        </w:tc>
        <w:tc>
          <w:tcPr>
            <w:tcW w:w="0" w:type="dxa"/>
            <w:vAlign w:val="bottom"/>
          </w:tcPr>
          <w:p>
            <w:pPr>
              <w:spacing w:after="0"/>
              <w:rPr>
                <w:sz w:val="1"/>
                <w:szCs w:val="1"/>
                <w:color w:val="auto"/>
              </w:rPr>
            </w:pPr>
          </w:p>
        </w:tc>
      </w:tr>
      <w:tr>
        <w:trPr>
          <w:trHeight w:val="27"/>
        </w:trPr>
        <w:tc>
          <w:tcPr>
            <w:tcW w:w="7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4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5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$0.0001 par value, 20,000,000 shares authorized at June 30, 2022 and</w:t>
            </w:r>
          </w:p>
        </w:tc>
        <w:tc>
          <w:tcPr>
            <w:tcW w:w="5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2021, none issued or outstanding as of June 30, 2022 and December 31, 2021</w:t>
            </w:r>
          </w:p>
        </w:tc>
        <w:tc>
          <w:tcPr>
            <w:tcW w:w="500" w:type="dxa"/>
            <w:vAlign w:val="bottom"/>
          </w:tcPr>
          <w:p>
            <w:pPr>
              <w:spacing w:after="0"/>
              <w:rPr>
                <w:sz w:val="20"/>
                <w:szCs w:val="20"/>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$0.0001 par value, 1,000,000,000 and 150,000,000 shares authorized at</w:t>
            </w:r>
          </w:p>
        </w:tc>
        <w:tc>
          <w:tcPr>
            <w:tcW w:w="5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June 30, 2022 and December 31, 2021, respectively; 92,409,276 and 91,512,140 shares issued</w:t>
            </w: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outstanding as of June 30, 2022 and December 31, 2021, respectively</w:t>
            </w:r>
          </w:p>
        </w:tc>
        <w:tc>
          <w:tcPr>
            <w:tcW w:w="5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578,496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570,794</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5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(415,449)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(391,656)</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162,936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179,106</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259,575</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272,597</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765" w:right="339" w:bottom="10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09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30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120" w:type="dxa"/>
            <w:vAlign w:val="bottom"/>
          </w:tcPr>
          <w:p>
            <w:pPr>
              <w:spacing w:after="0"/>
              <w:rPr>
                <w:sz w:val="20"/>
                <w:szCs w:val="20"/>
                <w:color w:val="auto"/>
              </w:rPr>
            </w:pPr>
          </w:p>
        </w:tc>
        <w:tc>
          <w:tcPr>
            <w:tcW w:w="28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78,493</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147,212</w:t>
            </w:r>
          </w:p>
        </w:tc>
        <w:tc>
          <w:tcPr>
            <w:tcW w:w="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155,607</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55,323</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39,576</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46,788</w:t>
            </w: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28,182</w:t>
            </w: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(23,638)</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(24,474)</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(20,034)</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(24,639)</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2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92,052,347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68,079,387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91,796,489</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51,184,615</w:t>
            </w:r>
          </w:p>
        </w:tc>
        <w:tc>
          <w:tcPr>
            <w:tcW w:w="0" w:type="dxa"/>
            <w:vAlign w:val="bottom"/>
          </w:tcPr>
          <w:p>
            <w:pPr>
              <w:spacing w:after="0"/>
              <w:rPr>
                <w:sz w:val="1"/>
                <w:szCs w:val="1"/>
                <w:color w:val="auto"/>
              </w:rPr>
            </w:pPr>
          </w:p>
        </w:tc>
      </w:tr>
      <w:tr>
        <w:trPr>
          <w:trHeight w:val="54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loss on short-term investments, net of taxes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(24,718)</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bookmarkStart w:id="7" w:name="page8"/>
    <w:bookmarkEnd w:id="7"/>
    <w:p>
      <w:pPr>
        <w:ind w:left="4560"/>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 Equity (Deficit)</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p>
        </w:tc>
        <w:tc>
          <w:tcPr>
            <w:tcW w:w="2660" w:type="dxa"/>
            <w:vAlign w:val="bottom"/>
            <w:tcBorders>
              <w:right w:val="single" w:sz="8" w:color="auto"/>
            </w:tcBorders>
            <w:gridSpan w:val="5"/>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Redeemable Convertible</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2660" w:type="dxa"/>
            <w:vAlign w:val="bottom"/>
            <w:tcBorders>
              <w:right w:val="single" w:sz="8" w:color="auto"/>
            </w:tcBorders>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2560" w:type="dxa"/>
            <w:vAlign w:val="bottom"/>
            <w:gridSpan w:val="4"/>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00" w:type="dxa"/>
            <w:vAlign w:val="bottom"/>
            <w:tcBorders>
              <w:right w:val="single" w:sz="8" w:color="auto"/>
            </w:tcBorders>
            <w:vMerge w:val="restart"/>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gridSpan w:val="4"/>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2560" w:type="dxa"/>
            <w:vAlign w:val="bottom"/>
            <w:tcBorders>
              <w:bottom w:val="single" w:sz="8" w:color="auto"/>
            </w:tcBorders>
            <w:gridSpan w:val="4"/>
            <w:vMerge w:val="continue"/>
          </w:tcPr>
          <w:p>
            <w:pPr>
              <w:spacing w:after="0"/>
              <w:rPr>
                <w:sz w:val="17"/>
                <w:szCs w:val="17"/>
                <w:color w:val="auto"/>
              </w:rPr>
            </w:pPr>
          </w:p>
        </w:tc>
        <w:tc>
          <w:tcPr>
            <w:tcW w:w="100" w:type="dxa"/>
            <w:vAlign w:val="bottom"/>
            <w:tcBorders>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2040" w:type="dxa"/>
            <w:vAlign w:val="bottom"/>
            <w:tcBorders>
              <w:bottom w:val="single" w:sz="8" w:color="auto"/>
            </w:tcBorders>
            <w:gridSpan w:val="4"/>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14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32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60" w:type="dxa"/>
            <w:vAlign w:val="bottom"/>
          </w:tcPr>
          <w:p>
            <w:pPr>
              <w:spacing w:after="0"/>
              <w:rPr>
                <w:sz w:val="17"/>
                <w:szCs w:val="17"/>
                <w:color w:val="auto"/>
              </w:rPr>
            </w:pPr>
          </w:p>
        </w:tc>
        <w:tc>
          <w:tcPr>
            <w:tcW w:w="94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7"/>
        </w:trPr>
        <w:tc>
          <w:tcPr>
            <w:tcW w:w="1780" w:type="dxa"/>
            <w:vAlign w:val="bottom"/>
          </w:tcPr>
          <w:p>
            <w:pPr>
              <w:spacing w:after="0"/>
              <w:rPr>
                <w:sz w:val="20"/>
                <w:szCs w:val="20"/>
                <w:color w:val="auto"/>
              </w:rPr>
            </w:pP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1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6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7"/>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Balances at December</w:t>
            </w: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80" w:type="dxa"/>
            <w:vAlign w:val="bottom"/>
            <w:vMerge w:val="continue"/>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78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31, 2020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49,100,928</w:t>
            </w:r>
          </w:p>
        </w:tc>
        <w:tc>
          <w:tcPr>
            <w:tcW w:w="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376,404</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34,089,186</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116,055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(352,977)</w:t>
            </w:r>
          </w:p>
        </w:tc>
        <w:tc>
          <w:tcPr>
            <w:tcW w:w="8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94</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(236,825)</w:t>
            </w:r>
          </w:p>
        </w:tc>
        <w:tc>
          <w:tcPr>
            <w:tcW w:w="0" w:type="dxa"/>
            <w:vAlign w:val="bottom"/>
          </w:tcPr>
          <w:p>
            <w:pPr>
              <w:spacing w:after="0"/>
              <w:rPr>
                <w:sz w:val="1"/>
                <w:szCs w:val="1"/>
                <w:color w:val="auto"/>
              </w:rPr>
            </w:pPr>
          </w:p>
        </w:tc>
      </w:tr>
      <w:tr>
        <w:trPr>
          <w:trHeight w:val="270"/>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0" w:type="dxa"/>
            <w:vAlign w:val="bottom"/>
          </w:tcPr>
          <w:p>
            <w:pPr>
              <w:spacing w:after="0"/>
              <w:rPr>
                <w:sz w:val="1"/>
                <w:szCs w:val="1"/>
                <w:color w:val="auto"/>
              </w:rPr>
            </w:pPr>
          </w:p>
        </w:tc>
      </w:tr>
      <w:tr>
        <w:trPr>
          <w:trHeight w:val="252"/>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(82)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52"/>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2"/>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27"/>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Balances at March 31,</w:t>
            </w: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78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49,100,928</w:t>
            </w:r>
          </w:p>
        </w:tc>
        <w:tc>
          <w:tcPr>
            <w:tcW w:w="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376,404</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34,127,374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(357,461)</w:t>
            </w:r>
          </w:p>
        </w:tc>
        <w:tc>
          <w:tcPr>
            <w:tcW w:w="8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(239,520)</w:t>
            </w:r>
          </w:p>
        </w:tc>
        <w:tc>
          <w:tcPr>
            <w:tcW w:w="0" w:type="dxa"/>
            <w:vAlign w:val="bottom"/>
          </w:tcPr>
          <w:p>
            <w:pPr>
              <w:spacing w:after="0"/>
              <w:rPr>
                <w:sz w:val="1"/>
                <w:szCs w:val="1"/>
                <w:color w:val="auto"/>
              </w:rPr>
            </w:pPr>
          </w:p>
        </w:tc>
      </w:tr>
      <w:tr>
        <w:trPr>
          <w:trHeight w:val="270"/>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(20,034)</w:t>
            </w:r>
          </w:p>
        </w:tc>
        <w:tc>
          <w:tcPr>
            <w:tcW w:w="0" w:type="dxa"/>
            <w:vAlign w:val="bottom"/>
          </w:tcPr>
          <w:p>
            <w:pPr>
              <w:spacing w:after="0"/>
              <w:rPr>
                <w:sz w:val="1"/>
                <w:szCs w:val="1"/>
                <w:color w:val="auto"/>
              </w:rPr>
            </w:pPr>
          </w:p>
        </w:tc>
      </w:tr>
      <w:tr>
        <w:trPr>
          <w:trHeight w:val="252"/>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2"/>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52"/>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Dividends paid ($0.42</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52"/>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pursuant to</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initial public offering,</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of underwriting</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commissions and</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discounts and offering</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costs of $12.2 million</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6,451,613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91,039</w:t>
            </w:r>
          </w:p>
        </w:tc>
        <w:tc>
          <w:tcPr>
            <w:tcW w:w="0" w:type="dxa"/>
            <w:vAlign w:val="bottom"/>
          </w:tcPr>
          <w:p>
            <w:pPr>
              <w:spacing w:after="0"/>
              <w:rPr>
                <w:sz w:val="1"/>
                <w:szCs w:val="1"/>
                <w:color w:val="auto"/>
              </w:rPr>
            </w:pPr>
          </w:p>
        </w:tc>
      </w:tr>
      <w:tr>
        <w:trPr>
          <w:trHeight w:val="252"/>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of</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redeemable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convertible preferred</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to common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upon initial</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public offering</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(49,100,928)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(376,404)</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49,649,023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376,405</w:t>
            </w:r>
          </w:p>
        </w:tc>
        <w:tc>
          <w:tcPr>
            <w:tcW w:w="0" w:type="dxa"/>
            <w:vAlign w:val="bottom"/>
          </w:tcPr>
          <w:p>
            <w:pPr>
              <w:spacing w:after="0"/>
              <w:rPr>
                <w:sz w:val="1"/>
                <w:szCs w:val="1"/>
                <w:color w:val="auto"/>
              </w:rPr>
            </w:pPr>
          </w:p>
        </w:tc>
      </w:tr>
      <w:tr>
        <w:trPr>
          <w:trHeight w:val="252"/>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 restricted stock</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0" w:type="dxa"/>
            <w:vAlign w:val="bottom"/>
          </w:tcPr>
          <w:p>
            <w:pPr>
              <w:spacing w:after="0"/>
              <w:rPr>
                <w:sz w:val="1"/>
                <w:szCs w:val="1"/>
                <w:color w:val="auto"/>
              </w:rPr>
            </w:pPr>
          </w:p>
        </w:tc>
      </w:tr>
      <w:tr>
        <w:trPr>
          <w:trHeight w:val="27"/>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Balances at June 30,</w:t>
            </w: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780" w:type="dxa"/>
            <w:vAlign w:val="bottom"/>
            <w:vMerge w:val="continue"/>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7"/>
                <w:szCs w:val="17"/>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vMerge w:val="restart"/>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90,288,407</w:t>
            </w:r>
          </w:p>
        </w:tc>
        <w:tc>
          <w:tcPr>
            <w:tcW w:w="8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557,285</w:t>
            </w:r>
          </w:p>
        </w:tc>
        <w:tc>
          <w:tcPr>
            <w:tcW w:w="80" w:type="dxa"/>
            <w:vAlign w:val="bottom"/>
          </w:tcPr>
          <w:p>
            <w:pPr>
              <w:spacing w:after="0"/>
              <w:rPr>
                <w:sz w:val="17"/>
                <w:szCs w:val="17"/>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(377,495)</w:t>
            </w:r>
          </w:p>
        </w:tc>
        <w:tc>
          <w:tcPr>
            <w:tcW w:w="80" w:type="dxa"/>
            <w:vAlign w:val="bottom"/>
          </w:tcPr>
          <w:p>
            <w:pPr>
              <w:spacing w:after="0"/>
              <w:rPr>
                <w:sz w:val="17"/>
                <w:szCs w:val="17"/>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vMerge w:val="restart"/>
          </w:tcPr>
          <w:p>
            <w:pPr>
              <w:jc w:val="center"/>
              <w:ind w:left="710"/>
              <w:spacing w:after="0"/>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tcPr>
          <w:p>
            <w:pPr>
              <w:spacing w:after="0"/>
              <w:rPr>
                <w:sz w:val="17"/>
                <w:szCs w:val="17"/>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179,787</w:t>
            </w: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80" w:type="dxa"/>
            <w:vAlign w:val="bottom"/>
            <w:tcBorders>
              <w:bottom w:val="single" w:sz="8" w:color="auto"/>
            </w:tcBorders>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right w:val="single" w:sz="8" w:color="auto"/>
            </w:tcBorders>
            <w:vMerge w:val="continue"/>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6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78740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type w:val="continuous"/>
        </w:sectPr>
      </w:pPr>
    </w:p>
    <w:bookmarkStart w:id="8" w:name="page9"/>
    <w:bookmarkEnd w:id="8"/>
    <w:p>
      <w:pPr>
        <w:ind w:left="4560"/>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 Equity (Deficit)</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2500" w:type="dxa"/>
            <w:vAlign w:val="bottom"/>
            <w:tcBorders>
              <w:right w:val="single" w:sz="8" w:color="auto"/>
            </w:tcBorders>
            <w:gridSpan w:val="6"/>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Redeemable Convertible</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2500" w:type="dxa"/>
            <w:vAlign w:val="bottom"/>
            <w:tcBorders>
              <w:right w:val="single" w:sz="8" w:color="auto"/>
            </w:tcBorders>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68"/>
        </w:trPr>
        <w:tc>
          <w:tcPr>
            <w:tcW w:w="1920" w:type="dxa"/>
            <w:vAlign w:val="bottom"/>
          </w:tcPr>
          <w:p>
            <w:pPr>
              <w:spacing w:after="0"/>
              <w:rPr>
                <w:sz w:val="5"/>
                <w:szCs w:val="5"/>
                <w:color w:val="auto"/>
              </w:rPr>
            </w:pPr>
          </w:p>
        </w:tc>
        <w:tc>
          <w:tcPr>
            <w:tcW w:w="2400" w:type="dxa"/>
            <w:vAlign w:val="bottom"/>
            <w:gridSpan w:val="5"/>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00" w:type="dxa"/>
            <w:vAlign w:val="bottom"/>
            <w:tcBorders>
              <w:right w:val="single" w:sz="8" w:color="auto"/>
            </w:tcBorders>
            <w:vMerge w:val="restart"/>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gridSpan w:val="4"/>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tcBorders>
              <w:bottom w:val="single" w:sz="8" w:color="auto"/>
            </w:tcBorders>
            <w:gridSpan w:val="5"/>
            <w:vMerge w:val="continue"/>
          </w:tcPr>
          <w:p>
            <w:pPr>
              <w:spacing w:after="0"/>
              <w:rPr>
                <w:sz w:val="17"/>
                <w:szCs w:val="17"/>
                <w:color w:val="auto"/>
              </w:rPr>
            </w:pPr>
          </w:p>
        </w:tc>
        <w:tc>
          <w:tcPr>
            <w:tcW w:w="10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tcBorders>
              <w:bottom w:val="single" w:sz="8" w:color="auto"/>
            </w:tcBorders>
            <w:gridSpan w:val="4"/>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14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32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60" w:type="dxa"/>
            <w:vAlign w:val="bottom"/>
          </w:tcPr>
          <w:p>
            <w:pPr>
              <w:spacing w:after="0"/>
              <w:rPr>
                <w:sz w:val="17"/>
                <w:szCs w:val="17"/>
                <w:color w:val="auto"/>
              </w:rPr>
            </w:pPr>
          </w:p>
        </w:tc>
        <w:tc>
          <w:tcPr>
            <w:tcW w:w="94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7"/>
        </w:trPr>
        <w:tc>
          <w:tcPr>
            <w:tcW w:w="1920" w:type="dxa"/>
            <w:vAlign w:val="bottom"/>
          </w:tcPr>
          <w:p>
            <w:pPr>
              <w:spacing w:after="0"/>
              <w:rPr>
                <w:sz w:val="20"/>
                <w:szCs w:val="20"/>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6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7"/>
        </w:trPr>
        <w:tc>
          <w:tcPr>
            <w:tcW w:w="27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9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Balances at</w:t>
            </w:r>
          </w:p>
        </w:tc>
        <w:tc>
          <w:tcPr>
            <w:tcW w:w="8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91,512,140</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570,794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(391,656)</w:t>
            </w:r>
          </w:p>
        </w:tc>
        <w:tc>
          <w:tcPr>
            <w:tcW w:w="8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179,106</w:t>
            </w:r>
          </w:p>
        </w:tc>
        <w:tc>
          <w:tcPr>
            <w:tcW w:w="0" w:type="dxa"/>
            <w:vAlign w:val="bottom"/>
          </w:tcPr>
          <w:p>
            <w:pPr>
              <w:spacing w:after="0"/>
              <w:rPr>
                <w:sz w:val="1"/>
                <w:szCs w:val="1"/>
                <w:color w:val="auto"/>
              </w:rPr>
            </w:pPr>
          </w:p>
        </w:tc>
      </w:tr>
      <w:tr>
        <w:trPr>
          <w:trHeight w:val="270"/>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(14,626)</w:t>
            </w:r>
          </w:p>
        </w:tc>
        <w:tc>
          <w:tcPr>
            <w:tcW w:w="0" w:type="dxa"/>
            <w:vAlign w:val="bottom"/>
          </w:tcPr>
          <w:p>
            <w:pPr>
              <w:spacing w:after="0"/>
              <w:rPr>
                <w:sz w:val="1"/>
                <w:szCs w:val="1"/>
                <w:color w:val="auto"/>
              </w:rPr>
            </w:pPr>
          </w:p>
        </w:tc>
      </w:tr>
      <w:tr>
        <w:trPr>
          <w:trHeight w:val="252"/>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comprehensive</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0"/>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 options exercised</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52"/>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Stock-based</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0" w:type="dxa"/>
            <w:vAlign w:val="bottom"/>
          </w:tcPr>
          <w:p>
            <w:pPr>
              <w:spacing w:after="0"/>
              <w:rPr>
                <w:sz w:val="1"/>
                <w:szCs w:val="1"/>
                <w:color w:val="auto"/>
              </w:rPr>
            </w:pPr>
          </w:p>
        </w:tc>
      </w:tr>
      <w:tr>
        <w:trPr>
          <w:trHeight w:val="252"/>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Vested restricted stock</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units</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Shares withheld related</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 net share settlement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 equity awards</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2"/>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ASC 842 transition</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effect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7"/>
        </w:trPr>
        <w:tc>
          <w:tcPr>
            <w:tcW w:w="27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9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Balances at March 31,</w:t>
            </w:r>
          </w:p>
        </w:tc>
        <w:tc>
          <w:tcPr>
            <w:tcW w:w="8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91,572,210</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574,435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(405,437)</w:t>
            </w:r>
          </w:p>
        </w:tc>
        <w:tc>
          <w:tcPr>
            <w:tcW w:w="8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168,889</w:t>
            </w:r>
          </w:p>
        </w:tc>
        <w:tc>
          <w:tcPr>
            <w:tcW w:w="0" w:type="dxa"/>
            <w:vAlign w:val="bottom"/>
          </w:tcPr>
          <w:p>
            <w:pPr>
              <w:spacing w:after="0"/>
              <w:rPr>
                <w:sz w:val="1"/>
                <w:szCs w:val="1"/>
                <w:color w:val="auto"/>
              </w:rPr>
            </w:pPr>
          </w:p>
        </w:tc>
      </w:tr>
      <w:tr>
        <w:trPr>
          <w:trHeight w:val="270"/>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0" w:type="dxa"/>
            <w:vAlign w:val="bottom"/>
          </w:tcPr>
          <w:p>
            <w:pPr>
              <w:spacing w:after="0"/>
              <w:rPr>
                <w:sz w:val="1"/>
                <w:szCs w:val="1"/>
                <w:color w:val="auto"/>
              </w:rPr>
            </w:pPr>
          </w:p>
        </w:tc>
      </w:tr>
      <w:tr>
        <w:trPr>
          <w:trHeight w:val="252"/>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comprehensive</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 options exercised</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2"/>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Stock-based</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0" w:type="dxa"/>
            <w:vAlign w:val="bottom"/>
          </w:tcPr>
          <w:p>
            <w:pPr>
              <w:spacing w:after="0"/>
              <w:rPr>
                <w:sz w:val="1"/>
                <w:szCs w:val="1"/>
                <w:color w:val="auto"/>
              </w:rPr>
            </w:pPr>
          </w:p>
        </w:tc>
      </w:tr>
      <w:tr>
        <w:trPr>
          <w:trHeight w:val="270"/>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Vested restricted stock</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761,394</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Shares issued under</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employee stock</w:t>
            </w: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w w:val="99"/>
              </w:rPr>
              <w:t>—</w:t>
            </w:r>
          </w:p>
        </w:tc>
        <w:tc>
          <w:tcPr>
            <w:tcW w:w="200" w:type="dxa"/>
            <w:vAlign w:val="bottom"/>
          </w:tcPr>
          <w:p>
            <w:pPr>
              <w:spacing w:after="0"/>
              <w:rPr>
                <w:sz w:val="18"/>
                <w:szCs w:val="18"/>
                <w:color w:val="auto"/>
              </w:rPr>
            </w:pPr>
          </w:p>
        </w:tc>
        <w:tc>
          <w:tcPr>
            <w:tcW w:w="108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purchase plan</w:t>
            </w:r>
          </w:p>
        </w:tc>
        <w:tc>
          <w:tcPr>
            <w:tcW w:w="3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right w:val="single" w:sz="8" w:color="auto"/>
            </w:tcBorders>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52"/>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Common stock withheld</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 tax obligation and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settlement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9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Balances at June 30,</w:t>
            </w:r>
          </w:p>
        </w:tc>
        <w:tc>
          <w:tcPr>
            <w:tcW w:w="840" w:type="dxa"/>
            <w:vAlign w:val="bottom"/>
          </w:tcPr>
          <w:p>
            <w:pPr>
              <w:spacing w:after="0"/>
              <w:rPr>
                <w:sz w:val="17"/>
                <w:szCs w:val="17"/>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vMerge w:val="restart"/>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92,409,276</w:t>
            </w:r>
          </w:p>
        </w:tc>
        <w:tc>
          <w:tcPr>
            <w:tcW w:w="8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578,496</w:t>
            </w:r>
          </w:p>
        </w:tc>
        <w:tc>
          <w:tcPr>
            <w:tcW w:w="80" w:type="dxa"/>
            <w:vAlign w:val="bottom"/>
          </w:tcPr>
          <w:p>
            <w:pPr>
              <w:spacing w:after="0"/>
              <w:rPr>
                <w:sz w:val="17"/>
                <w:szCs w:val="17"/>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(415,449)</w:t>
            </w:r>
          </w:p>
        </w:tc>
        <w:tc>
          <w:tcPr>
            <w:tcW w:w="80" w:type="dxa"/>
            <w:vAlign w:val="bottom"/>
          </w:tcPr>
          <w:p>
            <w:pPr>
              <w:spacing w:after="0"/>
              <w:rPr>
                <w:sz w:val="17"/>
                <w:szCs w:val="17"/>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7"/>
                <w:szCs w:val="17"/>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162,936</w:t>
            </w:r>
          </w:p>
        </w:tc>
        <w:tc>
          <w:tcPr>
            <w:tcW w:w="0" w:type="dxa"/>
            <w:vAlign w:val="bottom"/>
          </w:tcPr>
          <w:p>
            <w:pPr>
              <w:spacing w:after="0"/>
              <w:rPr>
                <w:sz w:val="1"/>
                <w:szCs w:val="1"/>
                <w:color w:val="auto"/>
              </w:rPr>
            </w:pPr>
          </w:p>
        </w:tc>
      </w:tr>
      <w:tr>
        <w:trPr>
          <w:trHeight w:val="278"/>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10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78740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008" w:right="339" w:bottom="1440" w:gutter="0" w:footer="0" w:header="0"/>
        </w:sectPr>
      </w:pPr>
    </w:p>
    <w:bookmarkStart w:id="9" w:name="page10"/>
    <w:bookmarkEnd w:id="9"/>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p>
        </w:tc>
        <w:tc>
          <w:tcPr>
            <w:tcW w:w="33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6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(24,639)</w:t>
            </w:r>
          </w:p>
        </w:tc>
        <w:tc>
          <w:tcPr>
            <w:tcW w:w="100" w:type="dxa"/>
            <w:vAlign w:val="bottom"/>
          </w:tcPr>
          <w:p>
            <w:pPr>
              <w:spacing w:after="0"/>
              <w:rPr>
                <w:sz w:val="23"/>
                <w:szCs w:val="23"/>
                <w:color w:val="auto"/>
              </w:rPr>
            </w:pP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(12,682)</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long-term liabilities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(25,402)</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(32,607)</w:t>
            </w:r>
          </w:p>
        </w:tc>
        <w:tc>
          <w:tcPr>
            <w:tcW w:w="0" w:type="dxa"/>
            <w:vAlign w:val="bottom"/>
          </w:tcPr>
          <w:p>
            <w:pPr>
              <w:spacing w:after="0"/>
              <w:rPr>
                <w:sz w:val="1"/>
                <w:szCs w:val="1"/>
                <w:color w:val="auto"/>
              </w:rPr>
            </w:pPr>
          </w:p>
        </w:tc>
      </w:tr>
      <w:tr>
        <w:trPr>
          <w:trHeight w:val="27"/>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6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(54,009)</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sales of short-term investments</w:t>
            </w:r>
          </w:p>
        </w:tc>
        <w:tc>
          <w:tcPr>
            <w:tcW w:w="1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25,362</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26,957</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9,207</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14,920</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(19,540)</w:t>
            </w:r>
          </w:p>
        </w:tc>
        <w:tc>
          <w:tcPr>
            <w:tcW w:w="0" w:type="dxa"/>
            <w:vAlign w:val="bottom"/>
          </w:tcPr>
          <w:p>
            <w:pPr>
              <w:spacing w:after="0"/>
              <w:rPr>
                <w:sz w:val="1"/>
                <w:szCs w:val="1"/>
                <w:color w:val="auto"/>
              </w:rPr>
            </w:pPr>
          </w:p>
        </w:tc>
      </w:tr>
      <w:tr>
        <w:trPr>
          <w:trHeight w:val="27"/>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6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initial public offering, net of underwriting commissions and discounts</w:t>
            </w:r>
          </w:p>
        </w:tc>
        <w:tc>
          <w:tcPr>
            <w:tcW w:w="1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96,517</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paid</w:t>
            </w:r>
          </w:p>
        </w:tc>
        <w:tc>
          <w:tcPr>
            <w:tcW w:w="1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initial public offering costs</w:t>
            </w:r>
          </w:p>
        </w:tc>
        <w:tc>
          <w:tcPr>
            <w:tcW w:w="1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2021 ESPP</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on finance lease liabilities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56,385</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50,791</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37,200</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End of the period</w:t>
            </w:r>
          </w:p>
        </w:tc>
        <w:tc>
          <w:tcPr>
            <w:tcW w:w="132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40,348</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41,438</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and cash equivalents to the consolidated balance sheets</w:t>
            </w: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69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2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40,348</w:t>
            </w:r>
          </w:p>
        </w:tc>
        <w:tc>
          <w:tcPr>
            <w:tcW w:w="100" w:type="dxa"/>
            <w:vAlign w:val="bottom"/>
          </w:tcPr>
          <w:p>
            <w:pPr>
              <w:spacing w:after="0"/>
              <w:rPr>
                <w:sz w:val="23"/>
                <w:szCs w:val="23"/>
                <w:color w:val="auto"/>
              </w:rPr>
            </w:pP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41,438</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activities</w:t>
            </w: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69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Equipment acquired under capital lease obligations</w:t>
            </w:r>
          </w:p>
        </w:tc>
        <w:tc>
          <w:tcPr>
            <w:tcW w:w="13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Deferred IPO costs included in accounts payable and accrued expenses</w:t>
            </w:r>
          </w:p>
        </w:tc>
        <w:tc>
          <w:tcPr>
            <w:tcW w:w="13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included in accounts payable and accrued expenses</w:t>
            </w:r>
          </w:p>
        </w:tc>
        <w:tc>
          <w:tcPr>
            <w:tcW w:w="13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3"/>
                <w:szCs w:val="23"/>
                <w:color w:val="auto"/>
              </w:rPr>
            </w:pP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000"/>
          </w:cols>
          <w:pgMar w:left="340" w:top="76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765" w:right="559" w:bottom="1440" w:gutter="0" w:footer="0" w:header="0"/>
          <w:type w:val="continuous"/>
        </w:sectPr>
      </w:pPr>
    </w:p>
    <w:bookmarkStart w:id="10" w:name="page11"/>
    <w:bookmarkEnd w:id="1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As of June 30, 2022</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 percentages and as otherwise indicated)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34"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 Honest Company, Inc. (the “Company”) was incorporated in the State of California on July 19, 2011 and on May 23, 2012 was re-incorporated in the State of Delaware under the same name. The Company is a mission-driven lifestyle brand that formulates, designs and sells clean products with a focus on sustainability and thoughtful design. The Company sells its products through digital and retail sales channels in the following product categories: Diapers and Wipes, Skin and Personal Care, and Household and Wellness.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56" w:lineRule="exact"/>
        <w:rPr>
          <w:sz w:val="20"/>
          <w:szCs w:val="20"/>
          <w:color w:val="auto"/>
        </w:rPr>
      </w:pPr>
    </w:p>
    <w:p>
      <w:pPr>
        <w:ind w:right="200" w:firstLine="648"/>
        <w:spacing w:after="0" w:line="242" w:lineRule="auto"/>
        <w:rPr>
          <w:sz w:val="20"/>
          <w:szCs w:val="20"/>
          <w:color w:val="auto"/>
        </w:rPr>
      </w:pPr>
      <w:r>
        <w:rPr>
          <w:rFonts w:ascii="Times New Roman" w:cs="Times New Roman" w:eastAsia="Times New Roman" w:hAnsi="Times New Roman"/>
          <w:sz w:val="18"/>
          <w:szCs w:val="18"/>
          <w:color w:val="auto"/>
        </w:rPr>
        <w:t>The Company’s registration statement on Form S-1 (“IPO Registration Statement”) related to its initial public offering (“IPO”) was declared effective on May 4, 2021, and the Company’s common stock began trading on the Nasdaq Global Select Market on May 5, 2021. On May 7, 2021, the Company completed its IPO of 25,807,000 shares of the Company's common stock, $0.0001 par value per share at an offering price of $16.00 per share. The Company sold 6,451,613 shares and certain existing stockholders sold an aggregate of 19,355,387 shares. The Company received aggregate net proceeds of approximately $91.0 million after deducting underwriting discounts and commissions of $6.7 million and other offering expenses of</w:t>
      </w:r>
    </w:p>
    <w:p>
      <w:pPr>
        <w:spacing w:after="0" w:line="2"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$5.5 million. The Company granted the underwriters an option for a period of 30 days to purchase up to an additional 3,871,050 shares of common stock from the selling stockholders at $16.00 per share less the underwriting discounts and commissions. In May 2021, the underwriters fully exercised the option to purchase these additional shares from the selling stockholders. The Company did not receive any proceeds from the sale of shares of its common stock by the selling stockholders.</w:t>
      </w:r>
    </w:p>
    <w:p>
      <w:pPr>
        <w:spacing w:after="0" w:line="21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Upon completion of the IPO, the Company paid $9.5 million in cash bonuses to certain employees including members of management, as well as $0.2 million in related payroll taxes and expenses. Cash bonuses of $9.1 million were recorded in sales, general and administrative expenses and</w:t>
      </w:r>
    </w:p>
    <w:p>
      <w:pPr>
        <w:ind w:right="260"/>
        <w:spacing w:after="0" w:line="260" w:lineRule="auto"/>
        <w:rPr>
          <w:sz w:val="20"/>
          <w:szCs w:val="20"/>
          <w:color w:val="auto"/>
        </w:rPr>
      </w:pPr>
      <w:r>
        <w:rPr>
          <w:rFonts w:ascii="Times New Roman" w:cs="Times New Roman" w:eastAsia="Times New Roman" w:hAnsi="Times New Roman"/>
          <w:sz w:val="18"/>
          <w:szCs w:val="18"/>
          <w:color w:val="auto"/>
        </w:rPr>
        <w:t>$0.4 million were recorded in research and development expenses in the accompanying condensed consolidated statements of comprehensive loss upon completion of the IPO.</w:t>
      </w:r>
    </w:p>
    <w:p>
      <w:pPr>
        <w:spacing w:after="0" w:line="20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 April 2021, the Company’s board of directors declared a cash dividend of $35.0 million to the holders of record of its common stock and its redeemable convertible preferred stock as of May 3, 2021, which the Company paid on June 29, 2021.</w:t>
      </w:r>
    </w:p>
    <w:p>
      <w:pPr>
        <w:spacing w:after="0" w:line="175"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Immediately prior to the completion of the IPO, the Company filed an Amended and Restated Certificate of Incorporation, which authorized a total of 1,000,000,000 shares of common stock and 20,000,000 shares of preferred stock. Upon the filing of the Amended and Restated Certificate of Incorporation, 49,100,928 shares of the Company’s redeemable convertible preferred stock then outstanding with a carrying value of $376.4 million were automatically converted into 49,649,023 shares of the Company’s common stock. Upon completion of the IPO, the Company recognized a gain on extinguishment of the redeemable convertible preferred stock for earnings per share purposes of $29.0 million from the conversion of redeemable convertible preferred stock to common stock. Following the completion of the IPO, the Company has one class of authorized and outstanding common stock.</w:t>
      </w:r>
    </w:p>
    <w:p>
      <w:pPr>
        <w:spacing w:after="0" w:line="226" w:lineRule="exact"/>
        <w:rPr>
          <w:sz w:val="20"/>
          <w:szCs w:val="20"/>
          <w:color w:val="auto"/>
        </w:rPr>
      </w:pPr>
    </w:p>
    <w:p>
      <w:pPr>
        <w:ind w:right="7480" w:firstLine="8"/>
        <w:spacing w:after="0" w:line="534" w:lineRule="auto"/>
        <w:tabs>
          <w:tab w:leader="none" w:pos="31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the audited consolidated financial statements and related notes for the year ended December 31, 2021. The condensed consolidated financial statements are unaudited. The unaudited interim condensed consolidated financial statements have been prepared on a basis consistent with that used to prepare the audited annual consolidated financial statements and include, in the opinion of management, all adjustments, consisting of normal recurring items, necessary for the fair statement of the condensed consolidated financial statements. The consolidated balance sheet as of December 31, 2021 has been derived from the audited financial statements at that date but does not include all of the disclosures required by GAAP.</w:t>
      </w:r>
    </w:p>
    <w:p>
      <w:pPr>
        <w:spacing w:after="0" w:line="175"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after elimination of intercompany transactions and balances. The Company had a change in accounting policy from those disclosed in the audited consolidated financial statements and related notes for the year ended December 31, 2021 related to the</w:t>
      </w:r>
    </w:p>
    <w:p>
      <w:pPr>
        <w:sectPr>
          <w:pgSz w:w="11900" w:h="16838" w:orient="portrait"/>
          <w:cols w:equalWidth="0" w:num="1">
            <w:col w:w="11180"/>
          </w:cols>
          <w:pgMar w:left="320" w:top="76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type w:val="continuous"/>
        </w:sectPr>
      </w:pPr>
    </w:p>
    <w:bookmarkStart w:id="11" w:name="page12"/>
    <w:bookmarkEnd w:id="11"/>
    <w:p>
      <w:pPr>
        <w:ind w:right="680"/>
        <w:spacing w:after="0" w:line="266" w:lineRule="auto"/>
        <w:rPr>
          <w:sz w:val="20"/>
          <w:szCs w:val="20"/>
          <w:color w:val="auto"/>
        </w:rPr>
      </w:pPr>
      <w:r>
        <w:rPr>
          <w:rFonts w:ascii="Times New Roman" w:cs="Times New Roman" w:eastAsia="Times New Roman" w:hAnsi="Times New Roman"/>
          <w:sz w:val="18"/>
          <w:szCs w:val="18"/>
          <w:color w:val="auto"/>
        </w:rPr>
        <w:t>adoption of ASC 842 (defined below). Refer to “Recently Adopted Accounting Pronouncements” below and Note 13 included in these condensed consolidated financial statements for more information on leases.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Split</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April 2021, the Company effected a 1-for-2 forward stock split of its common and redeemable convertible preferred stock. In connection with the forward stock split, each issued and outstanding share of common stock, automatically and without action on the part of the holders, became two shares of common stock and each issued and outstanding share of redeemable convertible preferred stock, automatically and without action on the part of the holders, became two shares of redeemable convertible preferred stock. The par value per share of common and redeemable convertible preferred stock was not adjusted. All share, per share and related information presented in the condensed consolidated financial statements and accompanying notes have been retroactively adjusted, where applicable, to reflect the impact of the stock split.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 and Geographic Information</w:t>
      </w:r>
    </w:p>
    <w:p>
      <w:pPr>
        <w:spacing w:after="0" w:line="25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as the chief operating decision maker, organizes the Company, manages resource allocations, and measures performance on the basis of one operating segment. All of the Company’s long-lived assets are located in the United States and substantially all of the Company’s revenue is from customers located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reported amounts of assets and liabilities, the disclosure of contingent assets and contingent liabilities at the date of the condensed consolidated financial statements and the reported amounts of revenues and expenses during the reporting period. Actual results could differ from those estimates. The Company’s estimates, which are subject to varying degrees of judgment, include the valuation of inventories, sales returns and allowances, allowances for doubtful accounts, valuation of short-term investments, capitalized software, useful lives associated with long-lived assets, valuation allowances with respect to deferred tax assets, accruals and contingencies, recoverability of non-cash marketing credits, recoverability of goodwill and long-lived assets, and the valuation and assumptions underlying stock-based compensation and for the periods prior to the Company’s IPO, the fair value of common stock. On an ongoing basis, the Company evaluates its estimates compared to historical experience and trends, which form the basis for making judgments about the carrying value of assets and liabilities.</w:t>
      </w:r>
    </w:p>
    <w:p>
      <w:pPr>
        <w:spacing w:after="0" w:line="18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the novel coronavirus disease (“COVID-19”) a pandemic. The full extent to which the outbreak of the COVID-19 pandemic and any COVID-19 variants will impact the Company’s business, results of operations and financial condition is still unknown and will depend on future developments, which are uncertain and cannot be predicted, including, but not limited to, the duration and spread of the outbreak of COVID-19 and its variants, their severity, the actions to contain the virus and its variants or treat their impact, and how quickly and to what extent normal economic and operating conditions can resume.</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light of the unknown ultimate duration and severity of COVID-19 and the impact of any COVID-19 variants, the Company faces a greater degree of uncertainty than normal in making certain judgments and estimates needed to apply significant accounting policies. The Company assessed certain accounting matters and estimates that generally require consideration of forecasted information in context with the information reasonably available to the Company as of June 30, 2022 and through the date these condensed consolidated financial statements were issued.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consolidated financial statements in future periods. For example, based on macro trends within our Household and Wellness product category, consumer demand for sanitizing and disinfecting products has decelerated at a more rapid than expected rate as more consumers are vaccinated and retailers continue to manage heavy inventories of sanitization and disinfecting products in stores. The Company recorded an inventory write-down of $0.2 million and $0.8 million during the three and six months ended June 30, 2022, respectively, and $5.6 million for the year ended December 31, 2021 relating to certain sanitization and disinfecting products as the amount of inventory was significantly in excess of the decreasing demand. The Company will continue to monitor and evaluate the uncertainty and volatility of these conditions, in particular, the impact on the amount and valuation of the Company’s inventory in the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5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Cash equivalents consist of short-term, highly liquid investments with stated maturities of three months or less from the date of purchase. Cash equivalents comprise amounts invested in money market funds.</w:t>
      </w:r>
    </w:p>
    <w:p>
      <w:pPr>
        <w:sectPr>
          <w:pgSz w:w="11900" w:h="16838" w:orient="portrait"/>
          <w:cols w:equalWidth="0" w:num="1">
            <w:col w:w="11200"/>
          </w:cols>
          <w:pgMar w:left="320" w:top="75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56" w:right="37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56"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Accounts receivable is presented net of allowances. The Company does not accrue interest on its trade receivables. On a periodic basis, the Company evaluates accounts receivable estimated to be uncollectible, and provides allowances as necessary for doubtful accounts. The allowance for doubtful accounts was $0.1 million and $0.2 million, respectively, as of June 30, 2022 and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IPO Costs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Deferred offering costs consisted of costs incurred in connection with the sale of the Company’s common stock in its IPO, including certain legal, accounting, and other IPO-related expenses. Immediately upon the completion of the Company's IPO, deferred offering costs of $5.5 million were reclassified into stockholders’ equity from other assets as a reduction from the proceeds of the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Company uses the following hierarchy in measuring the fair value of the Company’s assets and liabilities, focusing on the most observable inputs when available:</w:t>
      </w:r>
    </w:p>
    <w:p>
      <w:pPr>
        <w:spacing w:after="0" w:line="17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 Quoted prices in active markets for identical assets or liabilities.</w:t>
      </w:r>
    </w:p>
    <w:p>
      <w:pPr>
        <w:spacing w:after="0" w:line="27" w:lineRule="exact"/>
        <w:rPr>
          <w:sz w:val="20"/>
          <w:szCs w:val="20"/>
          <w:color w:val="auto"/>
        </w:rPr>
      </w:pPr>
    </w:p>
    <w:p>
      <w:pPr>
        <w:jc w:val="both"/>
        <w:ind w:left="740" w:hanging="728"/>
        <w:spacing w:after="0" w:line="250" w:lineRule="auto"/>
        <w:rPr>
          <w:sz w:val="20"/>
          <w:szCs w:val="20"/>
          <w:color w:val="auto"/>
        </w:rPr>
      </w:pPr>
      <w:r>
        <w:rPr>
          <w:rFonts w:ascii="Times New Roman" w:cs="Times New Roman" w:eastAsia="Times New Roman" w:hAnsi="Times New Roman"/>
          <w:sz w:val="18"/>
          <w:szCs w:val="18"/>
          <w:color w:val="auto"/>
        </w:rPr>
        <w:t>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1" w:lineRule="exact"/>
        <w:rPr>
          <w:sz w:val="20"/>
          <w:szCs w:val="20"/>
          <w:color w:val="auto"/>
        </w:rPr>
      </w:pPr>
    </w:p>
    <w:p>
      <w:pPr>
        <w:ind w:left="740" w:right="20" w:hanging="728"/>
        <w:spacing w:after="0" w:line="255" w:lineRule="auto"/>
        <w:rPr>
          <w:sz w:val="20"/>
          <w:szCs w:val="20"/>
          <w:color w:val="auto"/>
        </w:rPr>
      </w:pPr>
      <w:r>
        <w:rPr>
          <w:rFonts w:ascii="Times New Roman" w:cs="Times New Roman" w:eastAsia="Times New Roman" w:hAnsi="Times New Roman"/>
          <w:sz w:val="18"/>
          <w:szCs w:val="18"/>
          <w:color w:val="auto"/>
        </w:rPr>
        <w:t>Level 3 -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21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Fair value is based on quoted market prices, if available. If listed prices or quotes are not available, fair value is based on internally developed models that primarily use market-based or independently sourced market parameters as inputs. Cash equivalents, consisting primarily of money market funds, represent highly liquid investments with maturities of three months or less at purchase. Market prices, which are Level 1 in the fair value hierarchy, are used to determine the fair value of the money market funds. Investments in debt securities are measured using broker provided indicative prices developed using observable market data, which are considered Level 2 in the fair value hierarchy. Certain assets, including long-lived assets, goodwill and intangible assets are also subject to measurement at fair value on a non-recurring basis if they are deemed to be impaired as a result of an impairment review. The fair value is measured using Level 3 inputs in the fair value hierarchy.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an “emerging growth company,” the Jumpstart Our Business Startups Act of 2012 (“JOBS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5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(the “FASB”) issued Accounting Standards Update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842), </w:t>
      </w:r>
      <w:r>
        <w:rPr>
          <w:rFonts w:ascii="Times New Roman" w:cs="Times New Roman" w:eastAsia="Times New Roman" w:hAnsi="Times New Roman"/>
          <w:sz w:val="18"/>
          <w:szCs w:val="18"/>
          <w:color w:val="auto"/>
        </w:rPr>
        <w:t>as subsequently amended, collectively codified under Topic 842. Topic 842 requires lessees to recognize on the balance sheet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liabilities for leases with lease terms of more than twelve months. Consistent with current GAAP, the recognition, measurement, and presentation of expenses and cash flows arising from a lease by a lessee primarily will depend on its classification as a finance or operating lease. However, unlike prior guidance which requires only capital leases to be recognized on the balance sheet, the new ASU requires both types of leases to be recognized on the balance sheet. ASU 2016-02 was effective for public business entities for fiscal years beginning after December 15, 2018. In June 2020, FASB issued ASU No. 2020-05, </w:t>
      </w:r>
      <w:r>
        <w:rPr>
          <w:rFonts w:ascii="Times New Roman" w:cs="Times New Roman" w:eastAsia="Times New Roman" w:hAnsi="Times New Roman"/>
          <w:sz w:val="18"/>
          <w:szCs w:val="18"/>
          <w:i w:val="1"/>
          <w:iCs w:val="1"/>
          <w:color w:val="auto"/>
        </w:rPr>
        <w:t>Revenue from Contracts with Customers (Topic 606) and Leases (Topic 842) – Effective Dates for Certain Entities</w:t>
      </w:r>
      <w:r>
        <w:rPr>
          <w:rFonts w:ascii="Times New Roman" w:cs="Times New Roman" w:eastAsia="Times New Roman" w:hAnsi="Times New Roman"/>
          <w:sz w:val="18"/>
          <w:szCs w:val="18"/>
          <w:color w:val="auto"/>
        </w:rPr>
        <w:t>, which extended the effective date of this guidance for certain non-public entities for fiscal years beginning</w:t>
      </w:r>
    </w:p>
    <w:p>
      <w:pPr>
        <w:sectPr>
          <w:pgSz w:w="11900" w:h="16838" w:orient="portrait"/>
          <w:cols w:equalWidth="0" w:num="1">
            <w:col w:w="11220"/>
          </w:cols>
          <w:pgMar w:left="320" w:top="10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after December 15, 2021, and interim periods within fiscal years beginning after December 15, 2022, with early adoption permitted.</w:t>
      </w:r>
    </w:p>
    <w:p>
      <w:pPr>
        <w:spacing w:after="0" w:line="25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adopted this guidance on January 1, 2022 on a modified retrospective basis under ASU 2018-11. As such, prior periods were not respectively adjusted. The Company also elected the package of practical expedients to leases that commenced before the effective date whereby the Company elected to not reassess the following:</w:t>
      </w:r>
    </w:p>
    <w:p>
      <w:pPr>
        <w:spacing w:after="0" w:line="203" w:lineRule="exact"/>
        <w:rPr>
          <w:sz w:val="20"/>
          <w:szCs w:val="20"/>
          <w:color w:val="auto"/>
        </w:rPr>
      </w:pPr>
    </w:p>
    <w:p>
      <w:pPr>
        <w:ind w:left="880" w:hanging="224"/>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expired or existing contracts contain leases;</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classification for any expired or existing leases;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direct costs for any existing leases.</w:t>
      </w:r>
    </w:p>
    <w:p>
      <w:pPr>
        <w:spacing w:after="0" w:line="220" w:lineRule="exact"/>
        <w:rPr>
          <w:sz w:val="20"/>
          <w:szCs w:val="20"/>
          <w:color w:val="auto"/>
        </w:rPr>
      </w:pPr>
    </w:p>
    <w:p>
      <w:pPr>
        <w:jc w:val="both"/>
        <w:ind w:right="160" w:firstLine="648"/>
        <w:spacing w:after="0" w:line="250" w:lineRule="auto"/>
        <w:rPr>
          <w:sz w:val="20"/>
          <w:szCs w:val="20"/>
          <w:color w:val="auto"/>
        </w:rPr>
      </w:pPr>
      <w:r>
        <w:rPr>
          <w:rFonts w:ascii="Times New Roman" w:cs="Times New Roman" w:eastAsia="Times New Roman" w:hAnsi="Times New Roman"/>
          <w:sz w:val="18"/>
          <w:szCs w:val="18"/>
          <w:color w:val="auto"/>
        </w:rPr>
        <w:t>The Company made an accounting policy election to not recognize lease assets and lease liabilities for leases in all asset classes with lease terms less than twelve months. The Company recognizes lease expense for such leases generally on a straight-line basis over the lease term. The Company also elected to combine lease and non-lease components on its leases into a single lease component.</w:t>
      </w:r>
    </w:p>
    <w:p>
      <w:pPr>
        <w:spacing w:after="0" w:line="217"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Upon adoption of this guidance on January 1, 2022, the Company recognized $36.1 million in right-of-use assets (“ROU”) and corresponding lease liabilities of $37.5 million, net of the current portion of lease liability of $7.0 million, on its condensed consolidated balance sheet. In addition, the Company recognized a decrease to assets and liabilities of $37.6 million and $38.4 million, respectively, and a decrease to the beginning accumulated deficit of $0.8 million, as a result of the derecognition of its build-to-suit arrangement that was reassessed to be an operating lease under the new guidance. The adoption of this guidance did not have a material impact on the Company’s condensed consolidated statements of comprehensive loss or the condensed consolidated statements of cash flows. Refer to Note 13 included in these condensed consolidated financial statements for more information on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 Not Yet Adopted</w:t>
      </w:r>
    </w:p>
    <w:p>
      <w:pPr>
        <w:spacing w:after="0" w:line="252" w:lineRule="exact"/>
        <w:rPr>
          <w:sz w:val="20"/>
          <w:szCs w:val="20"/>
          <w:color w:val="auto"/>
        </w:rPr>
      </w:pPr>
    </w:p>
    <w:p>
      <w:pPr>
        <w:ind w:right="80" w:firstLine="648"/>
        <w:spacing w:after="0" w:line="273" w:lineRule="auto"/>
        <w:rPr>
          <w:sz w:val="20"/>
          <w:szCs w:val="20"/>
          <w:color w:val="auto"/>
        </w:rPr>
      </w:pPr>
      <w:r>
        <w:rPr>
          <w:rFonts w:ascii="Times New Roman" w:cs="Times New Roman" w:eastAsia="Times New Roman" w:hAnsi="Times New Roman"/>
          <w:sz w:val="17"/>
          <w:szCs w:val="17"/>
          <w:color w:val="auto"/>
        </w:rPr>
        <w:t xml:space="preserve">In June 2016, the FASB issued ASU No. 2016-13, </w:t>
      </w:r>
      <w:r>
        <w:rPr>
          <w:rFonts w:ascii="Times New Roman" w:cs="Times New Roman" w:eastAsia="Times New Roman" w:hAnsi="Times New Roman"/>
          <w:sz w:val="17"/>
          <w:szCs w:val="17"/>
          <w:i w:val="1"/>
          <w:iCs w:val="1"/>
          <w:color w:val="auto"/>
        </w:rPr>
        <w:t>Financial Instruments Credit Losses (Topic 326): Measurement of Credit Losses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Instruments</w:t>
      </w:r>
      <w:r>
        <w:rPr>
          <w:rFonts w:ascii="Times New Roman" w:cs="Times New Roman" w:eastAsia="Times New Roman" w:hAnsi="Times New Roman"/>
          <w:sz w:val="17"/>
          <w:szCs w:val="17"/>
          <w:color w:val="auto"/>
        </w:rPr>
        <w:t>, to amend the accounting for credit losses for certain financial instruments. This guidance replaces the incurred loss impairment methodology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a methodology that reflects expected credit losses. In November 2019, FASB issued ASU No. 2019-10 which delayed the effective dates of the guidance. This guidance is effective for public business entities that meet the definition of an SEC filer, excluding entities eligible to be smaller reporting companies (“SRC”) for fiscal years beginning after December 15, 2019 and all other entities for fiscal years beginning after December 15, 2022, including interim periods within those fiscal years. Early adoption is permitted for fiscal years beginning after December 15, 2018, including interim periods within those fiscal years. The Company is evaluating the adoption of this guidance and the potential effects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333333"/>
              </w:rPr>
              <w:t>3.</w:t>
            </w:r>
          </w:p>
        </w:tc>
        <w:tc>
          <w:tcPr>
            <w:tcW w:w="244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333333"/>
                <w:w w:val="99"/>
              </w:rPr>
              <w:t>Revenue</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040" w:type="dxa"/>
            <w:vAlign w:val="bottom"/>
            <w:gridSpan w:val="2"/>
          </w:tcPr>
          <w:p>
            <w:pPr>
              <w:jc w:val="center"/>
              <w:ind w:right="97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by sales channel:</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gridSpan w:val="7"/>
          </w:tcPr>
          <w:p>
            <w:pPr>
              <w:ind w:left="28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80" w:type="dxa"/>
            <w:vAlign w:val="bottom"/>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w:t>
            </w:r>
          </w:p>
        </w:tc>
        <w:tc>
          <w:tcPr>
            <w:tcW w:w="2440" w:type="dxa"/>
            <w:vAlign w:val="bottom"/>
          </w:tcPr>
          <w:p>
            <w:pPr>
              <w:spacing w:after="0"/>
              <w:rPr>
                <w:sz w:val="23"/>
                <w:szCs w:val="23"/>
                <w:color w:val="auto"/>
              </w:rPr>
            </w:pP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34,820</w:t>
            </w:r>
          </w:p>
        </w:tc>
        <w:tc>
          <w:tcPr>
            <w:tcW w:w="80" w:type="dxa"/>
            <w:vAlign w:val="bottom"/>
          </w:tcPr>
          <w:p>
            <w:pPr>
              <w:spacing w:after="0"/>
              <w:rPr>
                <w:sz w:val="23"/>
                <w:szCs w:val="23"/>
                <w:color w:val="auto"/>
              </w:rPr>
            </w:pPr>
          </w:p>
        </w:tc>
        <w:tc>
          <w:tcPr>
            <w:tcW w:w="4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72,132</w:t>
            </w:r>
          </w:p>
        </w:tc>
        <w:tc>
          <w:tcPr>
            <w:tcW w:w="80" w:type="dxa"/>
            <w:vAlign w:val="bottom"/>
          </w:tcPr>
          <w:p>
            <w:pPr>
              <w:spacing w:after="0"/>
              <w:rPr>
                <w:sz w:val="23"/>
                <w:szCs w:val="23"/>
                <w:color w:val="auto"/>
              </w:rPr>
            </w:pPr>
          </w:p>
        </w:tc>
        <w:tc>
          <w:tcPr>
            <w:tcW w:w="5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75,080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04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78,493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74,576</w:t>
            </w:r>
          </w:p>
        </w:tc>
        <w:tc>
          <w:tcPr>
            <w:tcW w:w="80" w:type="dxa"/>
            <w:vAlign w:val="bottom"/>
            <w:tcBorders>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147,212</w:t>
            </w:r>
          </w:p>
        </w:tc>
        <w:tc>
          <w:tcPr>
            <w:tcW w:w="80" w:type="dxa"/>
            <w:vAlign w:val="bottom"/>
            <w:tcBorders>
              <w:bottom w:val="single" w:sz="8" w:color="auto"/>
            </w:tcBorders>
          </w:tcPr>
          <w:p>
            <w:pPr>
              <w:spacing w:after="0"/>
              <w:rPr>
                <w:sz w:val="22"/>
                <w:szCs w:val="22"/>
                <w:color w:val="auto"/>
              </w:rPr>
            </w:pPr>
          </w:p>
        </w:tc>
        <w:tc>
          <w:tcPr>
            <w:tcW w:w="80" w:type="dxa"/>
            <w:vAlign w:val="bottom"/>
            <w:gridSpan w:val="2"/>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155,607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0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3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 by product category:</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8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Diapers and Wipes</w:t>
            </w: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47,831</w:t>
            </w:r>
          </w:p>
        </w:tc>
        <w:tc>
          <w:tcPr>
            <w:tcW w:w="80" w:type="dxa"/>
            <w:vAlign w:val="bottom"/>
          </w:tcPr>
          <w:p>
            <w:pPr>
              <w:spacing w:after="0"/>
              <w:rPr>
                <w:sz w:val="23"/>
                <w:szCs w:val="23"/>
                <w:color w:val="auto"/>
              </w:rPr>
            </w:pPr>
          </w:p>
        </w:tc>
        <w:tc>
          <w:tcPr>
            <w:tcW w:w="4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95,190</w:t>
            </w:r>
          </w:p>
        </w:tc>
        <w:tc>
          <w:tcPr>
            <w:tcW w:w="80" w:type="dxa"/>
            <w:vAlign w:val="bottom"/>
          </w:tcPr>
          <w:p>
            <w:pPr>
              <w:spacing w:after="0"/>
              <w:rPr>
                <w:sz w:val="23"/>
                <w:szCs w:val="23"/>
                <w:color w:val="auto"/>
              </w:rPr>
            </w:pPr>
          </w:p>
        </w:tc>
        <w:tc>
          <w:tcPr>
            <w:tcW w:w="50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97,404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Skin and Personal Care</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23,275</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Household and Wellness</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0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74,576</w:t>
            </w:r>
          </w:p>
        </w:tc>
        <w:tc>
          <w:tcPr>
            <w:tcW w:w="80" w:type="dxa"/>
            <w:vAlign w:val="bottom"/>
          </w:tcPr>
          <w:p>
            <w:pPr>
              <w:spacing w:after="0"/>
              <w:rPr>
                <w:sz w:val="22"/>
                <w:szCs w:val="22"/>
                <w:color w:val="auto"/>
              </w:rPr>
            </w:pPr>
          </w:p>
        </w:tc>
        <w:tc>
          <w:tcPr>
            <w:tcW w:w="4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147,212</w:t>
            </w:r>
          </w:p>
        </w:tc>
        <w:tc>
          <w:tcPr>
            <w:tcW w:w="80" w:type="dxa"/>
            <w:vAlign w:val="bottom"/>
          </w:tcPr>
          <w:p>
            <w:pPr>
              <w:spacing w:after="0"/>
              <w:rPr>
                <w:sz w:val="22"/>
                <w:szCs w:val="22"/>
                <w:color w:val="auto"/>
              </w:rPr>
            </w:pPr>
          </w:p>
        </w:tc>
        <w:tc>
          <w:tcPr>
            <w:tcW w:w="50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Non-Monetary Transactions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and six months ended June 30, 2022, the Company entered into trade agreements with a vendor to exchange excess inventory for</w:t>
      </w:r>
    </w:p>
    <w:p>
      <w:pPr>
        <w:spacing w:after="0" w:line="36"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future marketing and transportation credits. The Company recognized revenue reflecting the fair value of the marketing and transportation credits, with the corresponding asset included in prepaid expenses and other current assets and other assets, respectively, in the accompanying condensed consolidated balance sheets. The Company may use the marketing and transportation credits over four years from the date of the respective agreement, with an option to extend for another two years if agreed upon by both parties. For the three and six months ended June 30, 2022, the Company recognized $0.5 million and $1.3 million, respectively, of revenue and $0.3 million and $0.8 million, respectively, of associated cost of revenue based on the timing of delivery of goods. For the three and six months ended June 30, 2021, the Company recognized $0.5 million and $3.9 million, respectively, of revenue and $0.3 million and $2.2 million, respectively, of associated cost of revenue based on the timing of delivery of goods. The Company assesses the recoverability of the marketing and transportation credits periodically. Factors considered in evaluating the recoverability include management’s history of credit usage and future plans with respect to advertising, freight and other services for which these credits can be used. Any impairment losses are charged to operations as they become determinable. During the six months ended June 30, 2022, the Company recorded no impairment losses related to these credits and used 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of $0.5 million of credits.</w:t>
      </w:r>
    </w:p>
    <w:p>
      <w:pPr>
        <w:spacing w:after="0" w:line="243"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2022 and December 31, 2021, all investments in debt securities are classified as available-for-sale investments. All investments 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within current assets because the securities represent investments of cash available for current operations. As of June 30, 2022 and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the Company held $26.5 million and $36.4 million, respectively, of investments with contractual maturities of less than one year. As of June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the Company did not have any investments with contractual maturities between one and two years. As of December 31, 2021, the Company 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$6.0 million of investments with contractual maturities between one and two years. Available-for-sale investments are recorded at fair value, and unrealized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holding gains and losses are recorded as a component of other comprehensive income (loss).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available-for-sale investments:</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460" w:type="dxa"/>
            <w:vAlign w:val="bottom"/>
          </w:tcPr>
          <w:p>
            <w:pPr>
              <w:spacing w:after="0"/>
              <w:rPr>
                <w:sz w:val="18"/>
                <w:szCs w:val="18"/>
                <w:color w:val="auto"/>
              </w:rPr>
            </w:pP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Cost or Amortized</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60" w:type="dxa"/>
            <w:vAlign w:val="bottom"/>
          </w:tcPr>
          <w:p>
            <w:pPr>
              <w:spacing w:after="0"/>
              <w:rPr>
                <w:sz w:val="18"/>
                <w:szCs w:val="18"/>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 Estimated</w:t>
            </w: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20" w:type="dxa"/>
            <w:vAlign w:val="bottom"/>
          </w:tcPr>
          <w:p>
            <w:pPr>
              <w:spacing w:after="0"/>
              <w:rPr>
                <w:sz w:val="20"/>
                <w:szCs w:val="20"/>
                <w:color w:val="auto"/>
              </w:rPr>
            </w:pPr>
          </w:p>
        </w:tc>
        <w:tc>
          <w:tcPr>
            <w:tcW w:w="15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15,671</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investments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7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15" w:name="page16"/>
    <w:bookmarkEnd w:id="15"/>
    <w:tbl>
      <w:tblPr>
        <w:tblLayout w:type="fixed"/>
        <w:tblInd w:w="2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50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Cost or Amortized</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60" w:type="dxa"/>
            <w:vAlign w:val="bottom"/>
          </w:tcPr>
          <w:p>
            <w:pPr>
              <w:spacing w:after="0"/>
              <w:rPr>
                <w:sz w:val="18"/>
                <w:szCs w:val="18"/>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 Estimated</w:t>
            </w: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5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18,577</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42,388</w:t>
            </w: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Realized gains and losses on investments in debt securities were immaterial for the three and six months ended June 30, 2022 and 2021.</w:t>
      </w:r>
    </w:p>
    <w:p>
      <w:pPr>
        <w:spacing w:after="0" w:line="248"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measured and recorded at fair value on a recurring basis consist of the following as of:</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22,706</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22,706</w:t>
            </w:r>
          </w:p>
        </w:tc>
        <w:tc>
          <w:tcPr>
            <w:tcW w:w="0" w:type="dxa"/>
            <w:vAlign w:val="bottom"/>
          </w:tcPr>
          <w:p>
            <w:pPr>
              <w:spacing w:after="0"/>
              <w:rPr>
                <w:sz w:val="1"/>
                <w:szCs w:val="1"/>
                <w:color w:val="auto"/>
              </w:rPr>
            </w:pPr>
          </w:p>
        </w:tc>
      </w:tr>
      <w:tr>
        <w:trPr>
          <w:trHeight w:val="297"/>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23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25,294</w:t>
            </w:r>
          </w:p>
        </w:tc>
        <w:tc>
          <w:tcPr>
            <w:tcW w:w="0" w:type="dxa"/>
            <w:vAlign w:val="bottom"/>
          </w:tcPr>
          <w:p>
            <w:pPr>
              <w:spacing w:after="0"/>
              <w:rPr>
                <w:sz w:val="1"/>
                <w:szCs w:val="1"/>
                <w:color w:val="auto"/>
              </w:rPr>
            </w:pPr>
          </w:p>
        </w:tc>
      </w:tr>
      <w:tr>
        <w:trPr>
          <w:trHeight w:val="27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15,671</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15,671</w:t>
            </w:r>
          </w:p>
        </w:tc>
        <w:tc>
          <w:tcPr>
            <w:tcW w:w="0" w:type="dxa"/>
            <w:vAlign w:val="bottom"/>
          </w:tcPr>
          <w:p>
            <w:pPr>
              <w:spacing w:after="0"/>
              <w:rPr>
                <w:sz w:val="1"/>
                <w:szCs w:val="1"/>
                <w:color w:val="auto"/>
              </w:rPr>
            </w:pPr>
          </w:p>
        </w:tc>
      </w:tr>
      <w:tr>
        <w:trPr>
          <w:trHeight w:val="270"/>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0" w:type="dxa"/>
            <w:vAlign w:val="bottom"/>
          </w:tcPr>
          <w:p>
            <w:pPr>
              <w:spacing w:after="0"/>
              <w:rPr>
                <w:sz w:val="1"/>
                <w:szCs w:val="1"/>
                <w:color w:val="auto"/>
              </w:rPr>
            </w:pPr>
          </w:p>
        </w:tc>
      </w:tr>
      <w:tr>
        <w:trPr>
          <w:trHeight w:val="270"/>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6,677</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26,506</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26,506</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22,706</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29,094</w:t>
            </w:r>
          </w:p>
        </w:tc>
        <w:tc>
          <w:tcPr>
            <w:tcW w:w="80" w:type="dxa"/>
            <w:vAlign w:val="bottom"/>
          </w:tcPr>
          <w:p>
            <w:pPr>
              <w:spacing w:after="0"/>
              <w:rPr>
                <w:sz w:val="22"/>
                <w:szCs w:val="22"/>
                <w:color w:val="auto"/>
              </w:rPr>
            </w:pP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51,800</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Consists of short-term corporate bonds and certificates of deposit with stated maturities of three months or less.</w:t>
      </w: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w:t>
            </w: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18,577</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18,577</w:t>
            </w: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17,095</w:t>
            </w: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42,388</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42,388</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42,388</w:t>
            </w:r>
          </w:p>
        </w:tc>
        <w:tc>
          <w:tcPr>
            <w:tcW w:w="80" w:type="dxa"/>
            <w:vAlign w:val="bottom"/>
          </w:tcPr>
          <w:p>
            <w:pPr>
              <w:spacing w:after="0"/>
              <w:rPr>
                <w:sz w:val="22"/>
                <w:szCs w:val="22"/>
                <w:color w:val="auto"/>
              </w:rPr>
            </w:pP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71,799</w:t>
            </w:r>
          </w:p>
        </w:tc>
      </w:tr>
      <w:tr>
        <w:trPr>
          <w:trHeight w:val="20"/>
        </w:trPr>
        <w:tc>
          <w:tcPr>
            <w:tcW w:w="4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for the Company’s cash equivalents, accounts receivable, accounts payable, and accrued expenses approximate fair value due to their short maturities.</w:t>
      </w:r>
    </w:p>
    <w:p>
      <w:pPr>
        <w:sectPr>
          <w:pgSz w:w="11900" w:h="16838" w:orient="portrait"/>
          <w:cols w:equalWidth="0" w:num="1">
            <w:col w:w="11220"/>
          </w:cols>
          <w:pgMar w:left="320" w:top="1062" w:right="359" w:bottom="10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023" w:gutter="0" w:footer="0" w:header="0"/>
          <w:type w:val="continuous"/>
        </w:sectPr>
      </w:pPr>
    </w:p>
    <w:bookmarkStart w:id="16" w:name="page17"/>
    <w:bookmarkEnd w:id="16"/>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Facilities</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April 2021, the Company entered into a first lien credit agreement (“2021 Credit Facility”), with JPMorgan Chase Bank, N.A., as administrative agent and lender, and the other lenders party thereto, which provides for a $35.0 million revolving credit facility that matures on April 30, 2026. The 2021 Credit Facility includes a subfacility that provides for the issuance of letters of credit in an amount of up to $10.0 million at any time outstanding, which reduces the amount available under the 2021 Credit Facility. As of June 30, 2022, there were outstanding standby letters of credit of $6.3 million related to lease obligations with $28.7 million available to be drawn upon. The 2021 Credit Facility is subject to customary fees for loan facilities of this type, including a commitment fee based on the average daily undrawn portion of the revolving credit facility. The Company recognizes the commitment fee as incurred in interest and other expense, net in the condensed consolidated statements of comprehensive loss. For the three and six months ended June 30, 2022, the commitment fee incurred was immaterial. The interest rate applicable to the 2021 Credit Facility is, at the Company’s option, either (a) the LIBOR (or a replacement rate established in accordance with the terms of the 2021 Credit Facility) (subject to a 0.00% LIBOR floor), plus a margin of 1.50% or (b) the CB floating rate minus a margin of 0.50%. The CB floating rate is the higher of (a) the Wall Street Journal prime rate and (b)(i) 2.50% plus (ii) the adjusted LIBOR rate for a one-month interest period. As of June 30, 2022, there was no outstanding balance under the 2021 Credit Facility.</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2021 Credit Facility contains covenants that restrict, among other things, the Company's ability to sell assets, make investments and</w:t>
      </w:r>
    </w:p>
    <w:p>
      <w:pPr>
        <w:spacing w:after="0" w:line="24"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7"/>
          <w:szCs w:val="17"/>
          <w:color w:val="auto"/>
        </w:rPr>
        <w:t>acquisitions, make capital expenditures, grant liens, pay dividends and make certain other restricted payments</w:t>
      </w:r>
      <w:r>
        <w:rPr>
          <w:rFonts w:ascii="Times New Roman" w:cs="Times New Roman" w:eastAsia="Times New Roman" w:hAnsi="Times New Roman"/>
          <w:sz w:val="20"/>
          <w:szCs w:val="20"/>
          <w:color w:val="008080"/>
        </w:rPr>
        <w:t>.</w:t>
      </w:r>
      <w:r>
        <w:rPr>
          <w:rFonts w:ascii="Times New Roman" w:cs="Times New Roman" w:eastAsia="Times New Roman" w:hAnsi="Times New Roman"/>
          <w:sz w:val="17"/>
          <w:szCs w:val="17"/>
          <w:color w:val="auto"/>
        </w:rPr>
        <w:t xml:space="preserve"> The Company is also subject to certain affirmative and negative covenants including the requirement that it maintains a total net leverage ratio of not more than 3.50:1.00 during the periods set forth in the 2021 Credit Facility. Failure to do so, unless waived by the lenders under the 2021 Credit Facility pursuant to its terms, as amended, would result in an event of default under the 2021 Credit Facility. As of June 30, 2022, the Company was in compliance with the net leverage ratio covenant.</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consisted of the following as of:</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7"/>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payroll related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7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2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0" w:type="dxa"/>
            <w:vAlign w:val="bottom"/>
          </w:tcPr>
          <w:p>
            <w:pPr>
              <w:spacing w:after="0"/>
              <w:rPr>
                <w:sz w:val="1"/>
                <w:szCs w:val="1"/>
                <w:color w:val="auto"/>
              </w:rPr>
            </w:pPr>
          </w:p>
        </w:tc>
      </w:tr>
      <w:tr>
        <w:trPr>
          <w:trHeight w:val="27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returns</w:t>
            </w:r>
          </w:p>
        </w:tc>
        <w:tc>
          <w:tcPr>
            <w:tcW w:w="2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30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19,003</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____________________</w:t>
            </w: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7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(1) Represents short-term operating lease liabilities upon adoption of ASC 842. Refer to Note 13 included in these condensed consolidated financial statements for more information on leases.</w:t>
      </w:r>
    </w:p>
    <w:p>
      <w:pPr>
        <w:spacing w:after="0" w:line="294" w:lineRule="exact"/>
        <w:rPr>
          <w:sz w:val="20"/>
          <w:szCs w:val="20"/>
          <w:color w:val="auto"/>
        </w:rPr>
      </w:pPr>
    </w:p>
    <w:p>
      <w:pPr>
        <w:ind w:right="8040" w:firstLine="8"/>
        <w:spacing w:after="0" w:line="526" w:lineRule="auto"/>
        <w:tabs>
          <w:tab w:leader="none" w:pos="648"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Litigation</w:t>
      </w:r>
    </w:p>
    <w:p>
      <w:pPr>
        <w:spacing w:after="0" w:line="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and contingencies which are in the scope of ordinary and routine litigation incidental to its business, including those related to regulation, business transactions, employee-related matters and taxes, among others. When the Company becomes aware of a claim or potential claim, the likelihood of any loss or exposure is assessed. If it is probable that a loss will result and the amount or range of the loss can be reasonably estimated, the Company records a liability for the loss and discloses the possible loss in the consolidated financial statements. Legal costs are expensed as incurred.</w:t>
      </w:r>
    </w:p>
    <w:p>
      <w:pPr>
        <w:spacing w:after="0" w:line="21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September 17, 2019, the Nevada Department of Taxation (the “Department”) issued a Deficiency Notice against the Company to initiate administrative legal proceedings before the Department for the alleged non-compliance with employee retention requirements provided in exchange for tax benefits in establishing the Company’s Las Vegas distribution center in a December 2016 Abatement Agreement the Company had executed with the State of Nevada via its Governor’s Office of Economic Development. The Company has denied the allegations. An administrative hearing was held in the matter on January 15, 2021. On June 9, 2021 the court upheld the Department's Deficiency Notice against the Company in its entirety. The loss resulting from this matter was $0.7 million including penalties and interest, for which the Company has paid $0.6 million as of</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17" w:name="page18"/>
    <w:bookmarkEnd w:id="17"/>
    <w:p>
      <w:pPr>
        <w:ind w:right="140"/>
        <w:spacing w:after="0" w:line="254" w:lineRule="auto"/>
        <w:rPr>
          <w:sz w:val="20"/>
          <w:szCs w:val="20"/>
          <w:color w:val="auto"/>
        </w:rPr>
      </w:pPr>
      <w:r>
        <w:rPr>
          <w:rFonts w:ascii="Times New Roman" w:cs="Times New Roman" w:eastAsia="Times New Roman" w:hAnsi="Times New Roman"/>
          <w:sz w:val="18"/>
          <w:szCs w:val="18"/>
          <w:color w:val="auto"/>
        </w:rPr>
        <w:t>December 31, 2021. During the year ended December 31, 2021, the Company recorded interest expense of $0.1 million in interest and other income (expense), net on the condensed consolidated statements of comprehensive loss. The Company filed its Notice of Appeal on July 1, 2021 and its opening brief on January 28, 2022. The Department filed its answering brief on March 4, 2022 and the Company filed its reply brief on March 23, 2022. The Nevada Tax Commission heard the appeal on May 2, 2022. The Nevada Tax Commission upheld the Company's appeal and overturned the Department's Deficiency Notice. The Company intends to submit a refund request for the taxes and interest paid, following the Department's June 9, 2021 decision, that were subject to abatement under the December 2016 Abatement Agreement. The Company recognized $0.7 million in other income in interest and other income (expense), net on the condensed consolidated statements of comprehensive loss during the three months ended June 30, 2022 related to the anticipated refund of taxes and interest paid.</w:t>
      </w:r>
    </w:p>
    <w:p>
      <w:pPr>
        <w:spacing w:after="0" w:line="21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September 23, 2020, the Center for Advanced Public Awareness (“CAPA”) served a 60-Day Notice of Violation on the Company, alleging that the Company violated California’s Health and Safety Code (“Prop 65”) because of the amount of lead in the Company’s Diaper Rash Cream and seeking statutory penalties and product warnings available under Prop 65. On October 22, 2021, CAPA filed a complaint in California Superior Court in the County of San Francisco (the “Court”) for the alleged Prop 65 violations contained in its 60-Day Notice of Violation. The Company filed its answer and notice of related cases against Prestige Consumer Healthcare, Inc., Burt's Bees, Inc., and Hain Celestial Group, Inc. on January 7, 2022 and has stipulated to relate these cases and transfer them to the Court's Complex Division. The Company intends to vigorously defend itself in this matter. The matter’s outcome and materiality are uncertain at this time. Therefore, the Company cannot estimate the probability of loss or make an estimate of the loss or range of loss in this matter.</w:t>
      </w:r>
    </w:p>
    <w:p>
      <w:pPr>
        <w:spacing w:after="0" w:line="20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On September 15, 2021, Cody Dixon filed a putative class action complaint in the U.S. District Court for the Central District of California alleging federal securities law violations by the Company, certain current officers and directors, and certain underwriters in connection with the Company’s IPO. A second putative class action complaint containing similar allegations against the Company and certain current officers and directors was filed by Stephen Gambino on October 8, 2021 in the U.S. District Court for the Central District of California. These related complaints have been transferred to the same court and a Lead Plaintiff has been appointed in the matter, and a putative consolidated class action complaint was filed by the Lead Plaintiff on February 21, 2022. A derivative complaint was filed by Hayato Ono on behalf of the Company on November 29, 2021 in the U.S. District Court for the Central District of California, alleging breach of fiduciary duties, unjust enrichment, waste, gross mismanagement, and federal securities law violations by the Company’s directors and certain officers. On December 17, 2021, a second derivative complaint containing similar allegations against the Company’s directors and certain officers was filed by Mike Wang in the U.S. District Court for the Central District of California. These two federal derivative cases have been transferred to the same judge who is presiding over the securities class action complaints. A third derivative complaint was filed by Leah Bisch and Raluca Corobana in California Superior Court for the County of Los Angeles on January 3, 2022 with similar allegations. The federal and state court derivative cases have been stayed pending the outcome of a motion to dismiss in the securities class action. Defendants’ motion to dismiss the putative consolidated class action complaint was filed on March 14, 2022. The Lead Plaintiff’s opposition to the motion to dismiss was filed on March 28, 2022, and defendants’ replies were filed on April 4, 2022. On July 18, 2022, the Company's motion to dismiss was granted in part and denied in part. On August 1, 2022, the Company filed a motion for partial reconsideration of that order. The Company believes the securities complaints are without merit and intends to vigorously defend itself against these allegations. These matters are in the preliminary stages of litigation with uncertain outcomes at this time. Therefore, the Company cannot estimate the probability of the loss or make an estimate of the loss or range of loss in these matters.</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the Company was not subject to any other currently pending legal matters or claims that based on its current evaluation are expected to have a material adverse effect on its financial position, results of operations, or cash flows should such matters be resolved unfavorably. Refer to Note 14 included in these condensed consolidated financial statements for more information on a litigation matter.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investors, directors and officers with respect to certain matters, including, but not limited to,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the Company been involved in litigation in connection with these indemnification arrangements. As of June 30, 2022 and December 31, 2021, the Company has not accrued a liability for these guarantees as the likelihood of incurring a payment obligation, if any, in connection with these guarantees is not probable or reasonably estimable due to the unique facts and circumstances involved.</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8" w:name="page19"/>
    <w:bookmarkEnd w:id="18"/>
    <w:p>
      <w:pPr>
        <w:ind w:right="8460" w:firstLine="8"/>
        <w:spacing w:after="0" w:line="534" w:lineRule="auto"/>
        <w:tabs>
          <w:tab w:leader="none" w:pos="64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 Options</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stock option activity:</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80" w:type="dxa"/>
            <w:vAlign w:val="bottom"/>
          </w:tcPr>
          <w:p>
            <w:pPr>
              <w:spacing w:after="0"/>
              <w:rPr>
                <w:sz w:val="20"/>
                <w:szCs w:val="20"/>
                <w:color w:val="auto"/>
              </w:rPr>
            </w:pP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Weighted Average Exercise Price</w:t>
            </w:r>
          </w:p>
        </w:tc>
        <w:tc>
          <w:tcPr>
            <w:tcW w:w="0" w:type="dxa"/>
            <w:vAlign w:val="bottom"/>
          </w:tcPr>
          <w:p>
            <w:pPr>
              <w:spacing w:after="0"/>
              <w:rPr>
                <w:sz w:val="1"/>
                <w:szCs w:val="1"/>
                <w:color w:val="auto"/>
              </w:rPr>
            </w:pPr>
          </w:p>
        </w:tc>
      </w:tr>
      <w:tr>
        <w:trPr>
          <w:trHeight w:val="27"/>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2021</w:t>
            </w: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688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16,440,539</w:t>
            </w:r>
          </w:p>
        </w:tc>
        <w:tc>
          <w:tcPr>
            <w:tcW w:w="126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(43,556)</w:t>
            </w:r>
          </w:p>
        </w:tc>
        <w:tc>
          <w:tcPr>
            <w:tcW w:w="126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(392,896)</w:t>
            </w:r>
          </w:p>
        </w:tc>
        <w:tc>
          <w:tcPr>
            <w:tcW w:w="126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7"/>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Outstanding at June 30, 2022</w:t>
            </w: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80" w:type="dxa"/>
            <w:vAlign w:val="bottom"/>
            <w:vMerge w:val="continue"/>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16,004,087</w:t>
            </w:r>
          </w:p>
        </w:tc>
        <w:tc>
          <w:tcPr>
            <w:tcW w:w="126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April 2021, the Company’s board of directors adopted the Company’s 2021 Equity Incentive Plan (the “2021 Plan”), which became effective in connection with the IPO. All equity-based awards granted on or after the effectiveness of the 2021 Plan will be granted under the 2021 Plan. The 2021 Plan provides for grants of incentive stock options (“ISOs”) within the meaning of Section 422 of the Internal Revenue Code of 1986, as amended (the “Code”), to the Company’s employees and its parent and subsidiary corporations’ employees, and for the grant of nonstatutory stock options (“NSOs”), stock appreciation rights, restricted stock awards, restricted stock units (“RSUs”) awards, performance awards and other forms of awards to the Company’s employees, directors and consultants and any of its affiliates’ employees and consultants. Initially, the maximum number of shares of the Company’s common stock that may be issued under its 2021 Plan will not exceed 25,025,580 shares of the Company’s common stock. In addition, the number of shares of the Company’s common stock reserved for issuance under its 2021 Plan will automatically increase on January 1 of each year for a period of ten years, beginning on January 1, 2022 and continuing through January 1, 2031, in an amount equal to (1) 4% of the total number of shares of the Company’s common stock outstanding on December 31 of the immediately preceding year, or (2) a lesser number of shares determined by the Company’s board of directors prior to the date of the increase. The maximum number of shares of the Company’s common stock that may be issued on the exercise of ISOs under its 2021 Plan is 75,100,000 shares.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The following table summarizes the RSU activity:</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Weighted Average Grant Date Fair Value</w:t>
            </w: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p>
        </w:tc>
        <w:tc>
          <w:tcPr>
            <w:tcW w:w="340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17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Non-Employee</w:t>
            </w:r>
          </w:p>
        </w:tc>
        <w:tc>
          <w:tcPr>
            <w:tcW w:w="16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Officers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Non-Employee</w:t>
            </w:r>
          </w:p>
        </w:tc>
        <w:tc>
          <w:tcPr>
            <w:tcW w:w="34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8"/>
              </w:rPr>
              <w:t>Officers and</w:t>
            </w: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p>
        </w:tc>
        <w:tc>
          <w:tcPr>
            <w:tcW w:w="17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6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Directors</w:t>
            </w:r>
          </w:p>
        </w:tc>
        <w:tc>
          <w:tcPr>
            <w:tcW w:w="34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0" w:type="dxa"/>
            <w:vAlign w:val="bottom"/>
          </w:tcPr>
          <w:p>
            <w:pPr>
              <w:spacing w:after="0"/>
              <w:rPr>
                <w:sz w:val="1"/>
                <w:szCs w:val="1"/>
                <w:color w:val="auto"/>
              </w:rPr>
            </w:pPr>
          </w:p>
        </w:tc>
      </w:tr>
      <w:tr>
        <w:trPr>
          <w:trHeight w:val="27"/>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RSUs at December 31, 2021</w:t>
            </w: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vMerge w:val="continue"/>
          </w:tcPr>
          <w:p>
            <w:pPr>
              <w:spacing w:after="0"/>
              <w:rPr>
                <w:sz w:val="20"/>
                <w:szCs w:val="20"/>
                <w:color w:val="auto"/>
              </w:rPr>
            </w:pPr>
          </w:p>
        </w:tc>
        <w:tc>
          <w:tcPr>
            <w:tcW w:w="16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103,561</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2,867,306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0" w:type="dxa"/>
            <w:vAlign w:val="bottom"/>
          </w:tcPr>
          <w:p>
            <w:pPr>
              <w:spacing w:after="0"/>
              <w:rPr>
                <w:sz w:val="1"/>
                <w:szCs w:val="1"/>
                <w:color w:val="auto"/>
              </w:rPr>
            </w:pPr>
          </w:p>
        </w:tc>
      </w:tr>
      <w:tr>
        <w:trPr>
          <w:trHeight w:val="27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485,806</w:t>
            </w:r>
          </w:p>
        </w:tc>
        <w:tc>
          <w:tcPr>
            <w:tcW w:w="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2,655,953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30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(110,735)</w:t>
            </w:r>
          </w:p>
        </w:tc>
        <w:tc>
          <w:tcPr>
            <w:tcW w:w="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(692,784)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RSUs at June 30, 2022</w:t>
            </w:r>
          </w:p>
        </w:tc>
        <w:tc>
          <w:tcPr>
            <w:tcW w:w="16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473,991</w:t>
            </w:r>
          </w:p>
        </w:tc>
        <w:tc>
          <w:tcPr>
            <w:tcW w:w="80" w:type="dxa"/>
            <w:vAlign w:val="bottom"/>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4,357,300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1"/>
        </w:trPr>
        <w:tc>
          <w:tcPr>
            <w:tcW w:w="42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__________________________</w:t>
            </w: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Includes 4,439 shares of common stock that were withheld to cover taxes on the release of vested RSUs and became available for future grants pursuant to the 2021 Plan.</w:t>
      </w:r>
    </w:p>
    <w:p>
      <w:pPr>
        <w:spacing w:after="0" w:line="31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there was $38.8 million of unrecognized stock-based compensation expense related to unvested RSUs, which is expected to be recognized over a weighted-average period of 3.1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256"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In April 2021, the Company’s board of directors adopted the Company’s 2021 Employee Stock Purchase Plan (the “2021 ESPP”). The Company authorized the issuance of 1,175,000 shares of common stock under the 2021 ESPP. In addition, the number of shares available for issuance under the 2021 ESPP will be annually increased on January 1 of each year for a period of ten years, beginning on January 1, 2022 and continuing through January 1, 2031 by the lesser of (i) 1% of the total number of shares of common stock outstanding on December 31 of the immediately preceding year; and (ii) 3,525,000 shares, except before the date of any such increase, the Company’s board of directors may determine that such increase will be less than the amount set</w:t>
      </w:r>
    </w:p>
    <w:p>
      <w:pPr>
        <w:sectPr>
          <w:pgSz w:w="11900" w:h="16838" w:orient="portrait"/>
          <w:cols w:equalWidth="0" w:num="1">
            <w:col w:w="11220"/>
          </w:cols>
          <w:pgMar w:left="320" w:top="7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19" w:name="page20"/>
    <w:bookmarkEnd w:id="19"/>
    <w:p>
      <w:pPr>
        <w:jc w:val="both"/>
        <w:ind w:left="91" w:right="400"/>
        <w:spacing w:after="0" w:line="266" w:lineRule="auto"/>
        <w:rPr>
          <w:sz w:val="20"/>
          <w:szCs w:val="20"/>
          <w:color w:val="auto"/>
        </w:rPr>
      </w:pPr>
      <w:r>
        <w:rPr>
          <w:rFonts w:ascii="Times New Roman" w:cs="Times New Roman" w:eastAsia="Times New Roman" w:hAnsi="Times New Roman"/>
          <w:sz w:val="18"/>
          <w:szCs w:val="18"/>
          <w:color w:val="auto"/>
        </w:rPr>
        <w:t>forth in clauses (i) and (ii). Subject to any limitations contained therein, the 2021 ESPP allows eligible employees to contribute (in the form of payroll deductions or otherwise to the extent permitted by the administrator) an amount established by the administrator from time to time in its discretion to purchase common stock at a discounted price per share.</w:t>
      </w:r>
    </w:p>
    <w:p>
      <w:pPr>
        <w:spacing w:after="0" w:line="203" w:lineRule="exact"/>
        <w:rPr>
          <w:sz w:val="20"/>
          <w:szCs w:val="20"/>
          <w:color w:val="auto"/>
        </w:rPr>
      </w:pPr>
    </w:p>
    <w:p>
      <w:pPr>
        <w:ind w:left="91" w:firstLine="648"/>
        <w:spacing w:after="0" w:line="258" w:lineRule="auto"/>
        <w:rPr>
          <w:sz w:val="20"/>
          <w:szCs w:val="20"/>
          <w:color w:val="auto"/>
        </w:rPr>
      </w:pPr>
      <w:r>
        <w:rPr>
          <w:rFonts w:ascii="Times New Roman" w:cs="Times New Roman" w:eastAsia="Times New Roman" w:hAnsi="Times New Roman"/>
          <w:sz w:val="18"/>
          <w:szCs w:val="18"/>
          <w:color w:val="auto"/>
        </w:rPr>
        <w:t>Under the 2021 ESPP, eligible employees are granted the right to purchase shares of common stock at the lower of 85% of the fair value at the time of grant or 85% of the fair value at the time of exercise. The right to purchase shares of common stock is granted in May and November of each year for an offering period of approximately six months. The first offering period under the 2021 ESPP commenced in May 2021 and the second offering in November 2021. For the three and six months ended June 30, 2022, 58,111 shares were purchased under the 2021 ESPP. As of June 30, 2022, the Company had 1,992,520 remaining authorized shares available for purchase.</w:t>
      </w:r>
    </w:p>
    <w:p>
      <w:pPr>
        <w:spacing w:after="0" w:line="210" w:lineRule="exact"/>
        <w:rPr>
          <w:sz w:val="20"/>
          <w:szCs w:val="20"/>
          <w:color w:val="auto"/>
        </w:rPr>
      </w:pPr>
    </w:p>
    <w:p>
      <w:pPr>
        <w:ind w:left="91"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key input assumptions used in the Black-Scholes option-pricing model to estimate the grant-date fair value of the 2021 ESPP:</w:t>
      </w:r>
    </w:p>
    <w:p>
      <w:pPr>
        <w:spacing w:after="0" w:line="234" w:lineRule="exact"/>
        <w:rPr>
          <w:sz w:val="20"/>
          <w:szCs w:val="20"/>
          <w:color w:val="auto"/>
        </w:rPr>
      </w:pPr>
    </w:p>
    <w:tbl>
      <w:tblPr>
        <w:tblLayout w:type="fixed"/>
        <w:tblInd w:w="111" w:type="dxa"/>
        <w:tblCellMar>
          <w:top w:w="0" w:type="dxa"/>
          <w:left w:w="0" w:type="dxa"/>
          <w:bottom w:w="0" w:type="dxa"/>
          <w:right w:w="0" w:type="dxa"/>
        </w:tblCellMar>
      </w:tblPr>
      <w:tr>
        <w:trPr>
          <w:trHeight w:val="262"/>
        </w:trPr>
        <w:tc>
          <w:tcPr>
            <w:tcW w:w="6220" w:type="dxa"/>
            <w:vAlign w:val="bottom"/>
          </w:tcPr>
          <w:p>
            <w:pPr>
              <w:spacing w:after="0"/>
              <w:rPr>
                <w:sz w:val="22"/>
                <w:szCs w:val="22"/>
                <w:color w:val="auto"/>
              </w:rPr>
            </w:pPr>
          </w:p>
        </w:tc>
        <w:tc>
          <w:tcPr>
            <w:tcW w:w="49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For the </w:t>
            </w:r>
            <w:r>
              <w:rPr>
                <w:rFonts w:ascii="Times New Roman" w:cs="Times New Roman" w:eastAsia="Times New Roman" w:hAnsi="Times New Roman"/>
                <w:sz w:val="19"/>
                <w:szCs w:val="19"/>
                <w:b w:val="1"/>
                <w:bCs w:val="1"/>
                <w:color w:val="auto"/>
              </w:rPr>
              <w:t>six months ended June 30, 2022</w:t>
            </w:r>
          </w:p>
        </w:tc>
      </w:tr>
      <w:tr>
        <w:trPr>
          <w:trHeight w:val="35"/>
        </w:trPr>
        <w:tc>
          <w:tcPr>
            <w:tcW w:w="6220" w:type="dxa"/>
            <w:vAlign w:val="bottom"/>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r>
      <w:tr>
        <w:trPr>
          <w:trHeight w:val="23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0.50</w:t>
            </w: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73.27%</w:t>
            </w: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1.52%</w:t>
            </w: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grant-date fair value per share</w:t>
            </w: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$1.12</w:t>
            </w:r>
          </w:p>
        </w:tc>
      </w:tr>
    </w:tbl>
    <w:p>
      <w:pPr>
        <w:spacing w:after="0" w:line="342" w:lineRule="exact"/>
        <w:rPr>
          <w:sz w:val="20"/>
          <w:szCs w:val="20"/>
          <w:color w:val="auto"/>
        </w:rPr>
      </w:pPr>
    </w:p>
    <w:p>
      <w:pPr>
        <w:ind w:left="91"/>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left="751"/>
        <w:spacing w:after="0"/>
        <w:rPr>
          <w:sz w:val="20"/>
          <w:szCs w:val="20"/>
          <w:color w:val="auto"/>
        </w:rPr>
      </w:pPr>
      <w:r>
        <w:rPr>
          <w:rFonts w:ascii="Times New Roman" w:cs="Times New Roman" w:eastAsia="Times New Roman" w:hAnsi="Times New Roman"/>
          <w:sz w:val="18"/>
          <w:szCs w:val="18"/>
          <w:color w:val="auto"/>
        </w:rPr>
        <w:t>Stock-based compensation expense related to RSU awards, 2021 ESPP purchases and stock options, as applicable, are as follows:</w:t>
      </w:r>
    </w:p>
    <w:p>
      <w:pPr>
        <w:spacing w:after="0" w:line="302" w:lineRule="exact"/>
        <w:rPr>
          <w:sz w:val="20"/>
          <w:szCs w:val="20"/>
          <w:color w:val="auto"/>
        </w:rPr>
      </w:pPr>
    </w:p>
    <w:tbl>
      <w:tblPr>
        <w:tblLayout w:type="fixed"/>
        <w:tblInd w:w="131"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372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320" w:type="dxa"/>
            <w:vAlign w:val="bottom"/>
          </w:tcPr>
          <w:p>
            <w:pPr>
              <w:spacing w:after="0"/>
              <w:rPr>
                <w:sz w:val="20"/>
                <w:szCs w:val="20"/>
                <w:color w:val="auto"/>
              </w:rPr>
            </w:pPr>
          </w:p>
        </w:tc>
        <w:tc>
          <w:tcPr>
            <w:tcW w:w="332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0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8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8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731" w:hanging="731"/>
        <w:spacing w:after="0"/>
        <w:tabs>
          <w:tab w:leader="none" w:pos="731"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 Attributable to Common Stockholders</w:t>
      </w:r>
    </w:p>
    <w:p>
      <w:pPr>
        <w:spacing w:after="0" w:line="256" w:lineRule="exact"/>
        <w:rPr>
          <w:sz w:val="20"/>
          <w:szCs w:val="20"/>
          <w:color w:val="auto"/>
        </w:rPr>
      </w:pPr>
    </w:p>
    <w:p>
      <w:pPr>
        <w:ind w:left="91"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computes net income (loss) per share using the two-class method required for participating securities. The two-class method requires net income be allocated between common stock and participating securities based upon their respective rights to receive dividends as if all income for the period had been distributed. In periods where the Company has net losses, losses are not allocated to participating securities as they are not required to fund the losses. The Company considers its redeemable convertible preferred stock to be participating securities as preferred stockholders have rights to participate in dividends with the common stockholders.</w:t>
      </w:r>
    </w:p>
    <w:p>
      <w:pPr>
        <w:spacing w:after="0" w:line="210" w:lineRule="exact"/>
        <w:rPr>
          <w:sz w:val="20"/>
          <w:szCs w:val="20"/>
          <w:color w:val="auto"/>
        </w:rPr>
      </w:pPr>
    </w:p>
    <w:p>
      <w:pPr>
        <w:ind w:left="91" w:firstLine="648"/>
        <w:spacing w:after="0" w:line="258" w:lineRule="auto"/>
        <w:rPr>
          <w:sz w:val="20"/>
          <w:szCs w:val="20"/>
          <w:color w:val="auto"/>
        </w:rPr>
      </w:pPr>
      <w:r>
        <w:rPr>
          <w:rFonts w:ascii="Times New Roman" w:cs="Times New Roman" w:eastAsia="Times New Roman" w:hAnsi="Times New Roman"/>
          <w:sz w:val="18"/>
          <w:szCs w:val="18"/>
          <w:color w:val="auto"/>
        </w:rPr>
        <w:t>Basic net income (loss) attributable to common stockholders per share is calculated by dividing net income (loss) attributable to common stockholders by the weighted-average number of shares of common stock outstanding. The Company computes diluted net income per share under a two-class method where income is reallocated between common stock, potential common stock and participating securities. Diluted net income (loss) per share attributable to common stockholders adjusts the basic net income (loss) per share attributable to common stockholders and the weighted-average number of shares of common stock outstanding for the potentially dilutive impact of stock options using the treasury stock method.</w:t>
      </w:r>
    </w:p>
    <w:p>
      <w:pPr>
        <w:spacing w:after="0" w:line="183" w:lineRule="exact"/>
        <w:rPr>
          <w:sz w:val="20"/>
          <w:szCs w:val="20"/>
          <w:color w:val="auto"/>
        </w:rPr>
      </w:pPr>
    </w:p>
    <w:p>
      <w:pPr>
        <w:ind w:left="751"/>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common stockholders:</w:t>
      </w:r>
    </w:p>
    <w:p>
      <w:pPr>
        <w:sectPr>
          <w:pgSz w:w="11900" w:h="16838" w:orient="portrait"/>
          <w:cols w:equalWidth="0" w:num="1">
            <w:col w:w="11311"/>
          </w:cols>
          <w:pgMar w:left="229" w:top="7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0"/>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138430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1"/>
          </w:cols>
          <w:pgMar w:left="229" w:top="769" w:right="35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June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2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7"/>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share and per share values)</w:t>
            </w: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(20,034)</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(24,639)</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0" w:type="dxa"/>
            <w:vAlign w:val="bottom"/>
          </w:tcPr>
          <w:p>
            <w:pPr>
              <w:spacing w:after="0"/>
              <w:rPr>
                <w:sz w:val="1"/>
                <w:szCs w:val="1"/>
                <w:color w:val="auto"/>
              </w:rPr>
            </w:pPr>
          </w:p>
        </w:tc>
      </w:tr>
      <w:tr>
        <w:trPr>
          <w:trHeight w:val="302"/>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gain on conversion of preferred stock</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4"/>
                <w:szCs w:val="24"/>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28,994</w:t>
            </w:r>
          </w:p>
        </w:tc>
        <w:tc>
          <w:tcPr>
            <w:tcW w:w="0" w:type="dxa"/>
            <w:vAlign w:val="bottom"/>
          </w:tcPr>
          <w:p>
            <w:pPr>
              <w:spacing w:after="0"/>
              <w:rPr>
                <w:sz w:val="1"/>
                <w:szCs w:val="1"/>
                <w:color w:val="auto"/>
              </w:rPr>
            </w:pPr>
          </w:p>
        </w:tc>
      </w:tr>
      <w:tr>
        <w:trPr>
          <w:trHeight w:val="265"/>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dividends paid to preferred stockholders</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3"/>
                <w:szCs w:val="23"/>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(20,637)</w:t>
            </w:r>
          </w:p>
        </w:tc>
        <w:tc>
          <w:tcPr>
            <w:tcW w:w="0" w:type="dxa"/>
            <w:vAlign w:val="bottom"/>
          </w:tcPr>
          <w:p>
            <w:pPr>
              <w:spacing w:after="0"/>
              <w:rPr>
                <w:sz w:val="1"/>
                <w:szCs w:val="1"/>
                <w:color w:val="auto"/>
              </w:rPr>
            </w:pPr>
          </w:p>
        </w:tc>
      </w:tr>
      <w:tr>
        <w:trPr>
          <w:trHeight w:val="23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 - basic and diluted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(24,639)</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(16,161)</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5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92,052,347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68,079,387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91,796,489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51,184,615</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 diluted</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92,052,347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68,079,387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91,796,489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51,184,615</w:t>
            </w:r>
          </w:p>
        </w:tc>
        <w:tc>
          <w:tcPr>
            <w:tcW w:w="0" w:type="dxa"/>
            <w:vAlign w:val="bottom"/>
          </w:tcPr>
          <w:p>
            <w:pPr>
              <w:spacing w:after="0"/>
              <w:rPr>
                <w:sz w:val="1"/>
                <w:szCs w:val="1"/>
                <w:color w:val="auto"/>
              </w:rPr>
            </w:pPr>
          </w:p>
        </w:tc>
      </w:tr>
      <w:tr>
        <w:trPr>
          <w:trHeight w:val="27"/>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shareholders:</w:t>
            </w: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5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
        </w:trPr>
        <w:tc>
          <w:tcPr>
            <w:tcW w:w="54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_______________________</w:t>
            </w: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54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firstLine="8"/>
        <w:spacing w:after="0"/>
        <w:tabs>
          <w:tab w:leader="none" w:pos="189"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conversion price of the Company’s Series C and Series D redeemable convertible preferred stock was adjusted as the offering price in the initial public offering was below a certain threshold resulting in the preferred stockholders receiving a fixed dollar amount on conversion settled into a variable number of shares, or a stock-settled redemption feature. Upon the settlement of this redemption feature, the Company recorded a gain on extinguishment of the redeemable convertible preferred stock of $29.0 million as an adjustment to net loss to arrive at net loss attributable to common stockholders to calculate earnings per share. The extinguishment gain was measured as the difference between the carrying amount of the redeemable convertible preferred stock and the fair value of common stock upon the IPO date that the preferred stock converted into.</w:t>
      </w:r>
    </w:p>
    <w:p>
      <w:pPr>
        <w:spacing w:after="0" w:line="2" w:lineRule="exact"/>
        <w:rPr>
          <w:rFonts w:ascii="Times New Roman" w:cs="Times New Roman" w:eastAsia="Times New Roman" w:hAnsi="Times New Roman"/>
          <w:sz w:val="12"/>
          <w:szCs w:val="12"/>
          <w:color w:val="auto"/>
        </w:rPr>
      </w:pPr>
    </w:p>
    <w:p>
      <w:pPr>
        <w:ind w:right="20" w:firstLine="8"/>
        <w:spacing w:after="0" w:line="209" w:lineRule="auto"/>
        <w:tabs>
          <w:tab w:leader="none" w:pos="187"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April 2021, the Company's board of directors declared a cash dividend of $35.0 million to the holders of record of our common stock as of May 3, 2021, that was contingent upon the closing of the Company's IPO. On June 29, 2021, the Company paid the dividend, of which $20.6 million was paid to the holders of the Company's redeemable convertible preferred stock.</w:t>
      </w:r>
    </w:p>
    <w:p>
      <w:pPr>
        <w:spacing w:after="0" w:line="26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shares were excluded from the computation of diluted net income (loss) per share because including them would have been antidilutive:</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400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36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7"/>
        </w:trPr>
        <w:tc>
          <w:tcPr>
            <w:tcW w:w="36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19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9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7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36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16,004,087</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17,676,563</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16,004,087</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17,676,563</w:t>
            </w: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4,831,291</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2,709,119</w:t>
            </w:r>
          </w:p>
        </w:tc>
        <w:tc>
          <w:tcPr>
            <w:tcW w:w="10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4,831,291</w:t>
            </w:r>
          </w:p>
        </w:tc>
        <w:tc>
          <w:tcPr>
            <w:tcW w:w="1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2,709,119</w:t>
            </w: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68,497</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30,789</w:t>
            </w:r>
          </w:p>
        </w:tc>
        <w:tc>
          <w:tcPr>
            <w:tcW w:w="10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68,497</w:t>
            </w:r>
          </w:p>
        </w:tc>
        <w:tc>
          <w:tcPr>
            <w:tcW w:w="1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30,789</w:t>
            </w:r>
          </w:p>
        </w:tc>
      </w:tr>
      <w:tr>
        <w:trPr>
          <w:trHeight w:val="27"/>
        </w:trPr>
        <w:tc>
          <w:tcPr>
            <w:tcW w:w="36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3"/>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20,903,875</w:t>
            </w:r>
          </w:p>
        </w:tc>
        <w:tc>
          <w:tcPr>
            <w:tcW w:w="100" w:type="dxa"/>
            <w:vAlign w:val="bottom"/>
          </w:tcPr>
          <w:p>
            <w:pPr>
              <w:spacing w:after="0"/>
              <w:rPr>
                <w:sz w:val="22"/>
                <w:szCs w:val="22"/>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20,416,471</w:t>
            </w:r>
          </w:p>
        </w:tc>
        <w:tc>
          <w:tcPr>
            <w:tcW w:w="100" w:type="dxa"/>
            <w:vAlign w:val="bottom"/>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20,903,875</w:t>
            </w:r>
          </w:p>
        </w:tc>
        <w:tc>
          <w:tcPr>
            <w:tcW w:w="100" w:type="dxa"/>
            <w:vAlign w:val="bottom"/>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20,416,471</w:t>
            </w:r>
          </w:p>
        </w:tc>
      </w:tr>
      <w:tr>
        <w:trPr>
          <w:trHeight w:val="21"/>
        </w:trPr>
        <w:tc>
          <w:tcPr>
            <w:tcW w:w="36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440" w:hanging="432"/>
        <w:spacing w:after="0"/>
        <w:tabs>
          <w:tab w:leader="none" w:pos="4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determining quarterly provisions for income taxes, the Company uses the annual estimated effective tax rate applied to the actual year-to-date loss, adjusted for discrete items arising in that quarter. The Company’s annual estimated effective tax rate differs from the U.S. federal statutory rate of 21% primarily as a result of a valuation allowance against net deferred tax assets, stock-based compensation, state taxes, nondeductible executive compensation and other permanent differences.</w:t>
      </w:r>
    </w:p>
    <w:p>
      <w:pPr>
        <w:spacing w:after="0" w:line="180"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Company has evaluated the available positive and negative evidence supporting the realization of its gross deferred tax assets, including cumulative losses, and the amount and timing of future taxable income, and has determined it is more likely than not that the assets will not be realized. Accordingly, the Company has recorded a full valuation allowance against the U.S. federal and state deferred tax assets as of each balance sheet date presented.</w:t>
      </w:r>
    </w:p>
    <w:p>
      <w:pPr>
        <w:spacing w:after="0" w:line="18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2022 and 2021, the Company has not recorded any uncertain tax positions and has not recognized interest or penalties in the condensed consolidated statements of comprehensive loss.</w:t>
      </w:r>
    </w:p>
    <w:p>
      <w:pPr>
        <w:sectPr>
          <w:pgSz w:w="11900" w:h="16838" w:orient="portrait"/>
          <w:cols w:equalWidth="0" w:num="1">
            <w:col w:w="11240"/>
          </w:cols>
          <w:pgMar w:left="320" w:top="8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21" w:name="page22"/>
    <w:bookmarkEnd w:id="21"/>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56"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In April 2020, the Company engaged Summit House Studios LLC, a third-party consultant, to provide digital ad production services. Summit House Studios LLC is owned by a major shareholder of the Company. Based on services provided, the Company incurred $0.2 million and $0.3 million, respectively, of advertising costs for this related party for the three and six months ended June 30, 2021, which is reported as marketing expense in the Company’s condensed consolidated statements of comprehensive loss. The Company incurred immaterial advertising costs for this related party for the three and six months ended June 30, 2022.</w:t>
      </w:r>
    </w:p>
    <w:p>
      <w:pPr>
        <w:spacing w:after="0" w:line="206"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Company’s lease portfolio includes both real estate and non-real estate type leases which are accounted for as either finance or operating leases. Real estate leases generally include office and warehouse facilities and non-real estate leases generally include office equipment and machinery. The Company determines if a contract is or contains a lease at inception. The Company’s leases have remaining lease terms of less than one to six years. Renewal options that are deemed reasonably certain are included as part of the lease term for purposes of calculating the ROU assets and lease liability. The Company elected the practical expedient to not separate lease and non-lease components, as such non-lease components are included in the calculation of the ROU asset and lease liability and included in the lease expense over the term of the lease. The Company uses a discount rate to calculate the ROU asset and lease liability. When the implicit rate is known or provided in the lease documents, the Company is required to use this rate. In cases in which the implicit rate is not known, the Company uses an estimated incremental borrowing rate. Most of the Company’s leases do not contain an implicit interest rate; therefore, judgement is required in determining a rate that reflects what would be paid to borrow, on a collateralized basis and over a similar term, for the lease obligations. The Company takes into consideration the terms of its 2021 Credit Facility, lease terms, and current interest rates to determine the incremental borrowing rate at lease commencement date. As of June 30, 2022, the Company’s weighted-average discount rate was 2.29%, while the weighted-average remaining lease term was 5.0 years.</w:t>
      </w:r>
    </w:p>
    <w:p>
      <w:pPr>
        <w:spacing w:after="0" w:line="21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Operating lease ROU assets and lease liabilities are recorded on the date the Company takes possession of the leased assets with expense recognized on a straight-line basis over the lease term. Leases with an estimated total term of 12 months or less are not recorded on the balance sheet and the lease expense is recognized on a straight-line basis over the lease term. Generally, the Company’s lease agreements do not contain material residual value guarantees or material restrictive covenants.</w:t>
      </w:r>
    </w:p>
    <w:p>
      <w:pPr>
        <w:spacing w:after="0" w:line="207" w:lineRule="exact"/>
        <w:rPr>
          <w:sz w:val="20"/>
          <w:szCs w:val="20"/>
          <w:color w:val="auto"/>
        </w:rPr>
      </w:pPr>
    </w:p>
    <w:p>
      <w:pPr>
        <w:ind w:right="80" w:firstLine="648"/>
        <w:spacing w:after="0" w:line="279" w:lineRule="auto"/>
        <w:rPr>
          <w:sz w:val="20"/>
          <w:szCs w:val="20"/>
          <w:color w:val="auto"/>
        </w:rPr>
      </w:pPr>
      <w:r>
        <w:rPr>
          <w:rFonts w:ascii="Times New Roman" w:cs="Times New Roman" w:eastAsia="Times New Roman" w:hAnsi="Times New Roman"/>
          <w:sz w:val="18"/>
          <w:szCs w:val="18"/>
          <w:color w:val="auto"/>
        </w:rPr>
        <w:t>As a result of the adoption of ASC 842, the following adjustments were made to the opening balances of the Company’s Condensed Consolidated Balance Sheet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Impact due to</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Adoption of</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Pr>
          <w:p>
            <w:pPr>
              <w:spacing w:after="0"/>
              <w:rPr>
                <w:sz w:val="20"/>
                <w:szCs w:val="20"/>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ASC 842</w:t>
            </w:r>
          </w:p>
        </w:tc>
        <w:tc>
          <w:tcPr>
            <w:tcW w:w="220" w:type="dxa"/>
            <w:vAlign w:val="bottom"/>
          </w:tcPr>
          <w:p>
            <w:pPr>
              <w:spacing w:after="0"/>
              <w:rPr>
                <w:sz w:val="20"/>
                <w:szCs w:val="20"/>
                <w:color w:val="auto"/>
              </w:rPr>
            </w:pPr>
          </w:p>
        </w:tc>
        <w:tc>
          <w:tcPr>
            <w:tcW w:w="16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January 1, 2022</w:t>
            </w:r>
          </w:p>
        </w:tc>
        <w:tc>
          <w:tcPr>
            <w:tcW w:w="0" w:type="dxa"/>
            <w:vAlign w:val="bottom"/>
          </w:tcPr>
          <w:p>
            <w:pPr>
              <w:spacing w:after="0"/>
              <w:rPr>
                <w:sz w:val="1"/>
                <w:szCs w:val="1"/>
                <w:color w:val="auto"/>
              </w:rPr>
            </w:pPr>
          </w:p>
        </w:tc>
      </w:tr>
      <w:tr>
        <w:trPr>
          <w:trHeight w:val="27"/>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52,952</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(37,581)</w:t>
            </w:r>
          </w:p>
        </w:tc>
        <w:tc>
          <w:tcPr>
            <w:tcW w:w="8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15,371</w:t>
            </w:r>
          </w:p>
        </w:tc>
        <w:tc>
          <w:tcPr>
            <w:tcW w:w="0" w:type="dxa"/>
            <w:vAlign w:val="bottom"/>
          </w:tcPr>
          <w:p>
            <w:pPr>
              <w:spacing w:after="0"/>
              <w:rPr>
                <w:sz w:val="1"/>
                <w:szCs w:val="1"/>
                <w:color w:val="auto"/>
              </w:rPr>
            </w:pPr>
          </w:p>
        </w:tc>
      </w:tr>
      <w:tr>
        <w:trPr>
          <w:trHeight w:val="269"/>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ROU</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3"/>
                <w:szCs w:val="23"/>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36,127</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(deficit)</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r>
              <w:rPr>
                <w:rFonts w:ascii="Times New Roman" w:cs="Times New Roman" w:eastAsia="Times New Roman" w:hAnsi="Times New Roman"/>
                <w:sz w:val="23"/>
                <w:szCs w:val="23"/>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19,003</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8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24,116</w:t>
            </w:r>
          </w:p>
        </w:tc>
        <w:tc>
          <w:tcPr>
            <w:tcW w:w="0" w:type="dxa"/>
            <w:vAlign w:val="bottom"/>
          </w:tcPr>
          <w:p>
            <w:pPr>
              <w:spacing w:after="0"/>
              <w:rPr>
                <w:sz w:val="1"/>
                <w:szCs w:val="1"/>
                <w:color w:val="auto"/>
              </w:rPr>
            </w:pPr>
          </w:p>
        </w:tc>
      </w:tr>
      <w:tr>
        <w:trPr>
          <w:trHeight w:val="270"/>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financing obligation, net of current portion</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3"/>
                <w:szCs w:val="23"/>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37,531</w:t>
            </w:r>
          </w:p>
        </w:tc>
        <w:tc>
          <w:tcPr>
            <w:tcW w:w="0" w:type="dxa"/>
            <w:vAlign w:val="bottom"/>
          </w:tcPr>
          <w:p>
            <w:pPr>
              <w:spacing w:after="0"/>
              <w:rPr>
                <w:sz w:val="1"/>
                <w:szCs w:val="1"/>
                <w:color w:val="auto"/>
              </w:rPr>
            </w:pPr>
          </w:p>
        </w:tc>
      </w:tr>
      <w:tr>
        <w:trPr>
          <w:trHeight w:val="270"/>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06"/>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equity (deficit)</w:t>
            </w:r>
            <w:r>
              <w:rPr>
                <w:rFonts w:ascii="Times New Roman" w:cs="Times New Roman" w:eastAsia="Times New Roman" w:hAnsi="Times New Roman"/>
                <w:sz w:val="23"/>
                <w:szCs w:val="23"/>
                <w:color w:val="auto"/>
                <w:vertAlign w:val="superscript"/>
              </w:rPr>
              <w:t>(4)</w:t>
            </w:r>
          </w:p>
        </w:tc>
        <w:tc>
          <w:tcPr>
            <w:tcW w:w="1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(391,656)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(390,811)</w:t>
            </w:r>
          </w:p>
        </w:tc>
        <w:tc>
          <w:tcPr>
            <w:tcW w:w="0" w:type="dxa"/>
            <w:vAlign w:val="bottom"/>
          </w:tcPr>
          <w:p>
            <w:pPr>
              <w:spacing w:after="0"/>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195" w:lineRule="exact"/>
        <w:rPr>
          <w:sz w:val="20"/>
          <w:szCs w:val="20"/>
          <w:color w:val="auto"/>
        </w:rPr>
      </w:pPr>
    </w:p>
    <w:p>
      <w:pPr>
        <w:ind w:left="300" w:hanging="292"/>
        <w:spacing w:after="0"/>
        <w:tabs>
          <w:tab w:leader="none" w:pos="30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derecognition of non-Company owned property that was capitalized under previously existing built-to-suit accounting policies.</w:t>
      </w:r>
    </w:p>
    <w:p>
      <w:pPr>
        <w:spacing w:after="0" w:line="9" w:lineRule="exact"/>
        <w:rPr>
          <w:rFonts w:ascii="Times New Roman" w:cs="Times New Roman" w:eastAsia="Times New Roman" w:hAnsi="Times New Roman"/>
          <w:sz w:val="12"/>
          <w:szCs w:val="12"/>
          <w:color w:val="auto"/>
        </w:rPr>
      </w:pPr>
    </w:p>
    <w:p>
      <w:pPr>
        <w:ind w:left="300" w:hanging="292"/>
        <w:spacing w:after="0"/>
        <w:tabs>
          <w:tab w:leader="none" w:pos="30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recognition of operating lease ROU assets and corresponding current and non-current lease liabilities.</w:t>
      </w:r>
    </w:p>
    <w:p>
      <w:pPr>
        <w:ind w:left="260" w:hanging="252"/>
        <w:spacing w:after="0"/>
        <w:tabs>
          <w:tab w:leader="none" w:pos="26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reclassification of deferred rent to operating lease ROU assets upon adoption of ASC 842.</w:t>
      </w:r>
    </w:p>
    <w:p>
      <w:pPr>
        <w:spacing w:after="0" w:line="7" w:lineRule="exact"/>
        <w:rPr>
          <w:rFonts w:ascii="Times New Roman" w:cs="Times New Roman" w:eastAsia="Times New Roman" w:hAnsi="Times New Roman"/>
          <w:sz w:val="12"/>
          <w:szCs w:val="12"/>
          <w:color w:val="auto"/>
        </w:rPr>
      </w:pPr>
    </w:p>
    <w:p>
      <w:pPr>
        <w:ind w:left="260" w:hanging="252"/>
        <w:spacing w:after="0"/>
        <w:tabs>
          <w:tab w:leader="none" w:pos="26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decrease to the beginning fiscal 2022 accumulated deficit related to the adoption of ASC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302"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2022</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2022</w:t>
            </w:r>
          </w:p>
        </w:tc>
        <w:tc>
          <w:tcPr>
            <w:tcW w:w="0" w:type="dxa"/>
            <w:vAlign w:val="bottom"/>
          </w:tcPr>
          <w:p>
            <w:pPr>
              <w:spacing w:after="0"/>
              <w:rPr>
                <w:sz w:val="1"/>
                <w:szCs w:val="1"/>
                <w:color w:val="auto"/>
              </w:rPr>
            </w:pPr>
          </w:p>
        </w:tc>
      </w:tr>
      <w:tr>
        <w:trPr>
          <w:trHeight w:val="27"/>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3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740" w:type="dxa"/>
            <w:vAlign w:val="bottom"/>
            <w:vMerge w:val="continue"/>
          </w:tcPr>
          <w:p>
            <w:pPr>
              <w:spacing w:after="0"/>
              <w:rPr>
                <w:sz w:val="19"/>
                <w:szCs w:val="19"/>
                <w:color w:val="auto"/>
              </w:rPr>
            </w:pPr>
          </w:p>
        </w:tc>
        <w:tc>
          <w:tcPr>
            <w:tcW w:w="3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3720" w:type="dxa"/>
            <w:vAlign w:val="bottom"/>
          </w:tcPr>
          <w:p>
            <w:pPr>
              <w:jc w:val="right"/>
              <w:ind w:right="35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306"/>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r>
              <w:rPr>
                <w:rFonts w:ascii="Times New Roman" w:cs="Times New Roman" w:eastAsia="Times New Roman" w:hAnsi="Times New Roman"/>
                <w:sz w:val="23"/>
                <w:szCs w:val="23"/>
                <w:color w:val="auto"/>
                <w:vertAlign w:val="superscript"/>
              </w:rPr>
              <w:t>(1)</w:t>
            </w:r>
          </w:p>
        </w:tc>
        <w:tc>
          <w:tcPr>
            <w:tcW w:w="37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3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expense</w:t>
            </w:r>
            <w:r>
              <w:rPr>
                <w:rFonts w:ascii="Times New Roman" w:cs="Times New Roman" w:eastAsia="Times New Roman" w:hAnsi="Times New Roman"/>
                <w:sz w:val="23"/>
                <w:szCs w:val="23"/>
                <w:color w:val="auto"/>
                <w:vertAlign w:val="superscript"/>
              </w:rPr>
              <w:t>(2)</w:t>
            </w:r>
          </w:p>
        </w:tc>
        <w:tc>
          <w:tcPr>
            <w:tcW w:w="37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1,784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7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expense, net</w:t>
            </w:r>
          </w:p>
        </w:tc>
        <w:tc>
          <w:tcPr>
            <w:tcW w:w="3720" w:type="dxa"/>
            <w:vAlign w:val="bottom"/>
            <w:tcBorders>
              <w:bottom w:val="single" w:sz="8" w:color="auto"/>
            </w:tcBorders>
          </w:tcPr>
          <w:p>
            <w:pPr>
              <w:jc w:val="right"/>
              <w:ind w:right="35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1,375</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95" w:lineRule="exact"/>
        <w:rPr>
          <w:sz w:val="20"/>
          <w:szCs w:val="20"/>
          <w:color w:val="auto"/>
        </w:rPr>
      </w:pPr>
    </w:p>
    <w:p>
      <w:pPr>
        <w:ind w:left="660" w:right="160" w:hanging="652"/>
        <w:spacing w:after="0" w:line="256" w:lineRule="auto"/>
        <w:tabs>
          <w:tab w:leader="none" w:pos="294"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expense on the Company's build-to-suit lease was previously included in interest and other income (expense), net on the condensed consolidated statements of comprehensive loss and with the adoption of ASC 842 it is now included in cost of revenue, along with the operating lease expense, on the condensed consolidated statements of comprehensive loss.</w:t>
      </w:r>
    </w:p>
    <w:p>
      <w:pPr>
        <w:spacing w:after="0" w:line="1" w:lineRule="exact"/>
        <w:rPr>
          <w:rFonts w:ascii="Times New Roman" w:cs="Times New Roman" w:eastAsia="Times New Roman" w:hAnsi="Times New Roman"/>
          <w:sz w:val="12"/>
          <w:szCs w:val="12"/>
          <w:color w:val="auto"/>
        </w:rPr>
      </w:pPr>
    </w:p>
    <w:p>
      <w:pPr>
        <w:ind w:left="300" w:hanging="292"/>
        <w:spacing w:after="0"/>
        <w:tabs>
          <w:tab w:leader="none" w:pos="30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straight-line lease expense of operating leases, inclusive of amortization of ROU assets and the interest component of operating lease liabilities.</w:t>
      </w:r>
    </w:p>
    <w:p>
      <w:pPr>
        <w:spacing w:after="0" w:line="285"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Based on the nature of the ROU assets, amortization of finance leases and amortization of operating ROU assets, operating lease expense and other lease expense are recorded within either cost of revenue or selling, general and administrative expenses and interest on finance lease liabilities is recorded within interest and other income (expense) in the condensed consolidated statements of comprehensive loss.</w:t>
      </w:r>
    </w:p>
    <w:p>
      <w:pPr>
        <w:spacing w:after="0" w:line="20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amount of lease assets and lease liabilities included in the Company’s condensed consolidated balance sheets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 Line Item</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assets</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0"/>
        </w:trPr>
        <w:tc>
          <w:tcPr>
            <w:tcW w:w="4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4960" w:type="dxa"/>
            <w:vAlign w:val="bottom"/>
          </w:tcPr>
          <w:p>
            <w:pPr>
              <w:spacing w:after="0"/>
              <w:rPr>
                <w:sz w:val="22"/>
                <w:szCs w:val="22"/>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33,169</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0"/>
        </w:trPr>
        <w:tc>
          <w:tcPr>
            <w:tcW w:w="4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7,486</w:t>
            </w:r>
          </w:p>
        </w:tc>
        <w:tc>
          <w:tcPr>
            <w:tcW w:w="0" w:type="dxa"/>
            <w:vAlign w:val="bottom"/>
          </w:tcPr>
          <w:p>
            <w:pPr>
              <w:spacing w:after="0"/>
              <w:rPr>
                <w:sz w:val="1"/>
                <w:szCs w:val="1"/>
                <w:color w:val="auto"/>
              </w:rPr>
            </w:pPr>
          </w:p>
        </w:tc>
      </w:tr>
      <w:tr>
        <w:trPr>
          <w:trHeight w:val="27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0"/>
        </w:trPr>
        <w:tc>
          <w:tcPr>
            <w:tcW w:w="4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4960" w:type="dxa"/>
            <w:vAlign w:val="bottom"/>
          </w:tcPr>
          <w:p>
            <w:pPr>
              <w:spacing w:after="0"/>
              <w:rPr>
                <w:sz w:val="22"/>
                <w:szCs w:val="22"/>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41,353</w:t>
            </w: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ind w:left="660"/>
              <w:spacing w:after="0"/>
              <w:rPr>
                <w:sz w:val="20"/>
                <w:szCs w:val="20"/>
                <w:color w:val="auto"/>
              </w:rPr>
            </w:pPr>
            <w:r>
              <w:rPr>
                <w:rFonts w:ascii="Times New Roman" w:cs="Times New Roman" w:eastAsia="Times New Roman" w:hAnsi="Times New Roman"/>
                <w:sz w:val="18"/>
                <w:szCs w:val="18"/>
                <w:color w:val="auto"/>
              </w:rPr>
              <w:t>Supplemental information related to the Company’s leases for the six months ended June 30, 2022 was as follows:</w:t>
            </w: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92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4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0"/>
        </w:trPr>
        <w:tc>
          <w:tcPr>
            <w:tcW w:w="4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4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4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0" w:type="dxa"/>
            <w:vAlign w:val="bottom"/>
          </w:tcPr>
          <w:p>
            <w:pPr>
              <w:spacing w:after="0"/>
              <w:rPr>
                <w:sz w:val="1"/>
                <w:szCs w:val="1"/>
                <w:color w:val="auto"/>
              </w:rPr>
            </w:pPr>
          </w:p>
        </w:tc>
      </w:tr>
      <w:tr>
        <w:trPr>
          <w:trHeight w:val="270"/>
        </w:trPr>
        <w:tc>
          <w:tcPr>
            <w:tcW w:w="4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70"/>
        </w:trPr>
        <w:tc>
          <w:tcPr>
            <w:tcW w:w="9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 (in thousands)</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4960" w:type="dxa"/>
            <w:vAlign w:val="bottom"/>
          </w:tcPr>
          <w:p>
            <w:pPr>
              <w:spacing w:after="0"/>
              <w:rPr>
                <w:sz w:val="23"/>
                <w:szCs w:val="23"/>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4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4960" w:type="dxa"/>
            <w:vAlign w:val="bottom"/>
          </w:tcPr>
          <w:p>
            <w:pPr>
              <w:spacing w:after="0"/>
              <w:rPr>
                <w:sz w:val="23"/>
                <w:szCs w:val="23"/>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3,329</w:t>
            </w:r>
          </w:p>
        </w:tc>
        <w:tc>
          <w:tcPr>
            <w:tcW w:w="0" w:type="dxa"/>
            <w:vAlign w:val="bottom"/>
          </w:tcPr>
          <w:p>
            <w:pPr>
              <w:spacing w:after="0"/>
              <w:rPr>
                <w:sz w:val="1"/>
                <w:szCs w:val="1"/>
                <w:color w:val="auto"/>
              </w:rPr>
            </w:pPr>
          </w:p>
        </w:tc>
      </w:tr>
      <w:tr>
        <w:trPr>
          <w:trHeight w:val="270"/>
        </w:trPr>
        <w:tc>
          <w:tcPr>
            <w:tcW w:w="4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Finance cash flows used in finance leases</w:t>
            </w:r>
          </w:p>
        </w:tc>
        <w:tc>
          <w:tcPr>
            <w:tcW w:w="4960" w:type="dxa"/>
            <w:vAlign w:val="bottom"/>
          </w:tcPr>
          <w:p>
            <w:pPr>
              <w:spacing w:after="0"/>
              <w:rPr>
                <w:sz w:val="23"/>
                <w:szCs w:val="23"/>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have any non-cash ROU assets obtained in exchange for lease liabilities during the six months ended June 30, 2022 for either finance or operating leases.</w:t>
      </w:r>
    </w:p>
    <w:p>
      <w:pPr>
        <w:sectPr>
          <w:pgSz w:w="11900" w:h="16838" w:orient="portrait"/>
          <w:cols w:equalWidth="0" w:num="1">
            <w:col w:w="11240"/>
          </w:cols>
          <w:pgMar w:left="320" w:top="769" w:right="339" w:bottom="11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104" w:gutter="0" w:footer="0" w:header="0"/>
          <w:type w:val="continuous"/>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Future minimum lease payments required under operating and finance leases as of June 30, 2022, were as follows (in thousands):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300" w:type="dxa"/>
            <w:vAlign w:val="bottom"/>
          </w:tcPr>
          <w:p>
            <w:pPr>
              <w:spacing w:after="0"/>
              <w:rPr>
                <w:sz w:val="20"/>
                <w:szCs w:val="20"/>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Finance Leases</w:t>
            </w:r>
          </w:p>
        </w:tc>
      </w:tr>
      <w:tr>
        <w:trPr>
          <w:trHeight w:val="27"/>
        </w:trPr>
        <w:tc>
          <w:tcPr>
            <w:tcW w:w="83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Remaining 2022</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minimum lease payments</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3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41,210</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
        </w:trPr>
        <w:tc>
          <w:tcPr>
            <w:tcW w:w="8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2021, the future minimum rental payments under noncancelable leases with offsetting sublease revenue are as follows:</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Build-to-Suit</w:t>
            </w:r>
          </w:p>
        </w:tc>
        <w:tc>
          <w:tcPr>
            <w:tcW w:w="26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0" w:type="dxa"/>
            <w:vAlign w:val="bottom"/>
          </w:tcPr>
          <w:p>
            <w:pPr>
              <w:spacing w:after="0"/>
              <w:rPr>
                <w:sz w:val="1"/>
                <w:szCs w:val="1"/>
                <w:color w:val="auto"/>
              </w:rPr>
            </w:pPr>
          </w:p>
        </w:tc>
      </w:tr>
      <w:tr>
        <w:trPr>
          <w:trHeight w:val="238"/>
        </w:trPr>
        <w:tc>
          <w:tcPr>
            <w:tcW w:w="4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2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Subleases</w:t>
            </w:r>
          </w:p>
        </w:tc>
        <w:tc>
          <w:tcPr>
            <w:tcW w:w="16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26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7"/>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8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minimum lease payments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(10,647)</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16,845</w:t>
            </w:r>
          </w:p>
        </w:tc>
        <w:tc>
          <w:tcPr>
            <w:tcW w:w="8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43"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18"/>
          <w:szCs w:val="18"/>
          <w:color w:val="auto"/>
        </w:rPr>
        <w:t>On August 10, 2022, Catrice Sida and Kris Yerby filed a putative class action complaint in the U.S. District Court for the Northern District of California alleging violations of California’s Unfair Competition Law, False Advertising Law, Consumers Legal Remedies Act, breach of warranty, and unjust enrichment related to plant-based claims on certain of the Company’s wipes products and seeking declaratory relief, injunctive relief, monetary damages, punitive damages and statutory penalties, and attorneys’ fees and costs. The Company believes this complaint is without merit and intends to vigorously defend itself in this matter. The matter is in the preliminary stages of litigation and its outcome is uncertain at this time. Therefore, the Company cannot estimate the probability of loss or make an estimate of the range of loss in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2021 (the “Annual Report”), filed with the Securities and Exchange Commission (“SEC”) on March 28, 2022.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Honest Company, Inc. (“Honest” and, together with its consolidated subsidiaries, the “Company,” “we,” “us” and “our”) is a digitally-native, mission-driven brand focused on leading the clean lifestyle movement, creating a community for conscious consumers and seeking to disrupt multiple consumer product categories. Our commitment to our core values, continual innovation and engaging our community has differentiated and elevated our brand and our products. Since our launch in 2012, we have been dedicated to developing clean, sustainable, effective and thoughtfully-designed products. By doing so with transparency, we have cultivated deep trust around what matters most to our consumers: their health, their families and their homes. We are an omnichannel brand, ensuring our products are available wherever our consumers shop. Our differentiated platform positions us for continued growth through our trusted brand, award-winning multi-category product offerings, deep digital-first connection with consumers and omnichannel accessibility.</w:t>
      </w:r>
    </w:p>
    <w:p>
      <w:pPr>
        <w:spacing w:after="0" w:line="21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integrated multi-category product architecture is intentionally designed to serve our consumers every day, at every age and through every life stage, no matter where they are on their journey. Our three product categories are Diapers and Wipes, Skin and Personal Care, and Household and Wellness, which represented 66%, 30%, and 4%, respectively, of our revenue for the three months ended June 30, 2022, compared to 64%, 32%, and 4%, respectively, of our revenue for the three months ended June 30, 2021, and 65%, 30%, and 5%, respectively, of our revenue for the six months ended June 30, 2022, compared to 63%, 32%, and 5%, respectively, of our revenue for the six months ended June 30, 2021. We refer to Diapers and Wipes and Skin and Personal Care as our “core” product categories. At the center of our product ecosystem are our diapers, which are a strategic consumer acquisition tool that acts as an entry point for our portfolio, as new parents often go on to purchase products from our other categories for their everyday family needs. Our integrated multi-category product architecture is designed to drive loyalty, increase our consumer wallet share and generate attractive consumer lifetime value.</w:t>
      </w:r>
    </w:p>
    <w:p>
      <w:pPr>
        <w:spacing w:after="0" w:line="18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consumers are modern, aspirational, conscious and style-forward and that they seek out high quality, effective and thoughtfully-designed products. We believe that they are passionate about living a conscious life and are enthusiastic ambassadors for brands they trust. As purpose-driven consumers, they transcend any one demographic, spanning gender, age, geography, ethnicity and household income. Honest consumers are often young, mobile-centric and digitally-inclined. We build relationships with these consumers through a disruptive digital marketing strategy that engages them with “snackable” digital content (short-form, easily digestible content), immerses them in our brand values, and inspires them to join the Honest community. Our direct connection with our community enables us to understand what consumers’ needs are and inspires our product innovation pipeline, generating a significant competitive advantage over more traditional consumer packaged goods, or CPG, peers.</w:t>
      </w:r>
    </w:p>
    <w:p>
      <w:pPr>
        <w:spacing w:after="0" w:line="20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Our omnichannel approach seeks to meet consumers wherever they want to shop, balancing deep consumer connection with broad convenience and accessibility. Since our launch, we have built a well-integrated omnichannel presence by expanding our retail accessibility across both Digital and Retail channels, including the launch of strategic partnerships with Costco, Target, Amazon and Walmart in 2013, 2014, 2017 and 2022, respectively. For the three months ended June 30, 2022, we generated 48% and 52% of our revenue from our Digital and Retail channels, respectively, compared to 47% and 53%, respectively, for the three months ended June 30, 2021. For the six months ended June 30, 2022, we generated 49% and 51% of our revenue from our Digital and Retail channels, respectively, compared to 50% and 50%, respectively, for the six months ended June 30, 2021. We maintain direct relationships with our consumers via our flagship digital platform, Honest.com, which allows us to influence brand experience and better understand consumer preferences and behavior. We increase accessibility of our products to more consumers through both the third-party pureplay ecommerce sites that, with Honest.com, comprise our Digital channel, and our Retail channel, which includes leading retailers and their websites. As of June 30, 2022, our products can be found in approximately 45,000 retail locations across the United States, Canada and Europe. Our integrated omnichannel presence provides meaningful benefits to our consumers which we believe is not easily replicated by our competitors. This distinctive business model has allowed us to efficiently scale our business while remaining agnostic as to the channel where consumers purchase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5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On May 7, 2021, we completed our initial public offering ("IPO") of 25,807,000 shares of our common stock at a stock price of $16.00 per share, resulting in aggregate net proceeds to us of approximately $91.0 million, after deducting the underwriting discount and commissions of $6.7 million and offering expenses of $5.5 million. We sold 6,451,613 shares and certain existing stockholders sold an aggregate of 19,355,387 shares. We granted the underwriters an option for a period of 30 days to purchase up to an additional 3,871,050 shares of common stock from the selling stockholders at $16.00 per share less the underwriting discounts and commissions. In May 2021, the underwriters fully exercised the option to purchase these additional shares from the selling stockholders. We did not receive any proceeds from the sale of shares of our common stock by the selling stockholders.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growth of our business and our future success are dependent on many factors. While each of these factors presents significant opportunities for us, they also pose important challenges that we must successfully address to enable us to sustain the growth of our business and improve our operations while staying true to our mission, including those discussed below and in the section of this Quarterly Report on Form 10-Q titled “Risk Factors.”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Grow Our Brand Awareness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brand is integral to the growth of our business and is essential to our ability to engage and stay connected with the growing clean lifestyle consumer. Honest is still unknown to many consumers, with unaided brand awareness of 29% among diaper buyers according to our consumer research conducted in January 2022. In order to increase share of wallet of existing conscious consumers and to attract new consumers, our brand has to maintain its trustworthiness and authenticity. Our ability to attract new consumers will depend, among other things, on our ability to successfully produce products that are free of defects and communicate the value of those products as clean, sustainable and effective, the efficacy of our marketing efforts and the offerings of our competitors. Beyond preserving the integrity of our brand, our performance will depend on our ability to augment our reach and increase the number of consumers aware of Honest and our product portfolio. Given higher costs of digital marketing and increased retail distribution, we have and expect to continue to shift the focus of our marketing spend towards supporting retail marketing programs and to make changes in our domestic and global marketing initiatives to increase brand awareness. We believe our brand strength will enable us to continue to expand across categories and channels, allowing us to deepen relationships with consumers and expand our access to global markets. Our performance depends significantly on factors that may affect the level and pattern of consumer spending in the product categories in which we operate.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Innovation</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Research, development and innovation are core elements underpinning our growth strategy. Through our in-house research and development laboratories, we are able to access the latest advancements in clean ingredients and continue to innovate in the clean conscious lifestyle space. Based in Los Angeles, California, our research and development team, including chemists and in-house toxicologists, develops innovative clean products based on the latest green technology. At Honest, product innovation never stops. The improvement of existing products and the introduction of new products have been, and continue to be, integral to our growth. We have made significant investments in our product development capabilities and plan to continue to do so in the future. We believe our rigorous approach to product innovation has helped redefine and grow the clean and natural product categories in which we operate. Our continued focus on research and development will be central to attracting and retaining consumers in the future. Our ability to successfully develop, market and sell new products will depend on a variety of factors, including our continued investment in innovation, integrated business planning processes and capabilities.</w:t>
      </w:r>
    </w:p>
    <w:p>
      <w:pPr>
        <w:spacing w:after="0" w:line="21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use connectivity to our community of consumers to provide lifestyle insights that power innovation across categories. We use innovation to support our growth objectives across our portfolio, as highlighted in the three core pillars of our Innovation Framework: that we bring product innovation that 1) feeds and nurtures our core values, 2) expands within our existing product categories, and 3) grows into new potential product categories adjacent to existing categories that fit with our value proposition to the consumer.</w:t>
      </w:r>
    </w:p>
    <w:p>
      <w:pPr>
        <w:spacing w:after="0" w:line="20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continue to innovate in each of our product categories in areas such as breakthrough new product formulations, innovative packaging, costovation (defined below) and marketing strategy, with a focus on driving “big bets” across potential product adjacencies where we have: 1) permission to play with consumers, 2) relevant domain expertise, and 3) the opportunity to expand into more places within an existing Honest home. We are also focused on building a portfolio of products in complementary categories through our Innovation Strategy and the momentum created by our Digital Strategy. We are building an Honest community with the goal of creating a more holistic clean, conscious home for consumers and customers alike. We strive for continuous improvement in our existing products’ safety, sustainability, efficacy and design profile while achieving better performance often at lower cost, which we refer to as costovation.</w:t>
      </w:r>
    </w:p>
    <w:p>
      <w:pPr>
        <w:sectPr>
          <w:pgSz w:w="11900" w:h="16838" w:orient="portrait"/>
          <w:cols w:equalWidth="0" w:num="1">
            <w:col w:w="11220"/>
          </w:cols>
          <w:pgMar w:left="320" w:top="98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Product Category Growth</w:t>
      </w:r>
    </w:p>
    <w:p>
      <w:pPr>
        <w:spacing w:after="0" w:line="25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Our product mix is a driver of our financial performance given our focus on accretive product launches and innovation to increase product margins. Even though our growth strategy aims to boost sales across all categories, we intend to prioritize growth in Skin and Personal Care given its attractive margin characteristics and leverage our brand equity and consumer insights to extend into new adjacent product categories. Since we launched our Innovation Strategy, we have enhanced our product portfolio by strategically discontinuing certain products and making calculated extensions within our three product categories. These product changes have contributed to our revenue and margin growth.</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Execution of Omnichannel Strategy</w:t>
      </w:r>
    </w:p>
    <w:p>
      <w:pPr>
        <w:spacing w:after="0" w:line="256"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The continued execution of our omnichannel strategy impacts our financial performance. We intend to continue leveraging our marketing strategy to drive increased consumer traffic to our flagship digital platform, Honest.com, as it is a valuable tool for creating direct connections with our consumers, influencing brand experience and understanding consumer preference and behavior. Our partnerships with leading third-party retail platforms and national retailers have broadened our consumer reach, raised our brand awareness and enhanced our margins through operating leverage. We will continue to pursue partnerships with a wide variety of retailers, including online retailers, big-box retailers, grocery stores, drugstores and specialty retailers. Our ability to execute this strategy will depend on a number of factors, such as competitive dynamics and retailers’ satisfaction with the sales and profitability of our products, channel shifts of their customers, and their own supply chain, order timing, and inventory needs, which may fluctuate from period to period.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Marketing Efficienc</w:t>
      </w:r>
      <w:r>
        <w:rPr>
          <w:rFonts w:ascii="Times New Roman" w:cs="Times New Roman" w:eastAsia="Times New Roman" w:hAnsi="Times New Roman"/>
          <w:sz w:val="18"/>
          <w:szCs w:val="18"/>
          <w:b w:val="1"/>
          <w:bCs w:val="1"/>
          <w:color w:val="auto"/>
        </w:rPr>
        <w:t>y</w:t>
      </w:r>
    </w:p>
    <w:p>
      <w:pPr>
        <w:spacing w:after="0" w:line="25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To grow our business, we intend to continue to improve our operational and marketing efficiency, which includes attracting new consumers, increasing community engagement and improving fulfillment and distribution operations. We invest significant resources in marketing and content generation, use a variety of brand and performance marketing channels and work continuously to improve brand exposure at our retail partners to acquire new consumers. It is important to maintain reasonable costs for these marketing efforts relative to the revenue we expect to derive from our consumers. We leverage our proprietary Honest Omni-Analytics to generate valuable consumer insights that guide our omnichannel strategy and inform our marketing spend optimization. Our future success depends in part on our ability to effectively attract consumers on a cost-efficient basis and achieve efficiencies in our operations.</w:t>
      </w:r>
    </w:p>
    <w:p>
      <w:pPr>
        <w:spacing w:after="0" w:line="20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Our paid advertising includes search engine marketing, display, paid social media and product placement and traditional advertising, such as direct mail, television, radio and magazine advertising. Paid advertising costs significantly increased industry-wide in 2021, which negatively impacted our ability to cost-effectively drive traffic to Honest.com and contributed to the decline in Digital revenue in 2021 and for the six months ended June 30, 2022. We expect these elevated costs in paid advertising to continue to impact marketing efficiencies, costs and revenue in our Digital channel for the remainder of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Overall Macro Trends</w:t>
      </w:r>
    </w:p>
    <w:p>
      <w:pPr>
        <w:spacing w:after="0" w:line="256"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We have strategically positioned ourselves to benefit from several macro trends related to changes in consumer behavior. We believe consumers’ increasing interest in a conscious lifestyle has contributed to higher demand for our products. Further, the rise in digital shopping has complemented our flagship digital platform, Honest.com, our presence with third-party ecommerce players and our Retail partners’ websites. During the three and six months ended June 30, 2022, we continued to see our retail consumption growth higher than our digital consumption growth as more consumers chose to return to in-store shopping. Changes in macro-level consumer spending trends, including as a result of the COVID-19 pandemic or broader macroeconomic conditions, have resulted and could in the future result in fluctuations in our operating results.</w:t>
      </w:r>
    </w:p>
    <w:p>
      <w:pPr>
        <w:spacing w:after="0" w:line="207"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18"/>
          <w:szCs w:val="18"/>
          <w:color w:val="auto"/>
        </w:rPr>
        <w:t>The COVID-19 pandemic caused general business disruption worldwide beginning in January 2020. The full extent to which the COVID-19 pandemic will directly or indirectly impact our cash flow, business, financial condition, results of operations and prospects will depend on future developments that are uncertain.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Operations</w:t>
      </w:r>
    </w:p>
    <w:p>
      <w:pPr>
        <w:spacing w:after="0" w:line="25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COVID-19 pandemic, our headquarters were temporarily closed but have since reopened in a hybrid capacity. During the pandemic we implemented travel restrictions and social distancing measures, including replacing many in-person meetings with virtual interactions, as well as other precautions for the safety of our employees, many of which we have continued into 2022. These actions represented a significant change in how we operate our business, but we believe that we successfully navigated this transition. We will continue to take actions as may be required or recommended by government or health authorities or as we determine are in the best interests of our employees and business partners in light of the pandemic.</w:t>
      </w:r>
    </w:p>
    <w:p>
      <w:pPr>
        <w:sectPr>
          <w:pgSz w:w="11900" w:h="16838" w:orient="portrait"/>
          <w:cols w:equalWidth="0" w:num="1">
            <w:col w:w="11220"/>
          </w:cols>
          <w:pgMar w:left="320" w:top="9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type w:val="continuous"/>
        </w:sectPr>
      </w:pPr>
    </w:p>
    <w:bookmarkStart w:id="27" w:name="page28"/>
    <w:bookmarkEnd w:id="27"/>
    <w:p>
      <w:pPr>
        <w:ind w:right="100" w:firstLine="648"/>
        <w:spacing w:after="0" w:line="274" w:lineRule="auto"/>
        <w:rPr>
          <w:sz w:val="20"/>
          <w:szCs w:val="20"/>
          <w:color w:val="auto"/>
        </w:rPr>
      </w:pPr>
      <w:r>
        <w:rPr>
          <w:rFonts w:ascii="Times New Roman" w:cs="Times New Roman" w:eastAsia="Times New Roman" w:hAnsi="Times New Roman"/>
          <w:sz w:val="17"/>
          <w:szCs w:val="17"/>
          <w:color w:val="auto"/>
        </w:rPr>
        <w:t>The operations of our retail partners, manufacturers and suppliers have also been impacted by the COVID-19 pandemic. While the duration and extent of the COVID-19 pandemic depends on future developments that cannot be accurately predicted at this time, it has already had an adverse effect on the global economy and the ultimate societal and economic impact of the COVID-19 pandemic remains unknown. In particular, the conditions caused by this pandemic may negatively impact collections of accounts receivable and reduce expected spending from new consumers, all of which could adversely affect our business, financial condition, results of operations and prospects in the future. Prolonged unfavorable economic conditions, including as a result of COVID-19 or similar outbreaks, and any resulting recession or slowed economic growth, may have an adverse effect on our sales and profitability.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Disruptions</w:t>
      </w:r>
    </w:p>
    <w:p>
      <w:pPr>
        <w:spacing w:after="0" w:line="25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have experienced some impacts on our inventory availability and delivery capacity since the COVID-19 outbreak, which to date has not significantly impacted our ability to service our consumers and retail and third-party ecommerce customers; however, the out-of-stock inventory due to supply chain disruptions has been significant on several key items, particularly in our Skin and Personal Care and Diapers and Wipes product categories. In the fourth quarter of 2021, we experienced lower than expected inventory receipts due largely to global supply chain delays, including a delay in receiving shipments from overseas, which we also experienced in the second quarter of 2022. </w:t>
      </w:r>
      <w:r>
        <w:rPr>
          <w:rFonts w:ascii="Times New Roman" w:cs="Times New Roman" w:eastAsia="Times New Roman" w:hAnsi="Times New Roman"/>
          <w:sz w:val="18"/>
          <w:szCs w:val="18"/>
          <w:color w:val="231F20"/>
        </w:rPr>
        <w:t>For example, due to new COVID-19 lockdown restrictions in China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the second quarter of 2022, many of the ports have shut down which has negatively impacted and may in the future negatively impact our ability to timely receive shipments of our products. To the extent that these restrictions remain in place, additional prevention and mitigation measures are implemented in the future, or there is uncertainty about the effectiveness of these or any other measures to contain the spread of COVID-19, there has been and continues to be an adverse impact on global economic conditions and consumer confidence and spending, which has adversely affected our supply chain as well as the demand for our products and has impacted our revenue and ability to service our customer orders. </w:t>
      </w:r>
      <w:r>
        <w:rPr>
          <w:rFonts w:ascii="Times New Roman" w:cs="Times New Roman" w:eastAsia="Times New Roman" w:hAnsi="Times New Roman"/>
          <w:sz w:val="18"/>
          <w:szCs w:val="18"/>
          <w:color w:val="000000"/>
        </w:rPr>
        <w:t>We have taken measures to bolster key aspects of 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supply chain, such as ensuring sufficient inventory to support our continued growth, new distribution and longer lead times. As a result of the COVID-19 pandemic and other macroeconomic trends, we and our distribution partners have experienced some disruptions to the operations of our fulfillment centers, including a nationwide truck driver shortage. For example, during the fourth quarter of 2021, some employees at our warehouse facilities were ill with COVID-19 and/or following quarantine protocols, which coupled with the nationwide truck driver shortage, negatively impacted our and our distribution partner’s ability to fulfill orders in a timely manner and had a negative impact on our results of operations. In addition, an international freight forwarder partner experienced a cyber attack during the three months ended March 31, 2022 resulting in a delay in the shipment and launch of our </w:t>
      </w:r>
      <w:r>
        <w:rPr>
          <w:rFonts w:ascii="Times New Roman" w:cs="Times New Roman" w:eastAsia="Times New Roman" w:hAnsi="Times New Roman"/>
          <w:sz w:val="18"/>
          <w:szCs w:val="18"/>
          <w:i w:val="1"/>
          <w:iCs w:val="1"/>
          <w:color w:val="000000"/>
        </w:rPr>
        <w:t>Beauty Restage</w:t>
      </w:r>
      <w:r>
        <w:rPr>
          <w:rFonts w:ascii="Times New Roman" w:cs="Times New Roman" w:eastAsia="Times New Roman" w:hAnsi="Times New Roman"/>
          <w:sz w:val="18"/>
          <w:szCs w:val="18"/>
          <w:color w:val="000000"/>
        </w:rPr>
        <w:t xml:space="preserve"> products in Europe.</w:t>
      </w:r>
    </w:p>
    <w:p>
      <w:pPr>
        <w:spacing w:after="0" w:line="220"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We continue to work with our existing manufacturing, logistics and other supply chain partners to ensure our ability to service our consumers and retail and third-party ecommerce customers. We have experienced and anticipate continued increases in commodity prices, labor costs, input costs and transportation costs in 2022. For example, some of our contracts with third-party manufacturers have clauses that trigger good faith renegotiation of purchase costs in the case of significant raw material cost escalation. In the fourth quarter of 2021, we were informed by two third-party manufacturers in our Diapers and Wipes and Skin and Personal Care categories that those hurdles had been met. As a result, we negotiated and agreed to higher purchase prices which has negatively impacted our cost of revenue during the three and six months ended June 30, 2022 and will continue to have a negative impact on our results of operations through the rest of 2022. We implemented price increases that took effect in the first half of 2022 and plan to implement additional pricing increases in the future as needed to offset current and future input cost inflation and have pursued productivity initiatives to offset these price increases. We continue to experience significant increasing input cost levels that have and could continue to hamper our ability to drive margin expansion. Customer demand for our products may change based on future price increases.</w:t>
      </w:r>
    </w:p>
    <w:p>
      <w:pPr>
        <w:spacing w:after="0" w:line="213"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231F20"/>
        </w:rPr>
        <w:t>The demand for sustainable packaging and ingredients is outpacing the supply of these raw materials. For example, there is a supplier shortage of various raw materials used in manufacturing and distributing our products, including tree-free paper, post-consumer recycled plastic resin, post-consumer recycled cardboard shipping cartons for our Honest.com shipments and palm kernel oil.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Preferences</w:t>
      </w:r>
    </w:p>
    <w:p>
      <w:pPr>
        <w:spacing w:after="0" w:line="25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during 2020, COVID-19 drove a demand shift towards our Digital channel as consumers shifted to online shopping amid the pandemic. Given our digitally-native brand and strong digital penetration, we believe we benefited from this trend. Additionally, in 2020 we benefited from increasing consumer and customer demand for sanitization and disinfecting products, which drove revenue growth in our Household and Wellness product category. In 2021, we saw a significant decline in consumer demand for sanitization and disinfecting products as consumers returned to pre-COVID routines. In addition, retailers continue to manage heavy inventories of these products in stores and warehouse facilities.</w:t>
      </w:r>
    </w:p>
    <w:p>
      <w:pPr>
        <w:spacing w:after="0" w:line="197"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In 2021, we began to see increased consumer willingness to return to in-store shopping as the economy reopened and more of the population became vaccinated, driving revenue growth within our Retail channel, specifically within our Diapers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8" w:name="page29"/>
    <w:bookmarkEnd w:id="28"/>
    <w:p>
      <w:pPr>
        <w:ind w:right="240"/>
        <w:spacing w:after="0" w:line="266" w:lineRule="auto"/>
        <w:rPr>
          <w:sz w:val="20"/>
          <w:szCs w:val="20"/>
          <w:color w:val="auto"/>
        </w:rPr>
      </w:pPr>
      <w:r>
        <w:rPr>
          <w:rFonts w:ascii="Times New Roman" w:cs="Times New Roman" w:eastAsia="Times New Roman" w:hAnsi="Times New Roman"/>
          <w:sz w:val="18"/>
          <w:szCs w:val="18"/>
          <w:color w:val="auto"/>
        </w:rPr>
        <w:t>Wipes and Skin and Personal Care product categories in 2021. During the three and six months ended June 30, 2022, the mix of revenue across channels was relatively balanced between Retail and Digital.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9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Inventory is reflected at net realizable value which includes a reserve for excess inventory. We estimate reserve requirements based on current and forecasted demand, including the ability to liquidate excess inventory and estimated liquidation value. For example, given the significant decline in consumer demand for sanitizing and disinfecting products, we recorded an inventory write-down of $5.6 million during the year ended December 31, 2021 relating to certain sanitization and disinfecting products as the amount of inventory was significantly in excess of existing and projected demand. Management is implementing various strategies to address this reduction in demand and the related impact on gross margin, including higher markdowns and promotions to clear through inventory, liquidation efforts, focusing on products with highest customer interest and developing new creative advertising to drive demand. There is no guarantee that customer demand will increase in our favor or that we will be able to successfully implement these strategies. Depending on future consumer behavior in relation to changes in the COVID-19 pandemic and related aging of inventory, among other factors, we may incur additional inventory write-downs and customer returns.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generate revenue through the sale of our products through Digital and Retail channels in the following product categories: Diapers and Wipes, Skin and Personal Care, and Household and Wellness. The Digital channel includes direct sales to the consumer through our website and sales to third-party ecommerce customers, who resell our products through their own online platforms. The Retail channel includes sales to traditional brick and mortar retailers and their respective websites, who may also resell our products through their own online platforms. Our revenue is recognized net of allowances for returns, discounts, credits and any taxes collected from consumers.</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2019 we entered into a license agreement with Butterblu, LLC, or Butterblu, pursuant to which we license certain of our trademarks to Butterblu for the manufacture and distribution of certain baby apparel products in exchange for royalties. Butterblu operates and maintains our baby apparel offerings independently through the honestbabyclothing.com website. Our baby apparel offerings and our license agreement with Butterblu are not currently material to our business. For the three and six months ended June 30, 2022, we collected $0.4 million and $0.9 million, respectively, and for the three and six months ended June 30, 2021, we collected $0.2 million and $0.5 million, respectively, in royalty revenue related to our license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Cost of revenue includes the purchase price of merchandise sold to customers, inbound and outbound shipping and handling costs, freight and duties, shipping and packaging supplies, credit card processing fees and warehouse fulfillment costs incurred in operating and staffing warehouses, including rent. Cost of revenue also includes depreciation and amortization for warehouse fulfillment facilities and equipment, allocated overhead and direct and indirect labor for warehouse personnel.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percentage of revenue. Our gross margin may in the future fluctuate from period to period based on a number of factors, including the mix of products we sell, the channel through which we sell our products, the innovation initiatives we undertake in each product category, the promotional environment in the marketplace, manufacturing costs, commodity prices and transportation rates, among other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operating expenses consist of selling, general and administrative, marketing and research and development expenses.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personnel costs, principally for our selling and administrative functions. These include personnel-related expenses, including salaries, bonuses, benefits and stock-based compensation expense. Selling, general and administrative expenses also include technology expenses, professional fees, facility costs, including insurance, utilities and rent relating to our headquarters, third-party product development and marketing costs, depreciation and amortization and overhead costs. We expect our general and administrative expenses to increase in absolute dollars as we continue to grow our business and organizational capabilities. Since our IPO, we have also incurred additional costs for employees and third-party professional fees related to operating as a public company and costs to comply with the rules and</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29" w:name="page30"/>
    <w:bookmarkEnd w:id="29"/>
    <w:p>
      <w:pPr>
        <w:ind w:right="120"/>
        <w:spacing w:after="0" w:line="282" w:lineRule="auto"/>
        <w:rPr>
          <w:sz w:val="20"/>
          <w:szCs w:val="20"/>
          <w:color w:val="auto"/>
        </w:rPr>
      </w:pPr>
      <w:r>
        <w:rPr>
          <w:rFonts w:ascii="Times New Roman" w:cs="Times New Roman" w:eastAsia="Times New Roman" w:hAnsi="Times New Roman"/>
          <w:sz w:val="18"/>
          <w:szCs w:val="18"/>
          <w:color w:val="auto"/>
        </w:rPr>
        <w:t>regulations applicable to companies listed on a national securities exchange, costs related to compliance and reporting obligations, and increased expenses for insurance, investor relations and professional services.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Marketing expenses include costs related to our branding initiatives, retail customer marketing activities, point of purchase displays, targeted online advertising through sponsored search, display advertising, email and influencer marketing campaigns, market research, content production and other public relations and promotional initiatives. Given higher costs in digital marketing and increased retail distribution, we expect to shift the focus of our marketing spend towards supporting retail marketing programs and top of funnel marketing activities. We will continue to invest in marketing initiatives in our core product categories and hero products with key retailers, as well as expand brand awareness, introduce new product innovation across multiple product categories and implement new marketing strategies in the United States and abroad. As we expand our distribution in existing international markets and launch new products, we expect to make marketing investments to build brand awareness, drive trial and set the foundation for future revenue growth in global markets.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43"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expenses for our research and development team. Research and development expenses also include costs incurred for the development of new products, improvement in the quality of existing products and the development and implementation of new technologies to enhance the quality and value of products. This includes the expense related to claims and clinical trials as well as formulation and packaging testing. Research and development expenses also include allocated depreciation and amortization and overhead costs. We expect research and development expenses to increase in absolute dollars as we invest in the enhancement of our product offerings through innovation and the introduction of new adjacent product categories.</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Interest income consists primarily of interest income earned on our short-term investments and our cash and cash equivalents balances. Prior to the adoption of Financial Accounting Standards Board Accounting Standard Update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interest expense consisted primarily of the portion of rent payments recognized as imputed interest expense under build-to-suit accounting associated with our leasing arrangements.</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of our foreign currency exchange gains, losses relating to transactions denominated in currencies other than the U.S. dollar and contingent gains. We expect our foreign currency gains and losses to continue to fluctuate in the future due to changes in both the volume of foreign currency transactions and foreign currency exchange rates.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are subject to federal and state income taxes in the United States. Our annual estimated tax rate differed from the U.S. federal statutory rate of 21% primarily as a result of a valuation allowance against deferred tax assets, stock-based compensation, state taxes, nondeductible executive compensation and other permanent differences. We maintain a full valuation allowance for our federal and state deferred tax assets, including net operating loss carryforwards, as we have concluded that it is not more likely than not that the deferred tax assets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520" w:type="dxa"/>
            <w:vAlign w:val="bottom"/>
            <w:gridSpan w:val="10"/>
          </w:tcPr>
          <w:p>
            <w:pPr>
              <w:jc w:val="right"/>
              <w:ind w:right="140"/>
              <w:spacing w:after="0"/>
              <w:rPr>
                <w:sz w:val="20"/>
                <w:szCs w:val="20"/>
                <w:color w:val="auto"/>
              </w:rPr>
            </w:pPr>
            <w:r>
              <w:rPr>
                <w:rFonts w:ascii="Times New Roman" w:cs="Times New Roman" w:eastAsia="Times New Roman" w:hAnsi="Times New Roman"/>
                <w:sz w:val="18"/>
                <w:szCs w:val="18"/>
                <w:color w:val="auto"/>
              </w:rPr>
              <w:t>The following table sets forth our condensed consolidated statements of operations data for each of the periods indicated:</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80" w:type="dxa"/>
            <w:vAlign w:val="bottom"/>
          </w:tcPr>
          <w:p>
            <w:pPr>
              <w:spacing w:after="0"/>
              <w:rPr>
                <w:sz w:val="24"/>
                <w:szCs w:val="24"/>
                <w:color w:val="auto"/>
              </w:rPr>
            </w:pPr>
          </w:p>
        </w:tc>
        <w:tc>
          <w:tcPr>
            <w:tcW w:w="36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280" w:type="dxa"/>
            <w:vAlign w:val="bottom"/>
          </w:tcPr>
          <w:p>
            <w:pPr>
              <w:spacing w:after="0"/>
              <w:rPr>
                <w:sz w:val="24"/>
                <w:szCs w:val="24"/>
                <w:color w:val="auto"/>
              </w:rPr>
            </w:pPr>
          </w:p>
        </w:tc>
        <w:tc>
          <w:tcPr>
            <w:tcW w:w="32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8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78,493</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74,576</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147,212</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155,607</w:t>
            </w:r>
          </w:p>
        </w:tc>
        <w:tc>
          <w:tcPr>
            <w:tcW w:w="0" w:type="dxa"/>
            <w:vAlign w:val="bottom"/>
          </w:tcPr>
          <w:p>
            <w:pPr>
              <w:spacing w:after="0"/>
              <w:rPr>
                <w:sz w:val="1"/>
                <w:szCs w:val="1"/>
                <w:color w:val="auto"/>
              </w:rPr>
            </w:pPr>
          </w:p>
        </w:tc>
      </w:tr>
      <w:tr>
        <w:trPr>
          <w:trHeight w:val="27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100,284</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55,323</w:t>
            </w:r>
          </w:p>
        </w:tc>
        <w:tc>
          <w:tcPr>
            <w:tcW w:w="0" w:type="dxa"/>
            <w:vAlign w:val="bottom"/>
          </w:tcPr>
          <w:p>
            <w:pPr>
              <w:spacing w:after="0"/>
              <w:rPr>
                <w:sz w:val="1"/>
                <w:szCs w:val="1"/>
                <w:color w:val="auto"/>
              </w:rPr>
            </w:pPr>
          </w:p>
        </w:tc>
      </w:tr>
      <w:tr>
        <w:trPr>
          <w:trHeight w:val="27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46,788</w:t>
            </w: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28,182</w:t>
            </w:r>
          </w:p>
        </w:tc>
        <w:tc>
          <w:tcPr>
            <w:tcW w:w="0" w:type="dxa"/>
            <w:vAlign w:val="bottom"/>
          </w:tcPr>
          <w:p>
            <w:pPr>
              <w:spacing w:after="0"/>
              <w:rPr>
                <w:sz w:val="1"/>
                <w:szCs w:val="1"/>
                <w:color w:val="auto"/>
              </w:rPr>
            </w:pPr>
          </w:p>
        </w:tc>
      </w:tr>
      <w:tr>
        <w:trPr>
          <w:trHeight w:val="29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10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(23,638)</w:t>
            </w:r>
          </w:p>
        </w:tc>
        <w:tc>
          <w:tcPr>
            <w:tcW w:w="0" w:type="dxa"/>
            <w:vAlign w:val="bottom"/>
          </w:tcPr>
          <w:p>
            <w:pPr>
              <w:spacing w:after="0"/>
              <w:rPr>
                <w:sz w:val="1"/>
                <w:szCs w:val="1"/>
                <w:color w:val="auto"/>
              </w:rPr>
            </w:pPr>
          </w:p>
        </w:tc>
      </w:tr>
      <w:tr>
        <w:trPr>
          <w:trHeight w:val="27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(24,474)</w:t>
            </w:r>
          </w:p>
        </w:tc>
        <w:tc>
          <w:tcPr>
            <w:tcW w:w="0" w:type="dxa"/>
            <w:vAlign w:val="bottom"/>
          </w:tcPr>
          <w:p>
            <w:pPr>
              <w:spacing w:after="0"/>
              <w:rPr>
                <w:sz w:val="1"/>
                <w:szCs w:val="1"/>
                <w:color w:val="auto"/>
              </w:rPr>
            </w:pPr>
          </w:p>
        </w:tc>
      </w:tr>
      <w:tr>
        <w:trPr>
          <w:trHeight w:val="27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(24,639)</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w:t>
      </w:r>
    </w:p>
    <w:p>
      <w:pPr>
        <w:spacing w:after="0" w:line="284" w:lineRule="exact"/>
        <w:rPr>
          <w:sz w:val="20"/>
          <w:szCs w:val="20"/>
          <w:color w:val="auto"/>
        </w:rPr>
      </w:pPr>
    </w:p>
    <w:p>
      <w:pPr>
        <w:ind w:left="240" w:hanging="232"/>
        <w:spacing w:after="0"/>
        <w:tabs>
          <w:tab w:leader="none" w:pos="240"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stock-based compensation expense as follows: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36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280" w:type="dxa"/>
            <w:vAlign w:val="bottom"/>
          </w:tcPr>
          <w:p>
            <w:pPr>
              <w:spacing w:after="0"/>
              <w:rPr>
                <w:sz w:val="20"/>
                <w:szCs w:val="20"/>
                <w:color w:val="auto"/>
              </w:rPr>
            </w:pPr>
          </w:p>
        </w:tc>
        <w:tc>
          <w:tcPr>
            <w:tcW w:w="32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0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6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condensed consolidated statements of operations data expressed as a percentage of revenue*: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402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372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39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4"/>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80" w:type="dxa"/>
            <w:vAlign w:val="bottom"/>
            <w:gridSpan w:val="4"/>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(as a percentage of revenue)</w:t>
            </w: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100.0 </w:t>
            </w:r>
            <w:r>
              <w:rPr>
                <w:rFonts w:ascii="Arial" w:cs="Arial" w:eastAsia="Arial" w:hAnsi="Arial"/>
                <w:sz w:val="18"/>
                <w:szCs w:val="18"/>
                <w:color w:val="auto"/>
              </w:rPr>
              <w:t>%</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100.0 </w:t>
            </w: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100.0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6"/>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3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3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3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Marketing</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 %</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(26.9) </w:t>
            </w:r>
            <w:r>
              <w:rPr>
                <w:rFonts w:ascii="Arial" w:cs="Arial" w:eastAsia="Arial" w:hAnsi="Arial"/>
                <w:sz w:val="18"/>
                <w:szCs w:val="18"/>
                <w:color w:val="auto"/>
              </w:rPr>
              <w:t>%</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(16.7) </w:t>
            </w: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(15.8)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33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 Amounts may not sum due to rounding.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Six Months Ended June 30, 2022 and 2021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24"/>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0"/>
        </w:trPr>
        <w:tc>
          <w:tcPr>
            <w:tcW w:w="2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120" w:type="dxa"/>
            <w:vAlign w:val="bottom"/>
            <w:gridSpan w:val="19"/>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80" w:type="dxa"/>
            <w:vAlign w:val="bottom"/>
            <w:gridSpan w:val="17"/>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7"/>
        </w:trPr>
        <w:tc>
          <w:tcPr>
            <w:tcW w:w="2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 change</w:t>
            </w:r>
          </w:p>
        </w:tc>
        <w:tc>
          <w:tcPr>
            <w:tcW w:w="100" w:type="dxa"/>
            <w:vAlign w:val="bottom"/>
          </w:tcPr>
          <w:p>
            <w:pPr>
              <w:spacing w:after="0"/>
              <w:rPr>
                <w:sz w:val="20"/>
                <w:szCs w:val="20"/>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2620" w:type="dxa"/>
            <w:vAlign w:val="bottom"/>
            <w:gridSpan w:val="3"/>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2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w w:val="97"/>
              </w:rPr>
              <w:t>(In thousands, except percentages)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7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Product Category</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70"/>
        </w:trPr>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Diapers and Wipes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51,901</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47,831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4,070</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8.5 %</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95,190</w:t>
            </w:r>
          </w:p>
        </w:tc>
        <w:tc>
          <w:tcPr>
            <w:tcW w:w="20" w:type="dxa"/>
            <w:vAlign w:val="bottom"/>
          </w:tcPr>
          <w:p>
            <w:pPr>
              <w:spacing w:after="0"/>
              <w:rPr>
                <w:sz w:val="23"/>
                <w:szCs w:val="23"/>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97,404</w:t>
            </w:r>
          </w:p>
        </w:tc>
        <w:tc>
          <w:tcPr>
            <w:tcW w:w="80" w:type="dxa"/>
            <w:vAlign w:val="bottom"/>
          </w:tcPr>
          <w:p>
            <w:pPr>
              <w:spacing w:after="0"/>
              <w:rPr>
                <w:sz w:val="23"/>
                <w:szCs w:val="23"/>
                <w:color w:val="auto"/>
              </w:rPr>
            </w:pPr>
          </w:p>
        </w:tc>
        <w:tc>
          <w:tcPr>
            <w:tcW w:w="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70"/>
        </w:trPr>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Skin and Personal Care</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23,275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23,866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(591)</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44,541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(5,570)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70"/>
        </w:trPr>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Household and Wellness</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438</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7,481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7"/>
        </w:trPr>
        <w:tc>
          <w:tcPr>
            <w:tcW w:w="2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63"/>
        </w:trPr>
        <w:tc>
          <w:tcPr>
            <w:tcW w:w="2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78,493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74,576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tcPr>
          <w:p>
            <w:pPr>
              <w:spacing w:after="0"/>
              <w:rPr>
                <w:sz w:val="22"/>
                <w:szCs w:val="22"/>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5.3 %</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147,212</w:t>
            </w:r>
          </w:p>
        </w:tc>
        <w:tc>
          <w:tcPr>
            <w:tcW w:w="20" w:type="dxa"/>
            <w:vAlign w:val="bottom"/>
          </w:tcPr>
          <w:p>
            <w:pPr>
              <w:spacing w:after="0"/>
              <w:rPr>
                <w:sz w:val="22"/>
                <w:szCs w:val="22"/>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155,607</w:t>
            </w:r>
          </w:p>
        </w:tc>
        <w:tc>
          <w:tcPr>
            <w:tcW w:w="80" w:type="dxa"/>
            <w:vAlign w:val="bottom"/>
          </w:tcPr>
          <w:p>
            <w:pPr>
              <w:spacing w:after="0"/>
              <w:rPr>
                <w:sz w:val="22"/>
                <w:szCs w:val="22"/>
                <w:color w:val="auto"/>
              </w:rPr>
            </w:pPr>
          </w:p>
        </w:tc>
        <w:tc>
          <w:tcPr>
            <w:tcW w:w="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(8,395)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0"/>
        </w:trPr>
        <w:tc>
          <w:tcPr>
            <w:tcW w:w="2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01"/>
        </w:trPr>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gridSpan w:val="19"/>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80" w:type="dxa"/>
            <w:vAlign w:val="bottom"/>
            <w:gridSpan w:val="17"/>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7"/>
        </w:trPr>
        <w:tc>
          <w:tcPr>
            <w:tcW w:w="2240" w:type="dxa"/>
            <w:vAlign w:val="bottom"/>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5"/>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5"/>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gridSpan w:val="2"/>
          </w:tcPr>
          <w:p>
            <w:pPr>
              <w:spacing w:after="0"/>
              <w:rPr>
                <w:sz w:val="2"/>
                <w:szCs w:val="2"/>
                <w:color w:val="auto"/>
              </w:rPr>
            </w:pPr>
          </w:p>
        </w:tc>
      </w:tr>
      <w:tr>
        <w:trPr>
          <w:trHeight w:val="236"/>
        </w:trPr>
        <w:tc>
          <w:tcPr>
            <w:tcW w:w="2240" w:type="dxa"/>
            <w:vAlign w:val="bottom"/>
          </w:tcPr>
          <w:p>
            <w:pPr>
              <w:spacing w:after="0"/>
              <w:rPr>
                <w:sz w:val="20"/>
                <w:szCs w:val="20"/>
                <w:color w:val="auto"/>
              </w:rPr>
            </w:pPr>
          </w:p>
        </w:tc>
        <w:tc>
          <w:tcPr>
            <w:tcW w:w="10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4"/>
              </w:rPr>
              <w:t>$ change</w:t>
            </w:r>
          </w:p>
        </w:tc>
        <w:tc>
          <w:tcPr>
            <w:tcW w:w="126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2240" w:type="dxa"/>
            <w:vAlign w:val="bottom"/>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Channel</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70"/>
        </w:trPr>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37,871</w:t>
            </w:r>
          </w:p>
        </w:tc>
        <w:tc>
          <w:tcPr>
            <w:tcW w:w="80" w:type="dxa"/>
            <w:vAlign w:val="bottom"/>
          </w:tcPr>
          <w:p>
            <w:pPr>
              <w:spacing w:after="0"/>
              <w:rPr>
                <w:sz w:val="23"/>
                <w:szCs w:val="23"/>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34,820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8.8 %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77,281</w:t>
            </w:r>
          </w:p>
        </w:tc>
        <w:tc>
          <w:tcPr>
            <w:tcW w:w="80" w:type="dxa"/>
            <w:vAlign w:val="bottom"/>
          </w:tcPr>
          <w:p>
            <w:pPr>
              <w:spacing w:after="0"/>
              <w:rPr>
                <w:sz w:val="23"/>
                <w:szCs w:val="23"/>
                <w:color w:val="auto"/>
              </w:rPr>
            </w:pPr>
          </w:p>
        </w:tc>
        <w:tc>
          <w:tcPr>
            <w:tcW w:w="3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6"/>
              </w:rPr>
              <w:t>(6.7) %</w:t>
            </w:r>
          </w:p>
        </w:tc>
      </w:tr>
      <w:tr>
        <w:trPr>
          <w:trHeight w:val="270"/>
        </w:trPr>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39,756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97"/>
              </w:rPr>
              <w:t>2.2</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75,080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(4.1)</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7"/>
        </w:trPr>
        <w:tc>
          <w:tcPr>
            <w:tcW w:w="2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gridSpan w:val="2"/>
          </w:tcPr>
          <w:p>
            <w:pPr>
              <w:spacing w:after="0"/>
              <w:rPr>
                <w:sz w:val="2"/>
                <w:szCs w:val="2"/>
                <w:color w:val="auto"/>
              </w:rPr>
            </w:pPr>
          </w:p>
        </w:tc>
      </w:tr>
      <w:tr>
        <w:trPr>
          <w:trHeight w:val="263"/>
        </w:trPr>
        <w:tc>
          <w:tcPr>
            <w:tcW w:w="2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78,493</w:t>
            </w:r>
          </w:p>
        </w:tc>
        <w:tc>
          <w:tcPr>
            <w:tcW w:w="80" w:type="dxa"/>
            <w:vAlign w:val="bottom"/>
          </w:tcPr>
          <w:p>
            <w:pPr>
              <w:spacing w:after="0"/>
              <w:rPr>
                <w:sz w:val="22"/>
                <w:szCs w:val="22"/>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74,576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5.3 %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155,607</w:t>
            </w:r>
          </w:p>
        </w:tc>
        <w:tc>
          <w:tcPr>
            <w:tcW w:w="80" w:type="dxa"/>
            <w:vAlign w:val="bottom"/>
          </w:tcPr>
          <w:p>
            <w:pPr>
              <w:spacing w:after="0"/>
              <w:rPr>
                <w:sz w:val="22"/>
                <w:szCs w:val="22"/>
                <w:color w:val="auto"/>
              </w:rPr>
            </w:pPr>
          </w:p>
        </w:tc>
        <w:tc>
          <w:tcPr>
            <w:tcW w:w="3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6"/>
              </w:rPr>
              <w:t>(5.4) %</w:t>
            </w:r>
          </w:p>
        </w:tc>
      </w:tr>
      <w:tr>
        <w:trPr>
          <w:trHeight w:val="20"/>
        </w:trPr>
        <w:tc>
          <w:tcPr>
            <w:tcW w:w="2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06"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Revenue was $78.5 million for the three months ended June 30, 2022, as compared to $74.6 million for the three months ended June 30, 2021. The increase of $3.9 million, or 5.3%, was driven by a $4.1 million and $0.4 million revenue increase in Diapers and Wipes and Household and Wellness products, respectively, partially offset by a revenue decrease of $0.6 million in Skin and Personal Care. The revenue increase in Diapers and Wipes was primarily driven by a $3.2 million increase in wipes revenue due to strong consumption and improved levels of in-stock inventory, distribution gains and demand for larger package sizes and a $0.9 million increase in diaper revenue due to strong consumption in our Retail and Digital channels and growth in sales in our Clean Conscious Diaper. Additionally, a key digital customer had reduced inventory on hand ahead of a national promotional event during the three months ended June 30, 2021 that did not occur during the three months ended June 30, 2022. The revenue increase in Household and Wellness was primarily driven by $0.4 million in liquidation sales on our sanitization and</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2" w:name="page33"/>
    <w:bookmarkEnd w:id="32"/>
    <w:p>
      <w:pPr>
        <w:ind w:right="60"/>
        <w:spacing w:after="0" w:line="242" w:lineRule="auto"/>
        <w:rPr>
          <w:sz w:val="20"/>
          <w:szCs w:val="20"/>
          <w:color w:val="auto"/>
        </w:rPr>
      </w:pPr>
      <w:r>
        <w:rPr>
          <w:rFonts w:ascii="Times New Roman" w:cs="Times New Roman" w:eastAsia="Times New Roman" w:hAnsi="Times New Roman"/>
          <w:sz w:val="18"/>
          <w:szCs w:val="18"/>
          <w:color w:val="auto"/>
        </w:rPr>
        <w:t>disinfecting products, a royalty revenue increase of $0.2 million from our baby clothing through our licensing agreement with Butterblu and the launch of our new wellness supplement line. The Skin and Personal Care revenue decrease was primarily driven by a decrease of $0.9 million in personal care product sales due to a shift in timing of shipments in the second quarter of 2021 to support an annual promotional event with a key club retailer and out-of-stocks, which were most pronounced in the beauty business, offset by a $0.3 million increase in beauty product revenue driven by our hero products and new innovation.</w:t>
      </w:r>
    </w:p>
    <w:p>
      <w:pPr>
        <w:spacing w:after="0" w:line="21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 xml:space="preserve">Revenue was $147.2 million for the six months ended June 30, 2022, as compared to $155.6 million for the six months ended June 30, 2021. The decrease of $8.4 million, or 5.4%, was primarily due to a $5.6 million decrease in revenue from Skin and Personal Care products related to the liquidation of legacy beauty products in the prior year, a $2.2 million decrease in revenue from Diapers and Wipes and a $0.6 million decrease in revenue from Household and Wellness products. The revenue decrease from Skin and Personal Care was primarily driven by $3.4 million in liquidation sales in advance of our </w:t>
      </w:r>
      <w:r>
        <w:rPr>
          <w:rFonts w:ascii="Times New Roman" w:cs="Times New Roman" w:eastAsia="Times New Roman" w:hAnsi="Times New Roman"/>
          <w:sz w:val="18"/>
          <w:szCs w:val="18"/>
          <w:i w:val="1"/>
          <w:iCs w:val="1"/>
          <w:color w:val="auto"/>
        </w:rPr>
        <w:t>Beauty Restage</w:t>
      </w:r>
      <w:r>
        <w:rPr>
          <w:rFonts w:ascii="Times New Roman" w:cs="Times New Roman" w:eastAsia="Times New Roman" w:hAnsi="Times New Roman"/>
          <w:sz w:val="18"/>
          <w:szCs w:val="18"/>
          <w:color w:val="auto"/>
        </w:rPr>
        <w:t xml:space="preserve"> to clear out legacy inventory during the six months ended June 30, 2021 that did not occur during the six months ended June 30, 2022, a shift in timing of shipments to support an annual promotional event with a key club retailer and out-of-stocks, which were most pronounced in the beauty business. The revenue decrease in Diapers and Wipes was primarily driven by a $4.0 million decrease in diaper revenue primarily due to lower traffic and decreased revenue in our Digital channel as the price of digital marketing escalated and impacted our ability to cost-effectively drive traffic to our Honest.com and digital partners, offset by a $1.8 million increase in our wipes revenue. The revenue decrease in Household and Wellness was primarily due to a decrease in overall consumer demand for sanitization and disinfecting products as more consumers became vaccinated against COVID-19 during the six months ended June 30, 2022.</w:t>
      </w:r>
    </w:p>
    <w:p>
      <w:pPr>
        <w:spacing w:after="0" w:line="218" w:lineRule="exact"/>
        <w:rPr>
          <w:sz w:val="20"/>
          <w:szCs w:val="20"/>
          <w:color w:val="auto"/>
        </w:rPr>
      </w:pPr>
    </w:p>
    <w:p>
      <w:pPr>
        <w:ind w:right="140" w:firstLine="648"/>
        <w:spacing w:after="0" w:line="237" w:lineRule="auto"/>
        <w:rPr>
          <w:sz w:val="20"/>
          <w:szCs w:val="20"/>
          <w:color w:val="auto"/>
        </w:rPr>
      </w:pPr>
      <w:r>
        <w:rPr>
          <w:rFonts w:ascii="Times New Roman" w:cs="Times New Roman" w:eastAsia="Times New Roman" w:hAnsi="Times New Roman"/>
          <w:sz w:val="18"/>
          <w:szCs w:val="18"/>
          <w:color w:val="auto"/>
        </w:rPr>
        <w:t>The increase in revenue in our Retail channel for the three months ended June 30, 2022, compared to the three months ended June 30, 2021, was primarily due to an increase of $2.7 million in revenue from two key retailers driven by strong in-store traffic and expanded store and SKU count and shipments to several new retail partners, partially offset by a timing shift in shipments to support an annual promotional event at a key club retailer during the three months ended June 30, 2021. The increase in revenue in our Digital channel for the three months ended June 30, 2022, compared to the three months ended June 30, 2021, was primarily driven by strong orders by a key digital partner ahead of a national promotional event and shipments being inline with consumption compared to a reduction in shipments with this same key digital partner during the three months ended June 30, 2021 that did not occur during the three months ended June 30, 2022, partially offset by a decrease in revenue on Honest.com, as consumers return to in-store shopping.</w:t>
      </w:r>
    </w:p>
    <w:p>
      <w:pPr>
        <w:spacing w:after="0" w:line="23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decrease in revenue in our Retail channel for the six months ended June 30, 2022, compared to the six months ended June 30, 2021, was primarily due to $3.4 million in liquidation sales in advance of our </w:t>
      </w:r>
      <w:r>
        <w:rPr>
          <w:rFonts w:ascii="Times New Roman" w:cs="Times New Roman" w:eastAsia="Times New Roman" w:hAnsi="Times New Roman"/>
          <w:sz w:val="18"/>
          <w:szCs w:val="18"/>
          <w:i w:val="1"/>
          <w:iCs w:val="1"/>
          <w:color w:val="auto"/>
        </w:rPr>
        <w:t>Beauty Restage</w:t>
      </w:r>
      <w:r>
        <w:rPr>
          <w:rFonts w:ascii="Times New Roman" w:cs="Times New Roman" w:eastAsia="Times New Roman" w:hAnsi="Times New Roman"/>
          <w:sz w:val="18"/>
          <w:szCs w:val="18"/>
          <w:color w:val="auto"/>
        </w:rPr>
        <w:t xml:space="preserve"> to clear out legacy inventory, as well as a decrease of $1.4 million in revenue from a sanitizing and disinfecting rotational program with a key retail partner during the six months ended June 30, 2021 that did not occur during the six months ended June 30, 2022. The decrease in revenue in our Digital channel for the six months ended June 30, 2022, compared to the six months ended June 30, 2021, was primarily due to consumers returning to in-store shopping and higher digital marketing costs which impacted the ability to cost-effectively drive traffic to Honest.com.</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1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500" w:type="dxa"/>
            <w:vAlign w:val="bottom"/>
            <w:gridSpan w:val="8"/>
          </w:tcPr>
          <w:p>
            <w:pPr>
              <w:ind w:left="58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80" w:type="dxa"/>
            <w:vAlign w:val="bottom"/>
            <w:gridSpan w:val="8"/>
          </w:tcPr>
          <w:p>
            <w:pPr>
              <w:ind w:left="58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
        </w:trPr>
        <w:tc>
          <w:tcPr>
            <w:tcW w:w="1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14"/>
        </w:trPr>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r>
      <w:tr>
        <w:trPr>
          <w:trHeight w:val="238"/>
        </w:trPr>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change</w:t>
            </w:r>
          </w:p>
        </w:tc>
      </w:tr>
      <w:tr>
        <w:trPr>
          <w:trHeight w:val="27"/>
        </w:trPr>
        <w:tc>
          <w:tcPr>
            <w:tcW w:w="30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w:t>
            </w:r>
          </w:p>
        </w:tc>
        <w:tc>
          <w:tcPr>
            <w:tcW w:w="1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percentages)</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6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54,929</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10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103,021</w:t>
            </w:r>
          </w:p>
        </w:tc>
        <w:tc>
          <w:tcPr>
            <w:tcW w:w="8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7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23,564</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26,943</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44,191</w:t>
            </w:r>
          </w:p>
        </w:tc>
        <w:tc>
          <w:tcPr>
            <w:tcW w:w="8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55,323</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(11,132)</w:t>
            </w:r>
          </w:p>
        </w:tc>
        <w:tc>
          <w:tcPr>
            <w:tcW w:w="10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 %</w:t>
            </w:r>
          </w:p>
        </w:tc>
      </w:tr>
    </w:tbl>
    <w:p>
      <w:pPr>
        <w:spacing w:after="0" w:line="34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Cost of revenue was $54.9 million for the three months ended June 30, 2022, as compared to $47.6 million for the three months ended June 30, 2021. The increase of $7.3 million, or 15.3%, was primarily due to higher fulfillment costs, especially in transportation, freight and warehouse labor costs and increased product costs for our diapers and personal care products, as compared to the three months ended June 30, 2021. In addition, execution of a fulfillment center cost savings initiative led to a one-time transition cost during the three months ended June 30, 2022. Cost of revenue as a percentage of revenue increased by 611 basis points primarily due to higher input costs, along with higher trade promotions as compared to the three months ended June 30, 2021.</w:t>
      </w:r>
    </w:p>
    <w:p>
      <w:pPr>
        <w:spacing w:after="0" w:line="201"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Cost of revenue was $103.0 million for the six months ended June 30, 2022, as compared to $100.3 million for the six months ended June 30, 2021. The increase of $2.7 million, or 2.7%, was primarily due to higher fulfillment costs, especially in transportation, freight and warehouse labor costs and increased product costs for our diapers and personal care products, as well as rent expense related to our warehouse facility due to the derecognition of our built-to-suit lease as a result of the adoption of ASC 842 (previously recognized in interest expense). Cost of revenue as a percentage of revenue increased by 553 basis points primarily due to higher input costs, along with higher trade promotions as compared to the six months ended June 30, 2021.</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33" w:name="page34"/>
    <w:bookmarkEnd w:id="3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profit was $23.6 million for the three months ended June 30, 2022, as compared to $26.9 million for the three months ended June 30, 2021. The decrease of $3.4 million, or 12.5%, was primarily due to higher input costs and higher expenses associated with promotional activity, partially offset by pricing increases that went into effect in 2022 and cost savings, including the consolidation of a distribution center.</w:t>
      </w:r>
    </w:p>
    <w:p>
      <w:pPr>
        <w:spacing w:after="0" w:line="203"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Gross profit was $44.2 million for the six months ended June 30, 2022, as compared to $55.3 million for the six months ended June 30, 2021. The decrease of $11.1 million, or 20.1%, was primarily due to the decrease in revenue in our three product categories, fixed cost deleverage, higher input costs and higher expenses associated with promotional activity, partially offset by pricing increases that went into effect in 2022, favorable product mix and cost savings, including the consolidation of a distribution center.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380" w:type="dxa"/>
            <w:vAlign w:val="bottom"/>
            <w:gridSpan w:val="7"/>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13"/>
        </w:trPr>
        <w:tc>
          <w:tcPr>
            <w:tcW w:w="2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0" w:type="dxa"/>
            <w:vAlign w:val="bottom"/>
            <w:gridSpan w:val="10"/>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4120" w:type="dxa"/>
            <w:vAlign w:val="bottom"/>
            <w:gridSpan w:val="10"/>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7"/>
        </w:trPr>
        <w:tc>
          <w:tcPr>
            <w:tcW w:w="2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 change</w:t>
            </w:r>
          </w:p>
        </w:tc>
        <w:tc>
          <w:tcPr>
            <w:tcW w:w="15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2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w w:val="99"/>
              </w:rPr>
              <w:t>(In thousands, except percentages)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19,965</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30,091</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(10,126)</w:t>
            </w:r>
          </w:p>
        </w:tc>
        <w:tc>
          <w:tcPr>
            <w:tcW w:w="100" w:type="dxa"/>
            <w:vAlign w:val="bottom"/>
          </w:tcPr>
          <w:p>
            <w:pPr>
              <w:spacing w:after="0"/>
              <w:rPr>
                <w:sz w:val="20"/>
                <w:szCs w:val="20"/>
                <w:color w:val="auto"/>
              </w:rPr>
            </w:pPr>
          </w:p>
        </w:tc>
        <w:tc>
          <w:tcPr>
            <w:tcW w:w="1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(33.7)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39,576</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 %</w:t>
            </w:r>
          </w:p>
        </w:tc>
      </w:tr>
    </w:tbl>
    <w:p>
      <w:pPr>
        <w:spacing w:after="0" w:line="333" w:lineRule="exact"/>
        <w:rPr>
          <w:sz w:val="20"/>
          <w:szCs w:val="20"/>
          <w:color w:val="auto"/>
        </w:rPr>
      </w:pPr>
    </w:p>
    <w:p>
      <w:pPr>
        <w:ind w:right="100" w:firstLine="648"/>
        <w:spacing w:after="0" w:line="241" w:lineRule="auto"/>
        <w:rPr>
          <w:sz w:val="20"/>
          <w:szCs w:val="20"/>
          <w:color w:val="auto"/>
        </w:rPr>
      </w:pPr>
      <w:r>
        <w:rPr>
          <w:rFonts w:ascii="Times New Roman" w:cs="Times New Roman" w:eastAsia="Times New Roman" w:hAnsi="Times New Roman"/>
          <w:sz w:val="18"/>
          <w:szCs w:val="18"/>
          <w:color w:val="auto"/>
        </w:rPr>
        <w:t>Selling, general and administrative expenses were $20.0 million for the three months ended June 30, 2022, as compared to $30.1 million for the three months ended June 30, 2021. The decrease of $10.1 million, or 33.7%, was primarily due to non-recurring IPO related expenses for the three months ended June 30, 2021 that did not occur during the three months ended June 30, 2022, offset by an increase in miscellaneous other selling, general and administrative expenses. The IPO-related expenses during the three months ended June 30, 2021 included a $9.1 million bonus payment to certain employees, including members of management, excluding in each case payroll taxes and expenses, as well as a $2.5 million in stock-based compensation expense related to the vesting of performance based awards during the three months ended June 30, 2021.</w:t>
      </w:r>
    </w:p>
    <w:p>
      <w:pPr>
        <w:spacing w:after="0" w:line="211"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Selling, general and administrative expenses were $39.6 million for the six months ended June 30, 2022, as compared to $46.8 million for the six months ended June 30, 2021. The decrease of $7.2 million, or 15.4%, was primarily due to non-recurring IPO related expenses for the six months ended June 30, 2021 that did not occur during the six months ended June 30, 2022, offset by an increase of $1.2 million in donation expense, $1.1 million increase in legal expenses and $0.9 million increase in costs related to insurance related to operating as a public company. The IPO-related expenses during the six months ended June 30, 2021 included a $9.1 million bonus payment to certain employees, including members of management, excluding in each case payroll taxes and expenses, $1.0 million in stock-based compensation expense related to the vesting of performance based awards and $1.0 million in accounting related expenses related to the IPO during the six months ended June 30, 2021.</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Marketing Expenses</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11"/>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4140" w:type="dxa"/>
            <w:vAlign w:val="bottom"/>
            <w:gridSpan w:val="10"/>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7"/>
        </w:trPr>
        <w:tc>
          <w:tcPr>
            <w:tcW w:w="2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2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20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12,515</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Pr>
          <w:p>
            <w:pPr>
              <w:spacing w:after="0"/>
              <w:rPr>
                <w:sz w:val="22"/>
                <w:szCs w:val="22"/>
                <w:color w:val="auto"/>
              </w:rPr>
            </w:pPr>
          </w:p>
        </w:tc>
        <w:tc>
          <w:tcPr>
            <w:tcW w:w="1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(10.7)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25,981</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r>
    </w:tbl>
    <w:p>
      <w:pPr>
        <w:spacing w:after="0" w:line="333"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Marketing expenses were $12.5 million for the three months ended June 30, 2022, as compared to $14.0 million for the three months ended June 30, 2021. The decrease of $1.5 million, or 10.7%, was primarily due to a $1.5 million shift in marketing expenses related to the timing of a key digital customer's national promotional event occurring in the third quarter of 2022 instead of the second quarter as compared to that key digital customer's national promotional event that occurred during the second quarter in 2021.</w:t>
      </w:r>
    </w:p>
    <w:p>
      <w:pPr>
        <w:spacing w:after="0" w:line="208" w:lineRule="exact"/>
        <w:rPr>
          <w:sz w:val="20"/>
          <w:szCs w:val="20"/>
          <w:color w:val="auto"/>
        </w:rPr>
      </w:pPr>
    </w:p>
    <w:p>
      <w:pPr>
        <w:ind w:right="200" w:firstLine="648"/>
        <w:spacing w:after="0" w:line="232" w:lineRule="auto"/>
        <w:rPr>
          <w:sz w:val="20"/>
          <w:szCs w:val="20"/>
          <w:color w:val="auto"/>
        </w:rPr>
      </w:pPr>
      <w:r>
        <w:rPr>
          <w:rFonts w:ascii="Times New Roman" w:cs="Times New Roman" w:eastAsia="Times New Roman" w:hAnsi="Times New Roman"/>
          <w:sz w:val="18"/>
          <w:szCs w:val="18"/>
          <w:color w:val="auto"/>
        </w:rPr>
        <w:t>Marketing expenses were $26.0 million for the six months ended June 30, 2022, as compared to $28.2 million for the six months ended June 30, 2021. The decrease of $2.2 million, or 7.8%, was primarily due to a decrease of $2.6 million in marketing expense related to a shift in timing of a key digital customer's national promotional event, as well as the launch of our Clean Conscious Diaper in January 2021, a $1.4 million decrease in video and photo production costs, offset by an increase of $1.5 million in our influencer campaigns.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tbl>
      <w:tblPr>
        <w:tblLayout w:type="fixed"/>
        <w:tblInd w:w="20" w:type="dxa"/>
        <w:tblCellMar>
          <w:top w:w="0" w:type="dxa"/>
          <w:left w:w="0" w:type="dxa"/>
          <w:bottom w:w="0" w:type="dxa"/>
          <w:right w:w="0" w:type="dxa"/>
        </w:tblCellMar>
      </w:tblPr>
      <w:tr>
        <w:trPr>
          <w:trHeight w:val="238"/>
        </w:trPr>
        <w:tc>
          <w:tcPr>
            <w:tcW w:w="354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13"/>
        </w:trPr>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0" w:type="dxa"/>
            <w:vAlign w:val="bottom"/>
            <w:gridSpan w:val="11"/>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4080" w:type="dxa"/>
            <w:vAlign w:val="bottom"/>
            <w:gridSpan w:val="10"/>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7"/>
        </w:trPr>
        <w:tc>
          <w:tcPr>
            <w:tcW w:w="2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2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22"/>
                <w:szCs w:val="22"/>
                <w:color w:val="auto"/>
              </w:rPr>
            </w:pP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(22.3) %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r>
    </w:tbl>
    <w:p>
      <w:pPr>
        <w:spacing w:after="0" w:line="33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Research and development expenses were $1.8 million for the three months ended June 30, 2022, as compared to $2.3 million for the three months ended June 30, 2021. The decrease of $0.5 million, or 22.3%, was primarily related to a $0.2 million decrease in stock-based compensation expense and $0.4 million decrease in IPO related bonuses in the year ago period.</w:t>
      </w:r>
    </w:p>
    <w:p>
      <w:pPr>
        <w:spacing w:after="0" w:line="197" w:lineRule="exact"/>
        <w:rPr>
          <w:sz w:val="20"/>
          <w:szCs w:val="20"/>
          <w:color w:val="auto"/>
        </w:rPr>
      </w:pPr>
    </w:p>
    <w:p>
      <w:pPr>
        <w:ind w:right="300" w:firstLine="648"/>
        <w:spacing w:after="0" w:line="236" w:lineRule="auto"/>
        <w:rPr>
          <w:sz w:val="20"/>
          <w:szCs w:val="20"/>
          <w:color w:val="auto"/>
        </w:rPr>
      </w:pPr>
      <w:r>
        <w:rPr>
          <w:rFonts w:ascii="Times New Roman" w:cs="Times New Roman" w:eastAsia="Times New Roman" w:hAnsi="Times New Roman"/>
          <w:sz w:val="18"/>
          <w:szCs w:val="18"/>
          <w:color w:val="auto"/>
        </w:rPr>
        <w:t>Research and development expenses were $3.9 million for the six months ended June 30, 2022, as compared to $4.0 million for the six months ended June 30, 2021. The decrease of $0.1 million, or 1.8%, was primarily related to IPO-related expenses including $0.1 million in stock-based compensation expense and $0.4 million IPO bonuses in the year ago period.</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2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900" w:type="dxa"/>
            <w:vAlign w:val="bottom"/>
            <w:gridSpan w:val="8"/>
          </w:tcPr>
          <w:p>
            <w:pPr>
              <w:ind w:left="40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300" w:type="dxa"/>
            <w:vAlign w:val="bottom"/>
          </w:tcPr>
          <w:p>
            <w:pPr>
              <w:spacing w:after="0"/>
              <w:rPr>
                <w:sz w:val="22"/>
                <w:szCs w:val="22"/>
                <w:color w:val="auto"/>
              </w:rPr>
            </w:pPr>
          </w:p>
        </w:tc>
        <w:tc>
          <w:tcPr>
            <w:tcW w:w="3820" w:type="dxa"/>
            <w:vAlign w:val="bottom"/>
            <w:gridSpan w:val="7"/>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7"/>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and other income (expense),</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820" w:type="dxa"/>
            <w:vAlign w:val="bottom"/>
            <w:vMerge w:val="continue"/>
          </w:tcPr>
          <w:p>
            <w:pPr>
              <w:spacing w:after="0"/>
              <w:rPr>
                <w:sz w:val="17"/>
                <w:szCs w:val="17"/>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7"/>
                <w:szCs w:val="17"/>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7"/>
                <w:szCs w:val="17"/>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17"/>
                <w:szCs w:val="17"/>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tcPr>
          <w:p>
            <w:pPr>
              <w:spacing w:after="0"/>
              <w:rPr>
                <w:sz w:val="17"/>
                <w:szCs w:val="17"/>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tcPr>
          <w:p>
            <w:pPr>
              <w:spacing w:after="0"/>
              <w:rPr>
                <w:sz w:val="17"/>
                <w:szCs w:val="17"/>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0" w:type="dxa"/>
            <w:vAlign w:val="bottom"/>
          </w:tcPr>
          <w:p>
            <w:pPr>
              <w:spacing w:after="0"/>
              <w:rPr>
                <w:sz w:val="1"/>
                <w:szCs w:val="1"/>
                <w:color w:val="auto"/>
              </w:rPr>
            </w:pPr>
          </w:p>
        </w:tc>
      </w:tr>
      <w:tr>
        <w:trPr>
          <w:trHeight w:val="23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net</w:t>
            </w:r>
          </w:p>
        </w:tc>
        <w:tc>
          <w:tcPr>
            <w:tcW w:w="30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Interest and other income (expense), net was net income of $0.7 million for the three months ended June 30, 2022, as compared to net expense of $0.5 million for the three months ended June 30, 2021. The increase of $1.3 million was primarily due to a decrease in interest expense related to the derecognition of our built-to-suit lease as a result of the adoption of ASC 842. Under the new lease accounting related to the adoption of ASC 842, all lease expense related to the built-to-suit lease is now included in the cost of revenue. Additionally, during the three months ended June 30, 2022, $0.7 million of other income was related to the recognition of taxes and interest to be refunded from the Nevada Department of Taxation legal settlement. Refer to Note 8 included in these condensed consolidated financial statements for more information on the legal settlement.</w:t>
      </w:r>
    </w:p>
    <w:p>
      <w:pPr>
        <w:spacing w:after="0" w:line="201"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Interest and other income (expense), net was net income of $0.7 million for the six months ended June 30, 2022, as compared to net expense of $0.8 million for the six months ended June 30, 2021. The increase of $1.5 million was primarily due to a decrease in interest expense related to the derecognition of our built-to-suit lease as a result of the adoption of ASC 842. Under the new lease accounting related to the adoption of ASC 842, all lease expense related to the built-to-suit lease is now included in the cost of revenue. Additionally, during the six months ended June 30, 2022, $0.7 million of other income was related to the recognition of taxes and interest to be refunded from the Nevada Department of Taxation legal settlement. Refer to Note 8 included in these condensed consolidated financial statements for more information on the legal settlement.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70"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7"/>
          <w:szCs w:val="17"/>
          <w:color w:val="auto"/>
        </w:rPr>
        <w:t>We have incurred net losses and net cash outflows from operating activities since our inception. Prior to our IPO, our available liquidity and operations were financed primarily through the sale of redeemable convertible preferred stock, equity securities and to a lesser extent, debt financing. Upon the closing of our IPO, we received net proceeds of approximately $91.1 million, after deducting underwriting discounts and commissions of $6.7 million</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and offering expenses of $5.4 million</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 xml:space="preserve"> As of June 30, 2022, we had $40.3 million of cash and cash equivalents and $26.5 million of short-term investments. Although we are dependent on our ability to generate sufficient cash flow from operations or raise capital to achieve our business objectives, we believe our existing cash, cash equivalents, and short-term investments will be sufficient to meet our short-term and long-term working capital and capital expenditure needs. Future capital requirements will depend on many factors, including our rate of revenue growth, gross margin and the level of expenditures in all areas of the Company. To the extent that existing capital resources and sales growth are not sufficient to fund future activities, we will need to raise capital through additional equity or</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35" w:name="page36"/>
    <w:bookmarkEnd w:id="35"/>
    <w:p>
      <w:pPr>
        <w:spacing w:after="0" w:line="282" w:lineRule="auto"/>
        <w:rPr>
          <w:sz w:val="20"/>
          <w:szCs w:val="20"/>
          <w:color w:val="auto"/>
        </w:rPr>
      </w:pPr>
      <w:r>
        <w:rPr>
          <w:rFonts w:ascii="Times New Roman" w:cs="Times New Roman" w:eastAsia="Times New Roman" w:hAnsi="Times New Roman"/>
          <w:sz w:val="18"/>
          <w:szCs w:val="18"/>
          <w:color w:val="auto"/>
        </w:rPr>
        <w:t>debt financing. Additional funds may not be available on terms favorable to us or at all. Failure to raise additional capital, if and when needed, could have a material adverse effect on our financial position, results of operations,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Credit Facility</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April 2021, we entered into a first lien credit agreement (the “2021 Credit Facility”), with JPMorgan Chase Bank, N.A., as administrative agent and lender, and the other lenders party thereto, which provides for a $35.0 million revolving credit facility that matures on April 30, 2026. The 2021 Credit Facility includes a subfacility that provides for the issuance of letters of credit in an amount of up to $10.0 million at any time outstanding, which reduces the amount available under the 2021 Credit Facility.</w:t>
      </w:r>
    </w:p>
    <w:p>
      <w:pPr>
        <w:spacing w:after="0" w:line="207" w:lineRule="exact"/>
        <w:rPr>
          <w:sz w:val="20"/>
          <w:szCs w:val="20"/>
          <w:color w:val="auto"/>
        </w:rPr>
      </w:pPr>
    </w:p>
    <w:p>
      <w:pPr>
        <w:ind w:right="80" w:firstLine="648"/>
        <w:spacing w:after="0" w:line="273" w:lineRule="auto"/>
        <w:rPr>
          <w:sz w:val="20"/>
          <w:szCs w:val="20"/>
          <w:color w:val="auto"/>
        </w:rPr>
      </w:pPr>
      <w:r>
        <w:rPr>
          <w:rFonts w:ascii="Times New Roman" w:cs="Times New Roman" w:eastAsia="Times New Roman" w:hAnsi="Times New Roman"/>
          <w:sz w:val="17"/>
          <w:szCs w:val="17"/>
          <w:color w:val="auto"/>
        </w:rPr>
        <w:t>As of June 30, 2022, there were outstanding standby letters of credit of $6.3 million related to lease obligations with $28.7 million available to be drawn upon. The 2021 Credit Facility is subject to customary fees for loan facilities of this type, including a commitment fee based on the average daily undrawn portion of the revolving credit facility. We recognize the commitment fee as incurred in interest and other income (expense), net in the condensed consolidated statements of comprehensive loss. For the three and six months ended June 30, 2022, the commitment fee incurred was immaterial. The interest rate applicable to the 2021 Credit Facility is, at our option, either (a) the LIBOR (or a replacement rate established in accordance with the terms of the 2021 Credit Facility) (subject to a 0.00% LIBOR floor), plus a margin of 1.50% or (b) the CB floating rate minus a margin of 0.50%. The CB floating rate is the higher of (a) the Wall Street Journal prime rate and (b)(i) 2.50% plus (ii) the adjusted LIBOR rate for a one-month interest period.</w:t>
      </w:r>
    </w:p>
    <w:p>
      <w:pPr>
        <w:spacing w:after="0" w:line="198"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2021 Credit Facility will terminate and borrowings thereunder, if any, will be due on April 30, 2026. As of June 30, 2022, there was no outstanding balance under the 2021 Credit Facility. We are required to follow certain covenants. As of June 30, 2022, we are in compliance with the net leverage ratio covenant.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6 included in these condensed consolidated financial statements for more information on the 2021 Credit Facility.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7420" w:type="dxa"/>
            <w:vAlign w:val="bottom"/>
          </w:tcPr>
          <w:p>
            <w:pPr>
              <w:spacing w:after="0"/>
              <w:rPr>
                <w:sz w:val="24"/>
                <w:szCs w:val="24"/>
                <w:color w:val="auto"/>
              </w:rPr>
            </w:pPr>
          </w:p>
        </w:tc>
        <w:tc>
          <w:tcPr>
            <w:tcW w:w="378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7"/>
        </w:trPr>
        <w:tc>
          <w:tcPr>
            <w:tcW w:w="74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20" w:type="dxa"/>
            <w:vAlign w:val="bottom"/>
            <w:vMerge w:val="continue"/>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(25,402)</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(32,607)</w:t>
            </w:r>
          </w:p>
        </w:tc>
        <w:tc>
          <w:tcPr>
            <w:tcW w:w="0" w:type="dxa"/>
            <w:vAlign w:val="bottom"/>
          </w:tcPr>
          <w:p>
            <w:pPr>
              <w:spacing w:after="0"/>
              <w:rPr>
                <w:sz w:val="1"/>
                <w:szCs w:val="1"/>
                <w:color w:val="auto"/>
              </w:rPr>
            </w:pP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14,920</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(19,540)</w:t>
            </w:r>
          </w:p>
        </w:tc>
        <w:tc>
          <w:tcPr>
            <w:tcW w:w="0" w:type="dxa"/>
            <w:vAlign w:val="bottom"/>
          </w:tcPr>
          <w:p>
            <w:pPr>
              <w:spacing w:after="0"/>
              <w:rPr>
                <w:sz w:val="1"/>
                <w:szCs w:val="1"/>
                <w:color w:val="auto"/>
              </w:rPr>
            </w:pP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56,385</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from the sales of our products through Digital and Retail channels to our consumers and customers. Our primary uses of cash from operating activities are for cost of revenue expenses, selling, general and administrative expenses, marketing expenses and research and development expenses. We have generated negative cash flows from operating activities and have supplemented working capital requirements through net proceeds from the sale and maturity of short-term investments.</w:t>
      </w:r>
    </w:p>
    <w:p>
      <w:pPr>
        <w:spacing w:after="0" w:line="180"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of $25.4 million for the six months ended June 30, 2022 was primarily due to net loss of $24.6 million, non-cash adjustments of $12.1 million and a net decrease in cash related to changes in operating assets and liabilities of $12.9 million. Non-cash adjustments primarily consisted of stock-based compensation of $7.5 million, amortization of operating ROU assets of $3.1 million and depreciation and amortization of $1.4 million. Changes in cash flows related to operating assets and liabilities primarily consisted of a $12.7 million increase in inventory to increase weeks of supply due to longer lead times and in advance of new distribution, a $5.3 million increase in accounts receivable due to timing of shipments to customers and receipt of payments and a $3.3 million use of cash due to operating lease obligations, offset by a $8.8 million increase in accounts payable due to higher inventory purchases and cost inflation, as well as the timing of payments in the six months ended June 30, 2022.</w:t>
      </w:r>
    </w:p>
    <w:p>
      <w:pPr>
        <w:spacing w:after="0" w:line="21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of $32.6 million for the six months ended June 30, 2021 was primarily due to net loss of $24.5 million, non-cash adjustments of $10.7 million and a net decrease in cash related to changes in operating assets and liabilities of $18.8 million. Non-cash adjustments primarily consisted of stock-based compensation of $8.5 million and depreciation and amortization of $2.1 million. Changes in cash flows related to operating assets and liabilities primarily consisted</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36" w:name="page37"/>
    <w:bookmarkEnd w:id="36"/>
    <w:p>
      <w:pPr>
        <w:spacing w:after="0" w:line="261" w:lineRule="auto"/>
        <w:rPr>
          <w:sz w:val="20"/>
          <w:szCs w:val="20"/>
          <w:color w:val="auto"/>
        </w:rPr>
      </w:pPr>
      <w:r>
        <w:rPr>
          <w:rFonts w:ascii="Times New Roman" w:cs="Times New Roman" w:eastAsia="Times New Roman" w:hAnsi="Times New Roman"/>
          <w:sz w:val="18"/>
          <w:szCs w:val="18"/>
          <w:color w:val="auto"/>
        </w:rPr>
        <w:t>of a $5.7 million increase in inventory due to timing of inventory purchases, $4.6 million increase in accounts receivable due to increase in sales from retail customers, $4.5 million increase in prepaid expenses and other assets due to timing of payments including our annual insurance renewal, as well as the non-monetary sale of our legacy beauty inventory for future marketing and transportation credits and a $4.0 million use of cash due to the timing of payments associated with our accounts payable and operating leasing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ind w:right="240" w:firstLine="648"/>
        <w:spacing w:after="0" w:line="282" w:lineRule="auto"/>
        <w:rPr>
          <w:sz w:val="20"/>
          <w:szCs w:val="20"/>
          <w:color w:val="auto"/>
        </w:rPr>
      </w:pPr>
      <w:r>
        <w:rPr>
          <w:rFonts w:ascii="Times New Roman" w:cs="Times New Roman" w:eastAsia="Times New Roman" w:hAnsi="Times New Roman"/>
          <w:sz w:val="18"/>
          <w:szCs w:val="18"/>
          <w:color w:val="auto"/>
        </w:rPr>
        <w:t>Our primary source of investing cash is the sale and maturity of short-term investments and our primary use of investing cash is the purchase of short-term investments and property and equipment.</w:t>
      </w:r>
    </w:p>
    <w:p>
      <w:pPr>
        <w:spacing w:after="0" w:line="18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of $14.9 million for the six months ended June 30, 2022 was primarily due to purchases of short-term investments of $11.3 million, offset by maturities of short-term investments of $27.0 million.</w:t>
      </w:r>
    </w:p>
    <w:p>
      <w:pPr>
        <w:spacing w:after="0" w:line="189" w:lineRule="exact"/>
        <w:rPr>
          <w:sz w:val="20"/>
          <w:szCs w:val="20"/>
          <w:color w:val="auto"/>
        </w:rPr>
      </w:pPr>
    </w:p>
    <w:p>
      <w:pPr>
        <w:jc w:val="both"/>
        <w:ind w:right="26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$19.5 million for the six months ended June 30, 2021 was due to purchases of short-term investments of $54.0 million, offset by proceeds from the sales and maturities of short-term investments of $25.4 million and $9.2 million,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Our financing activities primarily consisted of proceeds from sales of securities, payment of offering costs, proceeds from stock option award exercises and principal payments of financing lease obligations.</w:t>
      </w:r>
    </w:p>
    <w:p>
      <w:pPr>
        <w:spacing w:after="0" w:line="18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$39.0 thousand for the six months ended June 30, 2022 primarily consisted of proceeds from stock option exercises and the 2021 ESPP, partially offset by principal payments of financing lease obligations and taxes paid related to net share settlement of equity awards.</w:t>
      </w:r>
    </w:p>
    <w:p>
      <w:pPr>
        <w:spacing w:after="0" w:line="20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$56.4 million for the six months ended June 30, 2021 primarily consisted of proceeds from our IPO of $96.5 million net of underwriting discounts and commissions, offset by dividend payments of $35.0 million and payments of offering cost in connection with our IPO of $4.9 million.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April 2021, our board of directors declared a cash dividend of $35.0 million to the holders of record of our common stock and our redeemable convertible preferred stock as of May 3, 2021, which we paid on June 29, 2021 (the “2021 Dividend”). Other than the 2021 Dividend, we have not declared or paid cash dividends on our capital stock, and we do not anticipate declaring or paying any cash dividends other than the 2021 Dividend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2021 Credit Facility contains restrictions on our ability to pay dividends.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prepare and present our condensed consolidated financial statements in accordance with GAAP. However, management believes that adjusted EBITDA, a non-GAAP financial measure, provides investors with additional useful information in evaluating our performance.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calculate adjusted EBITDA as net income (loss), adjusted to exclude: (1) interest and other (income) expense, net; (2) income tax provision;</w:t>
      </w:r>
    </w:p>
    <w:p>
      <w:pPr>
        <w:spacing w:after="0" w:line="27" w:lineRule="exact"/>
        <w:rPr>
          <w:sz w:val="20"/>
          <w:szCs w:val="20"/>
          <w:color w:val="auto"/>
        </w:rPr>
      </w:pPr>
    </w:p>
    <w:p>
      <w:pPr>
        <w:ind w:right="140" w:firstLine="8"/>
        <w:spacing w:after="0" w:line="255"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(4) stock-based compensation expense, including payroll tax; (5) the IPO bonuses in the second quarter of 2021, including associated payroll taxes and expenses, and third-party costs associated with our IPO in 2021; and (6) in certain periods, litigation and settlement fees associated with certain non-ordinary course litigation.</w:t>
      </w:r>
    </w:p>
    <w:p>
      <w:pPr>
        <w:spacing w:after="0" w:line="21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Adjusted EBITDA is a financial measure that is not required by, or presented in accordance with GAAP. We believe that adjusted EBITDA, when taken together with our financial results presented in accordance with GAAP,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and evaluating our operating performance, as well as for internal planning and forecasting purposes.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7" w:name="page38"/>
    <w:bookmarkEnd w:id="37"/>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Adjusted EBITDA is presented for supplemental informational purposes only, has limitations as an analytical tool and should not be considered in isolation or as a substitute for financial information presented in accordance with GAAP. Some of the limitations of adjusted EBITDA include that (1) it does not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(5) it does not include the IPO bonuses, including associated payroll taxes and expenses, or third-party costs associated with the preparation of the IPO; (6) it does not reflect tax payments that may represent a reduction in cash available to us; and (7) does not include certain non-ordinary cash expenses that we do not believe are representative of our business on a steady-state basis. In addition, our use of adjusted EBITDA may not be comparable to similarly titled measures of other companies because they may not calculate adjusted EBITDA in the same manner, limiting its usefulness as a comparative measure. Because of these limitations, when evaluating our performance, you should consider adjusted EBITDA alongside other financial measures, including our net income (loss) and other results stated in accordance with GAAP.</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(loss), the most directly comparable financial measure stated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to adjusted EBITDA, for each of the periods presented:</w:t>
      </w: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400" w:type="dxa"/>
            <w:vAlign w:val="bottom"/>
          </w:tcPr>
          <w:p>
            <w:pPr>
              <w:spacing w:after="0"/>
              <w:rPr>
                <w:sz w:val="20"/>
                <w:szCs w:val="20"/>
                <w:color w:val="auto"/>
              </w:rPr>
            </w:pPr>
          </w:p>
        </w:tc>
        <w:tc>
          <w:tcPr>
            <w:tcW w:w="35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7"/>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Adjusted</w:t>
            </w: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0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(20,034)</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(24,639)</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litigation expense</w:t>
            </w:r>
          </w:p>
        </w:tc>
        <w:tc>
          <w:tcPr>
            <w:tcW w:w="3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IPO and other transaction-</w:t>
            </w:r>
          </w:p>
        </w:tc>
        <w:tc>
          <w:tcPr>
            <w:tcW w:w="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expenses</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23"/>
                <w:szCs w:val="23"/>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12,160</w:t>
            </w:r>
          </w:p>
        </w:tc>
        <w:tc>
          <w:tcPr>
            <w:tcW w:w="0" w:type="dxa"/>
            <w:vAlign w:val="bottom"/>
          </w:tcPr>
          <w:p>
            <w:pPr>
              <w:spacing w:after="0"/>
              <w:rPr>
                <w:sz w:val="1"/>
                <w:szCs w:val="1"/>
                <w:color w:val="auto"/>
              </w:rPr>
            </w:pPr>
          </w:p>
        </w:tc>
      </w:tr>
      <w:tr>
        <w:trPr>
          <w:trHeight w:val="216"/>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Payroll tax expense related to stock-</w:t>
            </w: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based compensation</w:t>
            </w:r>
          </w:p>
        </w:tc>
        <w:tc>
          <w:tcPr>
            <w:tcW w:w="3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(15,378)</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203" w:lineRule="exact"/>
        <w:rPr>
          <w:sz w:val="20"/>
          <w:szCs w:val="20"/>
          <w:color w:val="auto"/>
        </w:rPr>
      </w:pPr>
    </w:p>
    <w:p>
      <w:pPr>
        <w:ind w:left="300" w:hanging="292"/>
        <w:spacing w:after="0"/>
        <w:tabs>
          <w:tab w:leader="none" w:pos="30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IPO-related costs, including transaction-related third-party expenses, which are generally incremental costs incurred associated with the preparation of the IPO.</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8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there were no material changes to our material cash requirements from those described under “Management's Discussion and Analysis of Financial Condition and Results of Operations” in our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07"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Our critical accounting estimates are described under the heading “Management’s Discussion and Analysis of Financial Condition and Results of Operations—Critical Accounting Policies and Estimates” in our Annual Report and the notes to the audited consolidated financial statements appearing in our Annual Report. During the three and six months ended June 30, 2022, there were no material changes to our critical accounting estimates from those discussed in our Annual Report. Refer to Note 2</w:t>
      </w:r>
    </w:p>
    <w:p>
      <w:pPr>
        <w:sectPr>
          <w:pgSz w:w="11900" w:h="16838" w:orient="portrait"/>
          <w:cols w:equalWidth="0" w:num="1">
            <w:col w:w="11220"/>
          </w:cols>
          <w:pgMar w:left="320" w:top="101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type w:val="continuous"/>
        </w:sectPr>
      </w:pPr>
    </w:p>
    <w:bookmarkStart w:id="38" w:name="page39"/>
    <w:bookmarkEnd w:id="38"/>
    <w:p>
      <w:pPr>
        <w:spacing w:after="0" w:line="266" w:lineRule="auto"/>
        <w:rPr>
          <w:sz w:val="20"/>
          <w:szCs w:val="20"/>
          <w:color w:val="auto"/>
        </w:rPr>
      </w:pPr>
      <w:r>
        <w:rPr>
          <w:rFonts w:ascii="Times New Roman" w:cs="Times New Roman" w:eastAsia="Times New Roman" w:hAnsi="Times New Roman"/>
          <w:sz w:val="18"/>
          <w:szCs w:val="18"/>
          <w:color w:val="auto"/>
        </w:rPr>
        <w:t>and 13 to our condensed consolidated financial statements included in this Quarterly Report on Form 10-Q for a discussion of the adoption of ASC 842 and related policy changes.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3"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Refer to Note 2 to our condensed consolidated financial statements included in this Quarterly Report on Form 10-Q for a discussion of recently adopted accounting pronouncements and recently issued accounting pronouncements not yet adopted.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are not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SEC rules and regulations, as a smaller reporting company, we are not required to provide the information required by this item.</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Our management, with the participation of our Chief Executive Officer and Chief Financial Officer, evaluated, as of the period ended June 30, 2022, the effectiveness of our disclosure controls and procedures (as defined in Rules 13a-15(e) and 15d-15(e) under the Exchange Act). Based on that evaluation, our Chief Executive Officer and Chief Financial Officer concluded that, as of such date, our disclosure controls and procedures were effective at the reasonable assurance level.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June 30, 2022 that has materially affected, or is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56" w:lineRule="exact"/>
        <w:rPr>
          <w:sz w:val="20"/>
          <w:szCs w:val="20"/>
          <w:color w:val="auto"/>
        </w:rPr>
      </w:pPr>
    </w:p>
    <w:p>
      <w:pPr>
        <w:jc w:val="both"/>
        <w:ind w:right="40" w:firstLine="648"/>
        <w:spacing w:after="0" w:line="250"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information contained under the heading “Litigation” in Note 8 and “Subsequent Events” in Note 14 to our condensed consolidated financial statements included in this Quarterly Report on Form 10-Q is incorporated by reference into this Item.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1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The following summary highlights some of the risks you should consider with respect to our business and prospects. You should carefully consider the risks and uncertainties described in our Annual Report, together with all of the other information in this Quarterly Report on Form 10-Q, as well as our audited consolidated financial statements and related notes as disclosed in our Annual Report. The risks and uncertainties described in our Annual Report and in this Quarterly Report on Form 10-Q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more significant risks we face include the following:</w:t>
      </w:r>
    </w:p>
    <w:p>
      <w:pPr>
        <w:spacing w:after="0" w:line="239" w:lineRule="exact"/>
        <w:rPr>
          <w:sz w:val="20"/>
          <w:szCs w:val="20"/>
          <w:color w:val="auto"/>
        </w:rPr>
      </w:pP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each year since our inception and we may not be able to achieve or maintain profitability in the future.</w:t>
      </w:r>
    </w:p>
    <w:p>
      <w:pPr>
        <w:spacing w:after="0" w:line="27" w:lineRule="exact"/>
        <w:rPr>
          <w:rFonts w:ascii="Times New Roman" w:cs="Times New Roman" w:eastAsia="Times New Roman" w:hAnsi="Times New Roman"/>
          <w:sz w:val="18"/>
          <w:szCs w:val="18"/>
          <w:color w:val="auto"/>
        </w:rPr>
      </w:pPr>
    </w:p>
    <w:p>
      <w:pPr>
        <w:ind w:left="420" w:right="360" w:hanging="412"/>
        <w:spacing w:after="0" w:line="250" w:lineRule="auto"/>
        <w:tabs>
          <w:tab w:leader="none" w:pos="2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may not be indicative of our future growth and, if we continue to grow rapidly, we may not be able to effectively manage our growth or evaluate our future prospects. If we fail to effectively manage our future growth or evaluate our future prospects, our business could be adversely affected.</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operating results may fluctuate, which could cause our stock price to decline.</w:t>
      </w:r>
    </w:p>
    <w:p>
      <w:pPr>
        <w:spacing w:after="0" w:line="9" w:lineRule="exact"/>
        <w:rPr>
          <w:rFonts w:ascii="Times New Roman" w:cs="Times New Roman" w:eastAsia="Times New Roman" w:hAnsi="Times New Roman"/>
          <w:sz w:val="18"/>
          <w:szCs w:val="18"/>
          <w:color w:val="auto"/>
        </w:rPr>
      </w:pPr>
    </w:p>
    <w:p>
      <w:pPr>
        <w:ind w:left="420" w:right="560" w:hanging="412"/>
        <w:spacing w:after="0" w:line="250" w:lineRule="auto"/>
        <w:tabs>
          <w:tab w:leader="none" w:pos="4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including a recession and inflationary pressures such as price increases in commodity prices, labor costs, input costs and transportation costs and their impact on consumer spending and our profit margin.</w:t>
      </w:r>
    </w:p>
    <w:p>
      <w:pPr>
        <w:ind w:left="420" w:right="460" w:hanging="412"/>
        <w:spacing w:after="0" w:line="250" w:lineRule="auto"/>
        <w:tabs>
          <w:tab w:leader="none" w:pos="2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retail partners, the loss of a significant retail or third-party ecommerce partner or a significant change in such partners's historical purchasing patterns could negatively impact our sales and ability to achieve or maintain profitability.</w:t>
      </w: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successfully in our highly competitive market.</w:t>
      </w:r>
    </w:p>
    <w:p>
      <w:pPr>
        <w:spacing w:after="0" w:line="9" w:lineRule="exact"/>
        <w:rPr>
          <w:rFonts w:ascii="Times New Roman" w:cs="Times New Roman" w:eastAsia="Times New Roman" w:hAnsi="Times New Roman"/>
          <w:sz w:val="18"/>
          <w:szCs w:val="18"/>
          <w:color w:val="auto"/>
        </w:rPr>
      </w:pPr>
    </w:p>
    <w:p>
      <w:pPr>
        <w:ind w:left="420" w:right="100" w:hanging="412"/>
        <w:spacing w:after="0" w:line="250" w:lineRule="auto"/>
        <w:tabs>
          <w:tab w:leader="none" w:pos="2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cost-effectively acquire new consumers or retain our existing consumers, our business could be adversely affected. Our sales and profit are dependent upon our ability to expand our existing consumer relationships and acquire new consumers.</w:t>
      </w:r>
    </w:p>
    <w:p>
      <w:pPr>
        <w:ind w:left="420" w:right="480" w:hanging="412"/>
        <w:spacing w:after="0" w:line="250"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expend resources to maintain consumer awareness of our brand, build brand loyalty and generate interest in our products. Our marketing strategies and channels will evolve and our efforts may or may not be successful.</w:t>
      </w:r>
    </w:p>
    <w:p>
      <w:pPr>
        <w:ind w:left="420" w:hanging="412"/>
        <w:spacing w:after="0" w:line="250" w:lineRule="auto"/>
        <w:tabs>
          <w:tab w:leader="none" w:pos="2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scrutiny and evolving expectations from stakeholders with respect to our environmental, social and governance (ESG) practices, performance and disclosures.</w:t>
      </w:r>
    </w:p>
    <w:p>
      <w:pPr>
        <w:ind w:left="420" w:right="180" w:hanging="412"/>
        <w:spacing w:after="0" w:line="250" w:lineRule="auto"/>
        <w:tabs>
          <w:tab w:leader="none" w:pos="2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and reputation may be diminished due to real or perceived quality, safety, efficacy or environmental impact issues with our products, which could have an adverse effect on our business, financial condition, results of operations and prospects.</w:t>
      </w:r>
    </w:p>
    <w:p>
      <w:pPr>
        <w:ind w:left="420" w:right="180" w:hanging="412"/>
        <w:spacing w:after="0" w:line="250" w:lineRule="auto"/>
        <w:tabs>
          <w:tab w:leader="none" w:pos="2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competitive position is largely dependent on the services of our senior management and other key personnel, including our founder and Chief Creative Officer, Jessica Warren and our Chief Executive Officer, Nick Vlahos.</w:t>
      </w: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our operations could have an adverse effect on our business.</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had and may continue to have an adverse effect on our business, financial condition, results of operations and prospects.</w:t>
      </w:r>
    </w:p>
    <w:p>
      <w:pPr>
        <w:spacing w:after="0" w:line="9" w:lineRule="exact"/>
        <w:rPr>
          <w:rFonts w:ascii="Times New Roman" w:cs="Times New Roman" w:eastAsia="Times New Roman" w:hAnsi="Times New Roman"/>
          <w:sz w:val="18"/>
          <w:szCs w:val="18"/>
          <w:color w:val="auto"/>
        </w:rPr>
      </w:pPr>
    </w:p>
    <w:p>
      <w:pPr>
        <w:ind w:left="420" w:right="140" w:hanging="412"/>
        <w:spacing w:after="0" w:line="250" w:lineRule="auto"/>
        <w:tabs>
          <w:tab w:leader="none" w:pos="2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including our costs and supply chain, is subject to risks associated with sourcing, manufacturing, warehousing and logistics, and the loss of any of our key suppliers or logistical service providers could negatively impact our business.</w:t>
      </w:r>
    </w:p>
    <w:p>
      <w:pPr>
        <w:ind w:left="420" w:right="320" w:hanging="412"/>
        <w:spacing w:after="0" w:line="250"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suppliers, manufacturers, retail and ecommerce partners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spacing w:after="0" w:line="1" w:lineRule="exact"/>
        <w:rPr>
          <w:rFonts w:ascii="Times New Roman" w:cs="Times New Roman" w:eastAsia="Times New Roman" w:hAnsi="Times New Roman"/>
          <w:sz w:val="18"/>
          <w:szCs w:val="18"/>
          <w:color w:val="auto"/>
        </w:rPr>
      </w:pPr>
    </w:p>
    <w:p>
      <w:pPr>
        <w:ind w:left="420" w:right="240" w:hanging="412"/>
        <w:spacing w:after="0" w:line="250" w:lineRule="auto"/>
        <w:tabs>
          <w:tab w:leader="none" w:pos="2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disputes and the U.S. government’s trade policy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0" w:name="page41"/>
    <w:bookmarkEnd w:id="40"/>
    <w:p>
      <w:pPr>
        <w:ind w:left="420" w:right="80" w:hanging="412"/>
        <w:spacing w:after="0" w:line="282" w:lineRule="auto"/>
        <w:tabs>
          <w:tab w:leader="none" w:pos="25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affected if we are unable to provide our consumers with a technology platform that is able to respond and adapt to rapid changes in technology.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63"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than the risk factors set forth below, there have been no material changes to the risk factors set forth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included in our Annual Report.</w:t>
      </w:r>
    </w:p>
    <w:p>
      <w:pPr>
        <w:spacing w:after="0" w:line="170" w:lineRule="exact"/>
        <w:rPr>
          <w:sz w:val="20"/>
          <w:szCs w:val="20"/>
          <w:color w:val="auto"/>
        </w:rPr>
      </w:pPr>
    </w:p>
    <w:p>
      <w:pPr>
        <w:ind w:right="7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The COVID-19 pandemic and overall macro economic trends have had and may continue to have an adverse effect on our business, financial condition, results of operations and prospects.</w:t>
      </w:r>
    </w:p>
    <w:p>
      <w:pPr>
        <w:spacing w:after="0" w:line="171"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231F20"/>
        </w:rPr>
        <w:t xml:space="preserve">In connection with the COVID-19 pandemic, governments have implemented significant measures, including closures, quarantines, travel restrictions and other social distancing directives, intended to control the spread of the virus. Companies have also taken precautions, such as requiring employees to work remotely or on a hybrid remote schedule, imposing travel restrictions and temporarily closing businesses. For example, due to new COVID-19 lockdown restrictions in China in the second quarter of 2022, many of the ports have shut down which has negatively impacted and may in the future negatively impact our ability to timely receive shipments of our products. To the extent that these restrictions remain in place, additional prevention and mitigation measures are implemented in the future, or there is uncertainty about the effectiveness of these or any other measures to contain the spread of COVID-19, there has been and continues to be an adverse impact on global economic conditions and consumer confidence and spending, which has adversely affected our supply chain as well as the demand for our products and has impacted our revenue and ability to service our customer orders. For example, </w:t>
      </w:r>
      <w:r>
        <w:rPr>
          <w:rFonts w:ascii="Times New Roman" w:cs="Times New Roman" w:eastAsia="Times New Roman" w:hAnsi="Times New Roman"/>
          <w:sz w:val="18"/>
          <w:szCs w:val="18"/>
          <w:color w:val="000000"/>
        </w:rPr>
        <w:t>the out-of-stock inventory due to supply chain disruptions has been significant on several key items, particularly in our Skin and Personal Care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and Diapers and Wipes product categories. </w:t>
      </w:r>
      <w:r>
        <w:rPr>
          <w:rFonts w:ascii="Times New Roman" w:cs="Times New Roman" w:eastAsia="Times New Roman" w:hAnsi="Times New Roman"/>
          <w:sz w:val="18"/>
          <w:szCs w:val="18"/>
          <w:color w:val="231F20"/>
        </w:rPr>
        <w:t>While at this time we are working to manage potential disruptions to our supply chain, the fluid nature of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COVID-19 pandemic and uncertainties regarding the related economic impact, as well as overall macroeconomic trends, are likely to result in sustained market turmoil, which could also have an adverse effect on our business, financial condition, results of operations and prospects.</w:t>
      </w:r>
    </w:p>
    <w:p>
      <w:pPr>
        <w:spacing w:after="0" w:line="23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231F20"/>
        </w:rPr>
        <w:t>The impact of the COVID-19 pandemic and overall macroeconomic trends on any of our suppliers, manufacturers, retail or ecommerce partners or transportation or logistics providers has and may continue to negatively affect the price and availability of our materials and impact our supply chain. For example, there is a supplier shortage of various raw materials used in manufacturing and distributing our products, including tree-free paper, post-consumer recycled plastic resin, post-consumer recycled cardboard shipping cartons for our Honest.com shipments and palm kernel oil. If the disruptions caused by the COVID-19 pandemic continue for an extended period of time, our ability to meet the demands of our consumers may be materially impacted. For example, government restrictions have limited and may in the future limit the personnel available to receive or ship products at our distribution centers. In addition, the conditions caused by the COVID-19 pandemic may negatively impact collections of accounts receivable and cause some of our retail partners to go out of business, all of which could adversely affect our business, financial condition, results of operations and prospects.</w:t>
      </w:r>
    </w:p>
    <w:p>
      <w:pPr>
        <w:spacing w:after="0" w:line="70"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231F20"/>
        </w:rPr>
        <w:t xml:space="preserve">In addition, any depression or recession resulting from the COVID-19 pandemic or other factors may adversely change customer and consumer behavior and demand, including with respect to our products, which could have an adverse effect on our business, financial condition, results of operations and prospects. For example, economic conditions, including inflationary pressures such as price increases in commodity prices, labor costs, input costs and transportation costs have impacted our profit margin and could impact consumer spending decisions to choose lower priced products. Our Digital channel has been negatively impacted in recent periods as consumers return to in-store shopping and our Retail channel may be impacted if governments continue to implement regional business closures, quarantines, travel restrictions and other social distancing directives to slow the spread of the COVID-19 virus. Further, to the extent our third-party ecommerce or retail customers’ operations are negatively impacted, our consumers may reduce demand for or spending on our products, or consumers or ecommerce or retail partners may delay payments to us or request payment or other concessions. There may also be significant reductions or volatility in consumer demand for our products due to travel restrictions or social distancing directives, as well as the temporary inability of consumers to purchase our products due to illness, quarantine or financial hardship, shifts in demand away from one or more of our products, decreased consumer confidence and spending or pantry-loading activity, any of which may negatively impact our business, including as a result of an increased difficulty in planning for operations. For example, based on macro Household and Wellness trends, consumer demand for sanitizing and disinfecting products has decelerated at a more rapid than expected rate as more consumers have become vaccinated and retailers continue to manage heavy inventories of sanitization and disinfecting products in stores. We recorded an inventory write-off of </w:t>
      </w:r>
      <w:r>
        <w:rPr>
          <w:rFonts w:ascii="Times New Roman" w:cs="Times New Roman" w:eastAsia="Times New Roman" w:hAnsi="Times New Roman"/>
          <w:sz w:val="18"/>
          <w:szCs w:val="18"/>
          <w:color w:val="000000"/>
        </w:rPr>
        <w:t>$0.2 million and $0.8 million, respectively, during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three and six months ended June 30, 2022 and </w:t>
      </w:r>
      <w:r>
        <w:rPr>
          <w:rFonts w:ascii="Times New Roman" w:cs="Times New Roman" w:eastAsia="Times New Roman" w:hAnsi="Times New Roman"/>
          <w:sz w:val="18"/>
          <w:szCs w:val="18"/>
          <w:color w:val="231F20"/>
        </w:rPr>
        <w:t>$5.6 million for the year ended December 31, 2021 relating to certain sanitization and disinfecting products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as the amount of inventory was significantly in excess of existing demand. Additionally, we may be unable to effectively modify our trade promotion and advertising activities to reflect changing consumer viewing and shopping habits due to event cancellations, reduced in-store visits and travel restrictions, among other things.</w:t>
      </w:r>
    </w:p>
    <w:p>
      <w:pPr>
        <w:spacing w:after="0" w:line="22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231F20"/>
        </w:rPr>
        <w:t>The extent of the COVID-19 pandemic’s effect on our operational and financial performance will depend on future developments, including the duration and intensity of the COVID-19 pandemic and the impact of any new variants of COVID-19, all of which are uncertain and difficult to predict considering the rapidly evolving landscape. As a result, it is not currently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ind w:right="180"/>
        <w:spacing w:after="0" w:line="266" w:lineRule="auto"/>
        <w:rPr>
          <w:sz w:val="20"/>
          <w:szCs w:val="20"/>
          <w:color w:val="auto"/>
        </w:rPr>
      </w:pPr>
      <w:r>
        <w:rPr>
          <w:rFonts w:ascii="Times New Roman" w:cs="Times New Roman" w:eastAsia="Times New Roman" w:hAnsi="Times New Roman"/>
          <w:sz w:val="18"/>
          <w:szCs w:val="18"/>
          <w:color w:val="231F20"/>
        </w:rPr>
        <w:t>possible to ascertain the overall impact of the COVID-19 pandemic on our business. However, if the pandemic continues to persist as a severe worldwide health crisis, the pandemic could have an adverse effect on our business, financial condition, results of operations and prospects, and may also have the effect of heightening many of the other risks described in this “Risk Factors” section.</w:t>
      </w:r>
    </w:p>
    <w:p>
      <w:pPr>
        <w:spacing w:after="0" w:line="185"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manufacturers, retail and ecommerce partners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spacing w:after="0" w:line="20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We do not own or operate any manufacturing facilities. We use multiple third-party suppliers and manufacturers based primarily in the United States, China and Mexico and other countries to a lesser extent, to source and manufacture all of our products, including product components, under our owned brand. We engage many of our third-party suppliers and manufacturers on a purchase order basis and in some cases are not party to long-term contracts with them. The ability and willingness of these third parties to supply and manufacture our products may be affected by competing orders placed by other companies and the demands of those companies. If we experience significant increases in demand, or need to replace a significant number of existing suppliers or manufacturers, there can be no assurance that additional supply and manufacturing capacity will be available when required on terms that are acceptable to us, or at all, or that any supplier or manufacturer will allocate sufficient capacity to us in order to meet our requirements. Furthermore, our reliance on suppliers and manufacturers outside of the United States, the number of third parties with whom we transact and the number of jurisdictions to which we sell complicates our efforts to comply with customs duties and excise taxes; any failure to comply could adversely affect our business.</w:t>
      </w:r>
    </w:p>
    <w:p>
      <w:pPr>
        <w:spacing w:after="0" w:line="212"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 xml:space="preserve">In addition, quality control problems, such as the use of materials and delivery of products that do not meet our quality control standards and specifications or comply with applicable laws or regulations, could harm our business. For example, as disinfecting and sanitization products have faced supply chain challenges, decelerating market demand and aging and slower turning inventory, we have received some product quality complaints from customers and consumers that have resulted and may in the future result in additional refunds, returns, write-offs and remediation costs. Remediation costs would be significant, including the cost to rework a product to be in sellable condition or the cost to destroy a product that cannot be remediated, and while immaterial as of June 30, 2022, it </w:t>
      </w:r>
      <w:r>
        <w:rPr>
          <w:rFonts w:ascii="Times New Roman" w:cs="Times New Roman" w:eastAsia="Times New Roman" w:hAnsi="Times New Roman"/>
          <w:sz w:val="18"/>
          <w:szCs w:val="18"/>
          <w:color w:val="231F20"/>
        </w:rPr>
        <w:t>could have an adverse effect on our business, financial condition and results of operations.</w:t>
      </w:r>
      <w:r>
        <w:rPr>
          <w:rFonts w:ascii="Times New Roman" w:cs="Times New Roman" w:eastAsia="Times New Roman" w:hAnsi="Times New Roman"/>
          <w:sz w:val="18"/>
          <w:szCs w:val="18"/>
          <w:color w:val="auto"/>
        </w:rPr>
        <w:t xml:space="preserve"> Quality control problems could result in regulatory action, such as restrictions on importation, products of inferior quality or product stock outages or shortages, harming our sales and creating inventory write-downs for unusable products.</w:t>
      </w:r>
    </w:p>
    <w:p>
      <w:pPr>
        <w:spacing w:after="0" w:line="201"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We have also outsourced portions of our fulfillment process, as well as certain technology-related functions, to third-party service providers. Specifically, we rely on third parties in a number of foreign countries and territories, we are dependent on third-party vendors for credit card processing, and we use third-party hosting and networking providers to host our sites. The failure of one or more of these entities to provide the expected services on a timely basis, or at all, or at the prices we expect, or the costs and disruption incurred in changing these outsourced functions to being performed under our management and direct control or that of a third party, could have an adverse effect on our business, financial condition, results of operations and prospects. We are not party to long-term contracts with some of our retail and ecommerce partners, and upon expiration of these existing agreements, we may not be able to renegotiate the terms on a commercially reasonable basis, or at all.</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Further, our third-party manufacturers, suppliers and retail and ecommerce partners may:</w:t>
      </w:r>
    </w:p>
    <w:p>
      <w:pPr>
        <w:spacing w:after="0" w:line="11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economic or business interests or goals that are inconsistent with ours;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actions contrary to our instructions, requests, policies or objectives;</w:t>
      </w:r>
    </w:p>
    <w:p>
      <w:pPr>
        <w:spacing w:after="0" w:line="117"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or unwilling to fulfill their obligations under relevant purchase orders or manufacturing or supply agreements, including obligations to meet our production deadlines, quality standards, pricing guidelines and product specifications, and to comply with applicable regulations, including those regarding the safety and quality of products;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financial difficulties;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raw material or labor shortages;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increases in raw material or labor costs which may affect our procurement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difficulties with proper payment of custom duties or excise taxes;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our confidential information or intellectual property to competitors or third parties;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activities or employ practices that may harm our reputation;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be acquired by, or come under control of, our competitors.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231F20"/>
        </w:rPr>
        <w:t>Our results of operations could be harmed if we are unable to accurately forecast demand for our products.</w:t>
      </w:r>
    </w:p>
    <w:p>
      <w:pPr>
        <w:spacing w:after="0" w:line="25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231F20"/>
        </w:rPr>
        <w:t xml:space="preserve">To ensure adequate inventory supply, we must forecast inventory needs and place orders with our third-party manufacturers before firm orders are placed by our consumers or our retail and third-party ecommerce partners. If we fail to accurately forecast consumer and customer demand, we may experience excess inventory levels or a shortage of products to deliver to our consumers and customers. Factors that could affect our ability to accurately forecast demand for our products include: an unanticipated increase or decrease in demand for our products; our failure to accurately forecast acceptance for our new products; product introductions by competitors; unanticipated changes in general market conditions or other factors, which may result in cancellations of advance orders or a reduction or increase in the rate of reorders or at-once orders placed by retailers; the impact on demand due to unseasonable weather conditions; weakening of economic conditions or consumer or customer confidence in future economic conditions, which could reduce demand for discretionary items, such as our products; and terrorism or acts of war, or the threat thereof, or political or labor instability or unrest, which could adversely affect consumer or customer confidence and spending or interrupt production and distribution of product and raw materials. For example, we periodically participate in </w:t>
      </w:r>
      <w:r>
        <w:rPr>
          <w:rFonts w:ascii="Times New Roman" w:cs="Times New Roman" w:eastAsia="Times New Roman" w:hAnsi="Times New Roman"/>
          <w:sz w:val="18"/>
          <w:szCs w:val="18"/>
          <w:color w:val="000000"/>
        </w:rPr>
        <w:t>non-recurring retail rotational programs, including a Costco rotational program that has not been renewed in 2022,</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key retailer-specific programs or other customer test programs, which might not be successful or continue long-term, which could make forecasting demand for products in these programs challenging.</w:t>
      </w:r>
    </w:p>
    <w:p>
      <w:pPr>
        <w:spacing w:after="0" w:line="8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231F20"/>
        </w:rPr>
        <w:t xml:space="preserve">Inventory levels in excess of consumer or customer demand have resulted and may result in inventory write-downs or write-offs and the sale of excess inventory at discounted prices or in less preferred distribution channels, which could impair our brand image and harm our business. For example, based on macro Household and Wellness trends, consumer demand for sanitizing and disinfecting products has decelerated at a more rapid than expected rate as more consumers have become vaccinated and retailers continue to manage heavy inventories of sanitization and disinfecting products in stores. We recorded an inventory write-off of </w:t>
      </w:r>
      <w:r>
        <w:rPr>
          <w:rFonts w:ascii="Times New Roman" w:cs="Times New Roman" w:eastAsia="Times New Roman" w:hAnsi="Times New Roman"/>
          <w:sz w:val="18"/>
          <w:szCs w:val="18"/>
          <w:color w:val="000000"/>
        </w:rPr>
        <w:t>$0.2 million and $0.8 million, respectively, during the three and six months ended June 30, 2022 and</w:t>
      </w:r>
      <w:r>
        <w:rPr>
          <w:rFonts w:ascii="Times New Roman" w:cs="Times New Roman" w:eastAsia="Times New Roman" w:hAnsi="Times New Roman"/>
          <w:sz w:val="18"/>
          <w:szCs w:val="18"/>
          <w:color w:val="231F20"/>
        </w:rPr>
        <w:t xml:space="preserve"> $5.6 million for the year ended December 31, 2021 relating to certain sanitization and disinfecting products as the amount of inventory was significantly in excess of existing demand. In addition, if we underestimate the demand for our products, our third-party manufacturers may not be able to produce products to meet our consumer or customer requirements, and this could result in delays in the shipment of our products and our ability to recognize revenue, lost sales, as well as damage to our reputation and retailer and distributor relationships. For example, </w:t>
      </w:r>
      <w:r>
        <w:rPr>
          <w:rFonts w:ascii="Times New Roman" w:cs="Times New Roman" w:eastAsia="Times New Roman" w:hAnsi="Times New Roman"/>
          <w:sz w:val="18"/>
          <w:szCs w:val="18"/>
          <w:color w:val="000000"/>
        </w:rPr>
        <w:t>the out-of-stock inventory due to supply chain disruptions has been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significant on several key items, particularly in our Skin and Personal Care and Diapers and Wipes product categories.</w:t>
      </w:r>
    </w:p>
    <w:p>
      <w:pPr>
        <w:spacing w:after="0" w:line="8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231F20"/>
        </w:rPr>
        <w:t>The difficulty in forecasting demand also makes it difficult to estimate our future results of operations and financial condition from period to period. A failure to accurately predict the level of demand for our products could adversely affect our business, financial condition, results of operations and prospects.</w:t>
      </w:r>
    </w:p>
    <w:p>
      <w:pPr>
        <w:spacing w:after="0" w:line="6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must expend resources to maintain consumer awareness of our brand, build brand loyalty and generate interest in our products. Our marketing strategies and channels will evolve and our efforts may or may not be successful.</w:t>
      </w:r>
    </w:p>
    <w:p>
      <w:pPr>
        <w:spacing w:after="0" w:line="186"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231F20"/>
        </w:rPr>
        <w:t>In order to remain competitive and expand and keep market share for our products across our various channels, we may need to increase our marketing and advertising spending to maintain and increase consumer awareness, protect and grow our existing market share or promote new products, which could impact our operating results. Additionally, we may choose to change one of our marketing or advertising partners, which may prove to be unsuccessful. Substantial advertising and promotional expenditures may be required to maintain or improve our brand’s market position or to introduce new products to the market, and we are increasingly engaging with non-traditional media, including consumer outreach through social media and web-based channels, which may not prove successful. An increase in our marketing and advertising efforts may not maintain our current reputation or lead to increased brand awareness. Further, social media platforms frequently change the algorithms that determine the ranking and display of results of a user’s search and may make other changes to the way results are displayed, which may negatively affect the placement of our links. Moreover, social media platforms and other digital advertising platforms have increased the costs of digital advertising which has made such marketing less cost effective and reduced the number of visits to our website and social media channels. In addition, social media platforms typically require compliance with their policies and procedures, which may be subject to change or new interpretation with limited ability to negotiate, which could negatively impact our marketing capabilities. If we are unable to maintain and promote a favorable perception of our brand and products on a cost-effective basis, our business, financial condition, results of operations and prospects could be adversely affected.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subject to international business uncertainties.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231F20"/>
        </w:rPr>
        <w:t>In 2021, international sales represented 2% of total revenue and part of our strategy is to accelerate growth outside of the United States. In addition, our business relies on third-party suppliers and manufacturers located in China, Mexico, and certain other foreign countries. We intend to continue to sell to consumers outside the United States and maintain our relationships in China, Mexico, and other foreign countries where we have suppliers and manufacturers. Further, we may establish additional relationships in other countries to grow our operations. The substantial up-front investment required, the lack of consumer awareness of our products in jurisdictions outside of the United States, differences in consumer preferences and trends between the United States and other jurisdictions, the risk of inadequate intellectual property protections and differences in packaging, labeling and related laws, rules and regulations are all substantial matters that need to be evaluated prior to doing business in new</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43" w:name="page44"/>
    <w:bookmarkEnd w:id="43"/>
    <w:p>
      <w:pPr>
        <w:spacing w:after="0" w:line="282" w:lineRule="auto"/>
        <w:rPr>
          <w:sz w:val="20"/>
          <w:szCs w:val="20"/>
          <w:color w:val="auto"/>
        </w:rPr>
      </w:pPr>
      <w:r>
        <w:rPr>
          <w:rFonts w:ascii="Times New Roman" w:cs="Times New Roman" w:eastAsia="Times New Roman" w:hAnsi="Times New Roman"/>
          <w:sz w:val="18"/>
          <w:szCs w:val="18"/>
          <w:color w:val="231F20"/>
        </w:rPr>
        <w:t>territories. We cannot be assured that our international efforts will be successful. International sales and increased international operations may be subject to risks such as:</w:t>
      </w:r>
    </w:p>
    <w:p>
      <w:pPr>
        <w:spacing w:after="0" w:line="67"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difficulties in staffing and managing foreign operations and geographically dispersed operations;</w:t>
      </w:r>
    </w:p>
    <w:p>
      <w:pPr>
        <w:spacing w:after="0" w:line="121" w:lineRule="exact"/>
        <w:rPr>
          <w:rFonts w:ascii="Times New Roman" w:cs="Times New Roman" w:eastAsia="Times New Roman" w:hAnsi="Times New Roman"/>
          <w:sz w:val="20"/>
          <w:szCs w:val="20"/>
          <w:color w:val="auto"/>
        </w:rPr>
      </w:pPr>
    </w:p>
    <w:p>
      <w:pPr>
        <w:ind w:left="660" w:right="500" w:hanging="328"/>
        <w:spacing w:after="0" w:line="255"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burdens of complying with a wide variety of laws and regulations, including more stringent regulations relating to data privacy and security, particularly in the European Union;</w:t>
      </w:r>
    </w:p>
    <w:p>
      <w:pPr>
        <w:spacing w:after="0" w:line="8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adverse tax effects and foreign exchange controls making it difficult to repatriate earnings and cash;</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political and economic instability;</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terrorist activities and natural disasters;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trade restrictions;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differing employment practices and laws and labor disruptions;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imposition of government controls;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an inability to use or to obtain adequate intellectual property protection for our brand and key products;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difficulties in enforcing contracts and legal decisions;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tariffs and customs duties and the classifications of our goods by applicable governmental bodies;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 legal system subject to undue influence or corruption;</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 business culture in which illegal sales practices may be prevalent;</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logistics and sourcing; and</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military conflicts.</w:t>
      </w:r>
    </w:p>
    <w:p>
      <w:pPr>
        <w:spacing w:after="0" w:line="10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231F20"/>
        </w:rPr>
        <w:t>The occurrence of any of these risks could have an adverse effect on our international business and consequently our overall business, financial condition, results of operations and prospects.</w:t>
      </w:r>
    </w:p>
    <w:p>
      <w:pPr>
        <w:spacing w:after="0" w:line="40"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In addition, following Russia’s military invasion of Ukraine in February 2022, the United States, European Union, and other nations announced various sanctions against Russia and Belarus. The invasion of Ukraine and the retaliatory measures that have been taken, and could be taken in future, by the United States, NATO, and other countries have created global security concerns that could result in a regional conflict and otherwise have a lasting impact on regional and global economies and supply chains, any or all of which could adversely affect our business, financial condition, results of operations and prospects. For example, although we don't rely directly on Russia for oil supplies, the suppliers we do source oil from could pass on price increases to us, as a result of the overall increase in oil prices. In addition, Russia's invasion of Ukraine has impacted the availability of sunflower seed oil and its derivatives, which are used in a number of our Skin and Personal Care products, and has resulted in heightened demand for replacement ingredients, such as palm kernel oil, which have availability constraints or are subject to trade restrictions. While we believe we have supply assurances or alternate sources of supply for both sunflower seed oil, its derivatives and palm kernel oil, additional market availability constraints of these raw materials could have an adverse effect on our business, financial condition, results of operations and prospects.</w:t>
      </w:r>
    </w:p>
    <w:p>
      <w:pPr>
        <w:spacing w:after="0" w:line="215"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including our costs and supply chain, is subject to risks associated with sourcing, manufacturing, warehousing, distribution and logistics, and the loss of any of our key suppliers or logistical service providers could negatively impact our business.</w:t>
      </w:r>
    </w:p>
    <w:p>
      <w:pPr>
        <w:spacing w:after="0" w:line="185"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All of the products we offer are manufactured by a limited number of third-party manufacturers, and as a result we have been and may continue to be subject to price fluctuations or demand disruptions. Our operating results have been negatively impacted by increases in the costs of manufacturing our products, and we have no guarantees that costs will not continue to rise. For example, some of our contracts with third-party manufacturers have clauses that trigger good faith renegotiation of purchase costs in the case of significant raw material cost escalation. In the fourth quarter of 2021, we were informed by two third-party manufacturers in our Diapers and Wipes and Skin and Personal Care categories that those hurdles had been met. As a result, we negotiated and agreed to higher purchase prices which will negatively impact our cost of goods in 2022. We have also continued to experience record-high freight and shipping costs. As we expand into new categories and product types, we expect that we may not have strong purchasing power in these new areas, which could lead to higher costs than we have historically seen in our current categories. We may also be limited in our ability to pass increased costs on to consumers, which could adversely affect our operating results. Moreover, in the event of a significant disruption in the supply of the materials used in the manufacture of the products we offer, we and the vendors that we work with might not be able to locate alternative suppliers of materials of comparable quality at an acceptable price.</w:t>
      </w:r>
    </w:p>
    <w:p>
      <w:pPr>
        <w:spacing w:after="0" w:line="218"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Products and merchandise we receive from manufacturers and suppliers may not be of sufficient quality or free from damage, or such products may be damaged during shipping, while stored in our warehouse fulfillment centers or with third-party</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4" w:name="page45"/>
    <w:bookmarkEnd w:id="44"/>
    <w:p>
      <w:pPr>
        <w:ind w:right="380"/>
        <w:spacing w:after="0" w:line="242" w:lineRule="auto"/>
        <w:rPr>
          <w:sz w:val="20"/>
          <w:szCs w:val="20"/>
          <w:color w:val="auto"/>
        </w:rPr>
      </w:pPr>
      <w:r>
        <w:rPr>
          <w:rFonts w:ascii="Times New Roman" w:cs="Times New Roman" w:eastAsia="Times New Roman" w:hAnsi="Times New Roman"/>
          <w:sz w:val="18"/>
          <w:szCs w:val="18"/>
          <w:color w:val="auto"/>
        </w:rPr>
        <w:t>ecommerce or retail customers or when returned by consumers. We may incur additional expenses and our reputation could be harmed if customers or consumers and potential consumers believe that our products do not meet their expectations, are not properly labeled or are damaged. For example, as disinfecting and sanitization products have faced supply chain challenges, decelerating market demand and aging and slower turning inventory, the Company has received some product quality complaints from customers and consumers that have resulted or may result in additional refunds, returns, write-offs and remediation costs.</w:t>
      </w:r>
    </w:p>
    <w:p>
      <w:pPr>
        <w:spacing w:after="0" w:line="21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7"/>
          <w:szCs w:val="17"/>
          <w:color w:val="auto"/>
        </w:rPr>
        <w:t>We purchase significant amounts of product supply from a limited number of suppliers with limited supply capabilities. There can be no assurance that our current suppliers will be able to accommodate our anticipated growth or continue to supply current quantities at preferential prices. An inability of our existing suppliers to provide materials in a timely or cost-effective manner could impair our growth and have an adverse effect on our business, financial condition, results of operations and prospects. For example, Valor Brands LLC (dba Ontex North America), or Ontex, which manufactures and supplies certain diaper products for us, is opening a new manufacturing facility in North Carolina and its new facility may not be able to manufacture our diapers in a timely, cost-effective manner or meet our quality standards. In addition, we do not maintain long-term supply contracts with many of our suppliers and these suppliers could discontinue selling to us at any time. However, we have a long-term supply agreement with Ontex for the manufacture and supply of certain diaper products. The current term of the supply agreement with Ontex ends on December 31, 2023. In addition, our agreement with Ontex provides that Ontex will be our exclusive supplier of diaper and training pant products so long as Ontex is able to provide us such products. Either party may terminate the agreement if the other party materially breaches the agreement and does not cure the breach within a specified notice period, or upon the other party’s insolvency. If the agreement with Ontex is terminated, is not renewed, or if Ontex becomes insolvent, ceases or significantly reduces its operations or experiences financial distress, as a result of the COVID-19 pandemic or otherwise, or if any environmental, economic or other outside factors impact their operations, our ability to procure diaper manufacturing services may be impaired, and we may not be able to obtain, or may face increased costs related to, such services. The loss of Ontex, or of any of our other significant suppliers, or the discontinuance of any preferential pricing or exclusive incentives they currently offer to us could have an adverse effect on our business, financial condition, results of operations and prospects.</w:t>
      </w:r>
    </w:p>
    <w:p>
      <w:pPr>
        <w:spacing w:after="0" w:line="19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We continually seek to expand our base of suppliers, especially as we identify new products that necessitate new or additional materials. We also require our new and existing suppliers to meet our ethical and business partner standards. Suppliers may also have to meet governmental and industry standards and any relevant standards required by our consumers, which may require additional investment and time on behalf of suppliers and us. If any of our key suppliers becomes insolvent, ceases or significantly reduces its operations or experiences financial distress, as a result of the COVID-19 pandemic or otherwise, if any environmental, economic or other outside factors impact their operations or if we are unable to identify or enter into distribution relationships with new suppliers or to replace the loss of any of our existing suppliers, we may experience a competitive disadvantage, our business may be disrupted and our business, financial condition, results of operations and prospects could be adversely affected.</w:t>
      </w:r>
    </w:p>
    <w:p>
      <w:pPr>
        <w:spacing w:after="0" w:line="212"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Our principal suppliers currently provide us with certain incentives such as volume purchasing, trade discounts, cooperative advertising and market development funds. A reduction or discontinuance of these incentives would increase our costs and could reduce our ability to achieve or maintain profitability. Similarly, if one or more of our suppliers were to offer these incentives, including preferential pricing, to our competitors, our competitive advantage would be reduced, which could have an adverse effect on our business, financial condition, results of operations and prospects.</w:t>
      </w:r>
    </w:p>
    <w:p>
      <w:pPr>
        <w:spacing w:after="0" w:line="208"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In addition, we have warehouse fulfillment centers located in Las Vegas, Nevada, Breinigsville, Pennsylvania and the Netherlands, all of which are managed by a single distribution partner, GEODIS Logistics LLC, or GEODIS. We have an agreement with GEODIS pursuant to which GEODIS provides warehousing, distribution and fulfillment services to us. Our agreement with GEODIS may be terminated for any reason by us or by GEODIS on delivery of prior written notice, and is renewable on an annual basis. If the agreement with GEODIS is terminated, is not renewed or if one fulfillment center is consolidated into another warehouse fulfillment center or if GEODIS becomes insolvent, ceases or significantly reduces its operations or experiences financial distress, as a result of the COVID-19 pandemic or otherwise, or if any environmental, economic or other outside factors impact their operations, our ability to procure warehousing, distribution and fulfillment services may be impaired, and we may not be able to obtain, or may face increased costs related to, such services and our business, financial condition, results of operations and prospects could be adversely affected. For example, we are negotiating the renewal of our agreement with GEODIS for services at our Las Vegas fulfillment center. If we are not successful negotiating that renewal, our business, financial condition, results of operations and prospects could be adversely affected.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56"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11315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61"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3.1</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3.2</w:t>
        </w:r>
      </w:hyperlink>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0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5597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4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Amended and Restated Articles of Incorporation, as currently in effect (incorporated herein by reference to Exhibit 3.1 to the Company’s Current Report on Form 8-K (File No. 001-40378), filed with the SEC on May 11, 2021).</w:t>
      </w:r>
    </w:p>
    <w:p>
      <w:pPr>
        <w:ind w:right="420"/>
        <w:spacing w:after="0" w:line="266" w:lineRule="auto"/>
        <w:rPr>
          <w:sz w:val="20"/>
          <w:szCs w:val="20"/>
          <w:color w:val="auto"/>
        </w:rPr>
      </w:pPr>
      <w:r>
        <w:rPr>
          <w:rFonts w:ascii="Times New Roman" w:cs="Times New Roman" w:eastAsia="Times New Roman" w:hAnsi="Times New Roman"/>
          <w:sz w:val="18"/>
          <w:szCs w:val="18"/>
          <w:color w:val="auto"/>
        </w:rPr>
        <w:t>Amended and Restated Bylaws, as currently in effect (incorporated herein by reference to Exhibit 3.2 to the Company’s Current Report on Form 8-K (File No. 001-40378), filed with the SEC on May 11, 2021).</w:t>
      </w:r>
    </w:p>
    <w:p>
      <w:pPr>
        <w:spacing w:after="0" w:line="1" w:lineRule="exact"/>
        <w:rPr>
          <w:sz w:val="20"/>
          <w:szCs w:val="20"/>
          <w:color w:val="auto"/>
        </w:rPr>
      </w:pPr>
    </w:p>
    <w:p>
      <w:pPr>
        <w:sectPr>
          <w:pgSz w:w="11900" w:h="16838" w:orient="portrait"/>
          <w:cols w:equalWidth="0" w:num="2">
            <w:col w:w="1520" w:space="660"/>
            <w:col w:w="9040"/>
          </w:cols>
          <w:pgMar w:left="320" w:top="684" w:right="359" w:bottom="1440" w:gutter="0" w:footer="0" w:header="0"/>
        </w:sectPr>
      </w:pPr>
    </w:p>
    <w:tbl>
      <w:tblPr>
        <w:tblLayout w:type="fixed"/>
        <w:tblInd w:w="20" w:type="dxa"/>
        <w:tblCellMar>
          <w:top w:w="0" w:type="dxa"/>
          <w:left w:w="0" w:type="dxa"/>
          <w:bottom w:w="0" w:type="dxa"/>
          <w:right w:w="0" w:type="dxa"/>
        </w:tblCellMar>
      </w:tblPr>
      <w:tr>
        <w:trPr>
          <w:trHeight w:val="207"/>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9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Amendment Nineteen to the Logistics Services Agreement, dated as of May 17, 2022, by and between the Company and</w:t>
            </w:r>
          </w:p>
        </w:tc>
      </w:tr>
      <w:tr>
        <w:trPr>
          <w:trHeight w:val="237"/>
        </w:trPr>
        <w:tc>
          <w:tcPr>
            <w:tcW w:w="320" w:type="dxa"/>
            <w:vAlign w:val="bottom"/>
            <w:tcBorders>
              <w:top w:val="single" w:sz="8" w:color="0000FF"/>
            </w:tcBorders>
          </w:tcPr>
          <w:p>
            <w:pPr>
              <w:spacing w:after="0"/>
              <w:rPr>
                <w:sz w:val="20"/>
                <w:szCs w:val="20"/>
                <w:color w:val="auto"/>
              </w:rPr>
            </w:pPr>
          </w:p>
        </w:tc>
        <w:tc>
          <w:tcPr>
            <w:tcW w:w="1100" w:type="dxa"/>
            <w:vAlign w:val="bottom"/>
          </w:tcPr>
          <w:p>
            <w:pPr>
              <w:spacing w:after="0"/>
              <w:rPr>
                <w:sz w:val="20"/>
                <w:szCs w:val="20"/>
                <w:color w:val="auto"/>
              </w:rPr>
            </w:pPr>
          </w:p>
        </w:tc>
        <w:tc>
          <w:tcPr>
            <w:tcW w:w="9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Geodis Logistics, LLC.</w:t>
            </w:r>
          </w:p>
        </w:tc>
      </w:tr>
      <w:tr>
        <w:trPr>
          <w:trHeight w:val="229"/>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p>
        </w:tc>
        <w:tc>
          <w:tcPr>
            <w:tcW w:w="9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Amendment Twenty to the Logistics Services Agreement, dated as of July 15, 2022, by and between the Company and</w:t>
            </w:r>
          </w:p>
        </w:tc>
      </w:tr>
      <w:tr>
        <w:trPr>
          <w:trHeight w:val="237"/>
        </w:trPr>
        <w:tc>
          <w:tcPr>
            <w:tcW w:w="320" w:type="dxa"/>
            <w:vAlign w:val="bottom"/>
            <w:tcBorders>
              <w:top w:val="single" w:sz="8" w:color="0000FF"/>
            </w:tcBorders>
          </w:tcPr>
          <w:p>
            <w:pPr>
              <w:spacing w:after="0"/>
              <w:rPr>
                <w:sz w:val="20"/>
                <w:szCs w:val="20"/>
                <w:color w:val="auto"/>
              </w:rPr>
            </w:pPr>
          </w:p>
        </w:tc>
        <w:tc>
          <w:tcPr>
            <w:tcW w:w="1100" w:type="dxa"/>
            <w:vAlign w:val="bottom"/>
          </w:tcPr>
          <w:p>
            <w:pPr>
              <w:spacing w:after="0"/>
              <w:rPr>
                <w:sz w:val="20"/>
                <w:szCs w:val="20"/>
                <w:color w:val="auto"/>
              </w:rPr>
            </w:pPr>
          </w:p>
        </w:tc>
        <w:tc>
          <w:tcPr>
            <w:tcW w:w="9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Geodis Logistics, LLC.</w:t>
            </w:r>
          </w:p>
        </w:tc>
      </w:tr>
      <w:tr>
        <w:trPr>
          <w:trHeight w:val="229"/>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9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 13a-14(a) and Rule 15d-14(a), as adopted pursuant to</w:t>
            </w:r>
          </w:p>
        </w:tc>
      </w:tr>
      <w:tr>
        <w:trPr>
          <w:trHeight w:val="237"/>
        </w:trPr>
        <w:tc>
          <w:tcPr>
            <w:tcW w:w="320" w:type="dxa"/>
            <w:vAlign w:val="bottom"/>
            <w:tcBorders>
              <w:top w:val="single" w:sz="8" w:color="0000FF"/>
            </w:tcBorders>
          </w:tcPr>
          <w:p>
            <w:pPr>
              <w:spacing w:after="0"/>
              <w:rPr>
                <w:sz w:val="20"/>
                <w:szCs w:val="20"/>
                <w:color w:val="auto"/>
              </w:rPr>
            </w:pPr>
          </w:p>
        </w:tc>
        <w:tc>
          <w:tcPr>
            <w:tcW w:w="1100" w:type="dxa"/>
            <w:vAlign w:val="bottom"/>
          </w:tcPr>
          <w:p>
            <w:pPr>
              <w:spacing w:after="0"/>
              <w:rPr>
                <w:sz w:val="20"/>
                <w:szCs w:val="20"/>
                <w:color w:val="auto"/>
              </w:rPr>
            </w:pPr>
          </w:p>
        </w:tc>
        <w:tc>
          <w:tcPr>
            <w:tcW w:w="9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229"/>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9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 13a-14(a) and Rule 15d-14(a), as adopted pursuant to</w:t>
            </w:r>
          </w:p>
        </w:tc>
      </w:tr>
      <w:tr>
        <w:trPr>
          <w:trHeight w:val="237"/>
        </w:trPr>
        <w:tc>
          <w:tcPr>
            <w:tcW w:w="320" w:type="dxa"/>
            <w:vAlign w:val="bottom"/>
            <w:tcBorders>
              <w:top w:val="single" w:sz="8" w:color="0000FF"/>
            </w:tcBorders>
          </w:tcPr>
          <w:p>
            <w:pPr>
              <w:spacing w:after="0"/>
              <w:rPr>
                <w:sz w:val="20"/>
                <w:szCs w:val="20"/>
                <w:color w:val="auto"/>
              </w:rPr>
            </w:pPr>
          </w:p>
        </w:tc>
        <w:tc>
          <w:tcPr>
            <w:tcW w:w="1100" w:type="dxa"/>
            <w:vAlign w:val="bottom"/>
          </w:tcPr>
          <w:p>
            <w:pPr>
              <w:spacing w:after="0"/>
              <w:rPr>
                <w:sz w:val="20"/>
                <w:szCs w:val="20"/>
                <w:color w:val="auto"/>
              </w:rPr>
            </w:pPr>
          </w:p>
        </w:tc>
        <w:tc>
          <w:tcPr>
            <w:tcW w:w="9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230"/>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9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w:t>
            </w:r>
          </w:p>
        </w:tc>
      </w:tr>
      <w:tr>
        <w:trPr>
          <w:trHeight w:val="237"/>
        </w:trPr>
        <w:tc>
          <w:tcPr>
            <w:tcW w:w="320" w:type="dxa"/>
            <w:vAlign w:val="bottom"/>
            <w:tcBorders>
              <w:top w:val="single" w:sz="8" w:color="0000FF"/>
            </w:tcBorders>
          </w:tcPr>
          <w:p>
            <w:pPr>
              <w:spacing w:after="0"/>
              <w:rPr>
                <w:sz w:val="20"/>
                <w:szCs w:val="20"/>
                <w:color w:val="auto"/>
              </w:rPr>
            </w:pPr>
          </w:p>
        </w:tc>
        <w:tc>
          <w:tcPr>
            <w:tcW w:w="1100" w:type="dxa"/>
            <w:vAlign w:val="bottom"/>
          </w:tcPr>
          <w:p>
            <w:pPr>
              <w:spacing w:after="0"/>
              <w:rPr>
                <w:sz w:val="20"/>
                <w:szCs w:val="20"/>
                <w:color w:val="auto"/>
              </w:rPr>
            </w:pPr>
          </w:p>
        </w:tc>
        <w:tc>
          <w:tcPr>
            <w:tcW w:w="9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Sarbanes-Oxley Act of 2002</w:t>
            </w:r>
          </w:p>
        </w:tc>
      </w:tr>
      <w:tr>
        <w:trPr>
          <w:trHeight w:val="499"/>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948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Certification of Principal Financial Officer pursuant to 18 U.S.C. Section 1350, as adopted pursuant to Section 906 of the</w:t>
            </w:r>
          </w:p>
        </w:tc>
      </w:tr>
      <w:tr>
        <w:trPr>
          <w:trHeight w:val="237"/>
        </w:trPr>
        <w:tc>
          <w:tcPr>
            <w:tcW w:w="320" w:type="dxa"/>
            <w:vAlign w:val="bottom"/>
            <w:tcBorders>
              <w:top w:val="single" w:sz="8" w:color="0000FF"/>
            </w:tcBorders>
          </w:tcPr>
          <w:p>
            <w:pPr>
              <w:spacing w:after="0"/>
              <w:rPr>
                <w:sz w:val="20"/>
                <w:szCs w:val="20"/>
                <w:color w:val="auto"/>
              </w:rPr>
            </w:pPr>
          </w:p>
        </w:tc>
        <w:tc>
          <w:tcPr>
            <w:tcW w:w="1100" w:type="dxa"/>
            <w:vAlign w:val="bottom"/>
          </w:tcPr>
          <w:p>
            <w:pPr>
              <w:spacing w:after="0"/>
              <w:rPr>
                <w:sz w:val="20"/>
                <w:szCs w:val="20"/>
                <w:color w:val="auto"/>
              </w:rPr>
            </w:pPr>
          </w:p>
        </w:tc>
        <w:tc>
          <w:tcPr>
            <w:tcW w:w="9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252"/>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4"/>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2"/>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100" w:type="dxa"/>
            <w:vAlign w:val="bottom"/>
          </w:tcPr>
          <w:p>
            <w:pPr>
              <w:spacing w:after="0"/>
              <w:rPr>
                <w:sz w:val="23"/>
                <w:szCs w:val="23"/>
                <w:color w:val="auto"/>
              </w:rPr>
            </w:pPr>
          </w:p>
        </w:tc>
        <w:tc>
          <w:tcPr>
            <w:tcW w:w="9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17487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firstLine="8"/>
        <w:spacing w:after="0" w:line="212" w:lineRule="auto"/>
        <w:tabs>
          <w:tab w:leader="none" w:pos="88"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Furnished herewith and not deemed to be “filed” for purposes of Section 18 of the Exchange Act, and shall not be deemed to be incorporated by reference into any filing under the Securities Act, or the Exchange Act (whether made before or after the date of the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type w:val="continuous"/>
        </w:sectPr>
      </w:pPr>
    </w:p>
    <w:bookmarkStart w:id="47" w:name="page48"/>
    <w:bookmarkEnd w:id="47"/>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 Honest Company, Inc.</w:t>
      </w:r>
    </w:p>
    <w:p>
      <w:pPr>
        <w:spacing w:after="0" w:line="63"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August 12, 2022</w:t>
      </w:r>
      <w:r>
        <w:rPr>
          <w:sz w:val="20"/>
          <w:szCs w:val="20"/>
          <w:color w:val="auto"/>
        </w:rPr>
        <w:tab/>
      </w:r>
      <w:r>
        <w:rPr>
          <w:rFonts w:ascii="Times New Roman" w:cs="Times New Roman" w:eastAsia="Times New Roman" w:hAnsi="Times New Roman"/>
          <w:sz w:val="17"/>
          <w:szCs w:val="17"/>
          <w:color w:val="auto"/>
        </w:rPr>
        <w:t>By: /s/ Nikolaos Vlahos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34290</wp:posOffset>
            </wp:positionV>
            <wp:extent cx="32918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2"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Nikolaos Vlahos</w:t>
      </w: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28"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65"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August 12, 2022</w:t>
      </w:r>
      <w:r>
        <w:rPr>
          <w:sz w:val="20"/>
          <w:szCs w:val="20"/>
          <w:color w:val="auto"/>
        </w:rPr>
        <w:tab/>
      </w:r>
      <w:r>
        <w:rPr>
          <w:rFonts w:ascii="Times New Roman" w:cs="Times New Roman" w:eastAsia="Times New Roman" w:hAnsi="Times New Roman"/>
          <w:sz w:val="17"/>
          <w:szCs w:val="17"/>
          <w:color w:val="auto"/>
        </w:rPr>
        <w:t>By: /s/ Kelly J.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34290</wp:posOffset>
            </wp:positionV>
            <wp:extent cx="32918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3"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Kelly J. Kennedy</w:t>
      </w:r>
    </w:p>
    <w:p>
      <w:pPr>
        <w:spacing w:after="0" w:line="3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7"/>
          <w:szCs w:val="17"/>
          <w:b w:val="1"/>
          <w:bCs w:val="1"/>
          <w:color w:val="auto"/>
        </w:rPr>
        <w:t>Executive Vice President, Chief Financial Officer</w:t>
      </w:r>
    </w:p>
    <w:p>
      <w:pPr>
        <w:spacing w:after="0" w:line="54"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p>
      <w:pPr>
        <w:spacing w:after="0" w:line="2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0520"/>
          </w:cols>
          <w:pgMar w:left="320" w:top="1008" w:right="10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b w:val="1"/>
          <w:bCs w:val="1"/>
          <w:color w:val="auto"/>
        </w:rPr>
        <w:t>AMENDMENT NINETEEN TO THE LOGISTICS SERVICES AGREEMENT</w:t>
      </w:r>
    </w:p>
    <w:p>
      <w:pPr>
        <w:spacing w:after="0" w:line="200" w:lineRule="exact"/>
        <w:rPr>
          <w:sz w:val="20"/>
          <w:szCs w:val="20"/>
          <w:color w:val="auto"/>
        </w:rPr>
      </w:pPr>
    </w:p>
    <w:p>
      <w:pPr>
        <w:spacing w:after="0" w:line="25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AMENDMENT NINETEEN TO THE LOGISTICS SERVICES AGREEMENT</w:t>
      </w:r>
      <w:r>
        <w:rPr>
          <w:rFonts w:ascii="Times New Roman" w:cs="Times New Roman" w:eastAsia="Times New Roman" w:hAnsi="Times New Roman"/>
          <w:sz w:val="20"/>
          <w:szCs w:val="20"/>
          <w:color w:val="auto"/>
        </w:rPr>
        <w:t xml:space="preserve"> (the</w:t>
      </w:r>
    </w:p>
    <w:p>
      <w:pPr>
        <w:spacing w:after="0" w:line="32" w:lineRule="exact"/>
        <w:rPr>
          <w:sz w:val="20"/>
          <w:szCs w:val="20"/>
          <w:color w:val="auto"/>
        </w:rPr>
      </w:pPr>
    </w:p>
    <w:p>
      <w:pPr>
        <w:jc w:val="both"/>
        <w:ind w:left="100" w:right="120"/>
        <w:spacing w:after="0" w:line="309" w:lineRule="auto"/>
        <w:rPr>
          <w:sz w:val="20"/>
          <w:szCs w:val="20"/>
          <w:color w:val="auto"/>
        </w:rPr>
      </w:pPr>
      <w:r>
        <w:rPr>
          <w:rFonts w:ascii="Times New Roman" w:cs="Times New Roman" w:eastAsia="Times New Roman" w:hAnsi="Times New Roman"/>
          <w:sz w:val="20"/>
          <w:szCs w:val="20"/>
          <w:color w:val="auto"/>
        </w:rPr>
        <w:t>“Amendment”), dated as of May 17, 2022 (the “Amendment Effective Date”), is by and between The Honest Company, Inc. (“CLIENT”) and GEODIS Logistics LLC (“GEODIS”). CLIENT and GEODIS are collectively referred to herein as the “Parties”.</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43" w:lineRule="exact"/>
        <w:rPr>
          <w:sz w:val="20"/>
          <w:szCs w:val="20"/>
          <w:color w:val="auto"/>
        </w:rPr>
      </w:pPr>
    </w:p>
    <w:p>
      <w:pPr>
        <w:jc w:val="both"/>
        <w:ind w:left="100" w:right="100" w:firstLine="648"/>
        <w:spacing w:after="0" w:line="301"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entered into a Logistics Services Agreement dated January 31, 2014, as amended from time to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(collectively the “Agreement”);</w:t>
      </w:r>
    </w:p>
    <w:p>
      <w:pPr>
        <w:spacing w:after="0" w:line="125" w:lineRule="exact"/>
        <w:rPr>
          <w:sz w:val="20"/>
          <w:szCs w:val="20"/>
          <w:color w:val="auto"/>
        </w:rPr>
      </w:pPr>
    </w:p>
    <w:p>
      <w:pPr>
        <w:jc w:val="both"/>
        <w:ind w:left="100" w:right="100" w:firstLine="648"/>
        <w:spacing w:after="0" w:line="291"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Amendment Ten to the Agreement, dated November 2, 2018 (“Amendment Ten”), GEODIS currently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provides warehousing, distribution and fulfillment services for CLIENT at the CLIENT-leased facility located at 5550 Donovan Way North, Las Vegas, NV 89081 (the “Warehouse”); and</w:t>
      </w:r>
    </w:p>
    <w:p>
      <w:pPr>
        <w:spacing w:after="0" w:line="135" w:lineRule="exact"/>
        <w:rPr>
          <w:sz w:val="20"/>
          <w:szCs w:val="20"/>
          <w:color w:val="auto"/>
        </w:rPr>
      </w:pPr>
    </w:p>
    <w:p>
      <w:pPr>
        <w:jc w:val="both"/>
        <w:ind w:left="100" w:right="120" w:firstLine="647"/>
        <w:spacing w:after="0" w:line="301"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desire to amend the Agreement for the purpose of extending the term set forth in Amendment Ten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as set forth herein.</w:t>
      </w:r>
    </w:p>
    <w:p>
      <w:pPr>
        <w:spacing w:after="0" w:line="139" w:lineRule="exact"/>
        <w:rPr>
          <w:sz w:val="20"/>
          <w:szCs w:val="20"/>
          <w:color w:val="auto"/>
        </w:rPr>
      </w:pPr>
    </w:p>
    <w:p>
      <w:pPr>
        <w:ind w:left="100" w:right="460"/>
        <w:spacing w:after="0" w:line="301"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for good and valuable consideration, the receipt and sufficiency of which are hereby acknowledged, the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 to amend the Agreement with respect to the Warehouse as follows:</w:t>
      </w:r>
    </w:p>
    <w:p>
      <w:pPr>
        <w:spacing w:after="0" w:line="125" w:lineRule="exact"/>
        <w:rPr>
          <w:sz w:val="20"/>
          <w:szCs w:val="20"/>
          <w:color w:val="auto"/>
        </w:rPr>
      </w:pPr>
    </w:p>
    <w:p>
      <w:pPr>
        <w:ind w:left="420" w:hanging="326"/>
        <w:spacing w:after="0"/>
        <w:tabs>
          <w:tab w:leader="none" w:pos="4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Extension.</w:t>
      </w:r>
    </w:p>
    <w:p>
      <w:pPr>
        <w:spacing w:after="0" w:line="219" w:lineRule="exact"/>
        <w:rPr>
          <w:rFonts w:ascii="Times New Roman" w:cs="Times New Roman" w:eastAsia="Times New Roman" w:hAnsi="Times New Roman"/>
          <w:sz w:val="20"/>
          <w:szCs w:val="20"/>
          <w:color w:val="auto"/>
        </w:rPr>
      </w:pPr>
    </w:p>
    <w:p>
      <w:pPr>
        <w:ind w:left="1060" w:right="120" w:hanging="318"/>
        <w:spacing w:after="0" w:line="311" w:lineRule="auto"/>
        <w:tabs>
          <w:tab w:leader="none" w:pos="1062"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as of March 31, 2022, the Initial Term set forth in Amendment Ten to the Agreement is hereby extended through August 1, 2022.</w:t>
      </w:r>
    </w:p>
    <w:p>
      <w:pPr>
        <w:spacing w:after="0" w:line="169" w:lineRule="exact"/>
        <w:rPr>
          <w:rFonts w:ascii="Times New Roman" w:cs="Times New Roman" w:eastAsia="Times New Roman" w:hAnsi="Times New Roman"/>
          <w:sz w:val="20"/>
          <w:szCs w:val="20"/>
          <w:color w:val="auto"/>
        </w:rPr>
      </w:pPr>
    </w:p>
    <w:p>
      <w:pPr>
        <w:ind w:left="420" w:right="100" w:hanging="326"/>
        <w:spacing w:after="0" w:line="301" w:lineRule="auto"/>
        <w:tabs>
          <w:tab w:leader="none" w:pos="4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Conflict</w:t>
      </w:r>
      <w:r>
        <w:rPr>
          <w:rFonts w:ascii="Times New Roman" w:cs="Times New Roman" w:eastAsia="Times New Roman" w:hAnsi="Times New Roman"/>
          <w:sz w:val="20"/>
          <w:szCs w:val="20"/>
          <w:color w:val="auto"/>
        </w:rPr>
        <w:t>. To the extent there is any conflict between the Agreement and this Amendment with respect to the Services hereunder,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of this Amendment and any exhibits hereto will supersede such conflicting terms of the Agreement.</w:t>
      </w:r>
    </w:p>
    <w:p>
      <w:pPr>
        <w:spacing w:after="0" w:line="206" w:lineRule="exact"/>
        <w:rPr>
          <w:rFonts w:ascii="Times New Roman" w:cs="Times New Roman" w:eastAsia="Times New Roman" w:hAnsi="Times New Roman"/>
          <w:sz w:val="20"/>
          <w:szCs w:val="20"/>
          <w:color w:val="auto"/>
        </w:rPr>
      </w:pPr>
    </w:p>
    <w:p>
      <w:pPr>
        <w:ind w:left="420" w:right="100" w:hanging="326"/>
        <w:spacing w:after="0" w:line="301" w:lineRule="auto"/>
        <w:tabs>
          <w:tab w:leader="none" w:pos="4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Defined Terms. </w:t>
      </w:r>
      <w:r>
        <w:rPr>
          <w:rFonts w:ascii="Times New Roman" w:cs="Times New Roman" w:eastAsia="Times New Roman" w:hAnsi="Times New Roman"/>
          <w:sz w:val="20"/>
          <w:szCs w:val="20"/>
          <w:color w:val="auto"/>
        </w:rPr>
        <w:t>Capitalized terms used in this Amendment or any of the exhibits attached hereto will have the meanings given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them in the Agreement unless otherwise defined.</w:t>
      </w:r>
    </w:p>
    <w:p>
      <w:pPr>
        <w:spacing w:after="0" w:line="192" w:lineRule="exact"/>
        <w:rPr>
          <w:rFonts w:ascii="Times New Roman" w:cs="Times New Roman" w:eastAsia="Times New Roman" w:hAnsi="Times New Roman"/>
          <w:sz w:val="20"/>
          <w:szCs w:val="20"/>
          <w:color w:val="auto"/>
        </w:rPr>
      </w:pPr>
    </w:p>
    <w:p>
      <w:pPr>
        <w:ind w:left="420" w:right="120" w:hanging="326"/>
        <w:spacing w:after="0" w:line="301" w:lineRule="auto"/>
        <w:tabs>
          <w:tab w:leader="none" w:pos="4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Other Changes</w:t>
      </w:r>
      <w:r>
        <w:rPr>
          <w:rFonts w:ascii="Times New Roman" w:cs="Times New Roman" w:eastAsia="Times New Roman" w:hAnsi="Times New Roman"/>
          <w:sz w:val="20"/>
          <w:szCs w:val="20"/>
          <w:color w:val="auto"/>
        </w:rPr>
        <w:t>. Except as provided herein, the Agreement and its amendments shall remain unchanged and in full force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 in accordance with its terms.</w:t>
      </w: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1</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2</w:t>
      </w:r>
    </w:p>
    <w:p>
      <w:pPr>
        <w:sectPr>
          <w:pgSz w:w="11900" w:h="16838" w:orient="portrait"/>
          <w:cols w:equalWidth="0" w:num="1">
            <w:col w:w="11220"/>
          </w:cols>
          <w:pgMar w:left="340" w:top="72"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Amendment as of the date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THE HONEST COMPANY, INC.</w:t>
            </w:r>
          </w:p>
        </w:tc>
        <w:tc>
          <w:tcPr>
            <w:tcW w:w="4540" w:type="dxa"/>
            <w:vAlign w:val="bottom"/>
            <w:gridSpan w:val="3"/>
          </w:tcPr>
          <w:p>
            <w:pPr>
              <w:ind w:left="2180"/>
              <w:spacing w:after="0"/>
              <w:rPr>
                <w:sz w:val="20"/>
                <w:szCs w:val="20"/>
                <w:color w:val="auto"/>
              </w:rPr>
            </w:pPr>
            <w:r>
              <w:rPr>
                <w:rFonts w:ascii="Times New Roman" w:cs="Times New Roman" w:eastAsia="Times New Roman" w:hAnsi="Times New Roman"/>
                <w:sz w:val="20"/>
                <w:szCs w:val="20"/>
                <w:b w:val="1"/>
                <w:bCs w:val="1"/>
                <w:color w:val="auto"/>
                <w:w w:val="97"/>
              </w:rPr>
              <w:t>GEODIS LOGISTICS LLC</w:t>
            </w:r>
          </w:p>
        </w:tc>
      </w:tr>
      <w:tr>
        <w:trPr>
          <w:trHeight w:val="200"/>
        </w:trPr>
        <w:tc>
          <w:tcPr>
            <w:tcW w:w="5060" w:type="dxa"/>
            <w:vAlign w:val="bottom"/>
            <w:gridSpan w:val="3"/>
          </w:tcPr>
          <w:p>
            <w:pPr>
              <w:spacing w:after="0" w:line="200" w:lineRule="exact"/>
              <w:rPr>
                <w:sz w:val="20"/>
                <w:szCs w:val="20"/>
                <w:color w:val="auto"/>
              </w:rPr>
            </w:pPr>
            <w:r>
              <w:rPr>
                <w:rFonts w:ascii="Calibri" w:cs="Calibri" w:eastAsia="Calibri" w:hAnsi="Calibri"/>
                <w:sz w:val="20"/>
                <w:szCs w:val="20"/>
                <w:color w:val="auto"/>
              </w:rPr>
              <w:t>By: /s/ Kelly Kennedy</w:t>
            </w:r>
          </w:p>
        </w:tc>
        <w:tc>
          <w:tcPr>
            <w:tcW w:w="4540" w:type="dxa"/>
            <w:vAlign w:val="bottom"/>
            <w:gridSpan w:val="3"/>
          </w:tcPr>
          <w:p>
            <w:pPr>
              <w:ind w:left="2180"/>
              <w:spacing w:after="0" w:line="200" w:lineRule="exact"/>
              <w:rPr>
                <w:sz w:val="20"/>
                <w:szCs w:val="20"/>
                <w:color w:val="auto"/>
              </w:rPr>
            </w:pPr>
            <w:r>
              <w:rPr>
                <w:rFonts w:ascii="Calibri" w:cs="Calibri" w:eastAsia="Calibri" w:hAnsi="Calibri"/>
                <w:sz w:val="20"/>
                <w:szCs w:val="20"/>
                <w:color w:val="auto"/>
              </w:rPr>
              <w:t>By: /s/ Anthony Jordan</w:t>
            </w:r>
          </w:p>
        </w:tc>
      </w:tr>
      <w:tr>
        <w:trPr>
          <w:trHeight w:val="20"/>
        </w:trPr>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71"/>
        </w:trPr>
        <w:tc>
          <w:tcPr>
            <w:tcW w:w="5060" w:type="dxa"/>
            <w:vAlign w:val="bottom"/>
            <w:gridSpan w:val="3"/>
          </w:tcPr>
          <w:p>
            <w:pPr>
              <w:spacing w:after="0"/>
              <w:rPr>
                <w:sz w:val="20"/>
                <w:szCs w:val="20"/>
                <w:color w:val="auto"/>
              </w:rPr>
            </w:pPr>
            <w:r>
              <w:rPr>
                <w:rFonts w:ascii="Calibri" w:cs="Calibri" w:eastAsia="Calibri" w:hAnsi="Calibri"/>
                <w:sz w:val="20"/>
                <w:szCs w:val="20"/>
                <w:color w:val="auto"/>
              </w:rPr>
              <w:t>Name: Kelly Kennedy</w:t>
            </w:r>
          </w:p>
        </w:tc>
        <w:tc>
          <w:tcPr>
            <w:tcW w:w="4540" w:type="dxa"/>
            <w:vAlign w:val="bottom"/>
            <w:gridSpan w:val="3"/>
          </w:tcPr>
          <w:p>
            <w:pPr>
              <w:ind w:left="2180"/>
              <w:spacing w:after="0"/>
              <w:rPr>
                <w:sz w:val="20"/>
                <w:szCs w:val="20"/>
                <w:color w:val="auto"/>
              </w:rPr>
            </w:pPr>
            <w:r>
              <w:rPr>
                <w:rFonts w:ascii="Calibri" w:cs="Calibri" w:eastAsia="Calibri" w:hAnsi="Calibri"/>
                <w:sz w:val="20"/>
                <w:szCs w:val="20"/>
                <w:color w:val="auto"/>
              </w:rPr>
              <w:t>Name: Anthony Jordan</w:t>
            </w:r>
          </w:p>
        </w:tc>
      </w:tr>
      <w:tr>
        <w:trPr>
          <w:trHeight w:val="257"/>
        </w:trPr>
        <w:tc>
          <w:tcPr>
            <w:tcW w:w="5060" w:type="dxa"/>
            <w:vAlign w:val="bottom"/>
            <w:gridSpan w:val="3"/>
          </w:tcPr>
          <w:p>
            <w:pPr>
              <w:spacing w:after="0"/>
              <w:rPr>
                <w:sz w:val="20"/>
                <w:szCs w:val="20"/>
                <w:color w:val="auto"/>
              </w:rPr>
            </w:pPr>
            <w:r>
              <w:rPr>
                <w:rFonts w:ascii="Calibri" w:cs="Calibri" w:eastAsia="Calibri" w:hAnsi="Calibri"/>
                <w:sz w:val="20"/>
                <w:szCs w:val="20"/>
                <w:color w:val="auto"/>
              </w:rPr>
              <w:t>Title: Chief Financial Ofcer</w:t>
            </w:r>
          </w:p>
        </w:tc>
        <w:tc>
          <w:tcPr>
            <w:tcW w:w="4540" w:type="dxa"/>
            <w:vAlign w:val="bottom"/>
            <w:gridSpan w:val="3"/>
          </w:tcPr>
          <w:p>
            <w:pPr>
              <w:ind w:left="2180"/>
              <w:spacing w:after="0"/>
              <w:rPr>
                <w:sz w:val="20"/>
                <w:szCs w:val="20"/>
                <w:color w:val="auto"/>
              </w:rPr>
            </w:pPr>
            <w:r>
              <w:rPr>
                <w:rFonts w:ascii="Calibri" w:cs="Calibri" w:eastAsia="Calibri" w:hAnsi="Calibri"/>
                <w:sz w:val="20"/>
                <w:szCs w:val="20"/>
                <w:color w:val="auto"/>
              </w:rPr>
              <w:t>Title: Chief Operatng Ofcer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2</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2</w:t>
      </w:r>
    </w:p>
    <w:p>
      <w:pPr>
        <w:sectPr>
          <w:pgSz w:w="11900" w:h="16838" w:orient="portrait"/>
          <w:cols w:equalWidth="0" w:num="1">
            <w:col w:w="11220"/>
          </w:cols>
          <w:pgMar w:left="340" w:top="72"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20" w:right="2860" w:hanging="36"/>
        <w:spacing w:after="0" w:line="349" w:lineRule="auto"/>
        <w:rPr>
          <w:sz w:val="20"/>
          <w:szCs w:val="20"/>
          <w:color w:val="auto"/>
        </w:rPr>
      </w:pPr>
      <w:r>
        <w:rPr>
          <w:rFonts w:ascii="Times New Roman" w:cs="Times New Roman" w:eastAsia="Times New Roman" w:hAnsi="Times New Roman"/>
          <w:sz w:val="21"/>
          <w:szCs w:val="21"/>
          <w:b w:val="1"/>
          <w:bCs w:val="1"/>
          <w:color w:val="auto"/>
        </w:rPr>
        <w:t xml:space="preserve">AMENDMENT TWENTY TO THE LOGISTICS SERVICES AGREEMENT </w:t>
      </w: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b w:val="1"/>
          <w:bCs w:val="1"/>
          <w:color w:val="auto"/>
        </w:rPr>
        <w:t>AMENDMENT TWENTY TO THE LOGISTICS SERVICES AGREEMENT</w:t>
      </w:r>
    </w:p>
    <w:p>
      <w:pPr>
        <w:spacing w:after="0" w:line="1" w:lineRule="exact"/>
        <w:rPr>
          <w:sz w:val="20"/>
          <w:szCs w:val="20"/>
          <w:color w:val="auto"/>
        </w:rPr>
      </w:pPr>
    </w:p>
    <w:p>
      <w:pPr>
        <w:ind w:left="80" w:right="120"/>
        <w:spacing w:after="0" w:line="225" w:lineRule="auto"/>
        <w:rPr>
          <w:sz w:val="20"/>
          <w:szCs w:val="20"/>
          <w:color w:val="auto"/>
        </w:rPr>
      </w:pPr>
      <w:r>
        <w:rPr>
          <w:rFonts w:ascii="Times New Roman" w:cs="Times New Roman" w:eastAsia="Times New Roman" w:hAnsi="Times New Roman"/>
          <w:sz w:val="22"/>
          <w:szCs w:val="22"/>
          <w:color w:val="auto"/>
        </w:rPr>
        <w:t>(the “Amendment”), dated as of July 15, 2022, is by and between The Honest Company, Inc. (“CLIENT”) and GEODIS Logistics LLC (“GEODIS”). CLIENT and GEODIS are collectively referred to herein as the “Parties”.</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ind w:left="80" w:right="120" w:firstLine="645"/>
        <w:spacing w:after="0" w:line="236" w:lineRule="auto"/>
        <w:tabs>
          <w:tab w:leader="none" w:pos="1274"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Parties entered into a Logistics Services Agreement dated January 31, 2014, as amended from time to time (collectively the “Agreement”);</w:t>
      </w:r>
    </w:p>
    <w:p>
      <w:pPr>
        <w:spacing w:after="0" w:line="177" w:lineRule="exact"/>
        <w:rPr>
          <w:rFonts w:ascii="Times New Roman" w:cs="Times New Roman" w:eastAsia="Times New Roman" w:hAnsi="Times New Roman"/>
          <w:sz w:val="22"/>
          <w:szCs w:val="22"/>
          <w:b w:val="1"/>
          <w:bCs w:val="1"/>
          <w:color w:val="auto"/>
        </w:rPr>
      </w:pPr>
    </w:p>
    <w:p>
      <w:pPr>
        <w:jc w:val="both"/>
        <w:ind w:left="80" w:right="100" w:firstLine="645"/>
        <w:spacing w:after="0" w:line="225" w:lineRule="auto"/>
        <w:tabs>
          <w:tab w:leader="none" w:pos="1276"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Pursuant to Amendment Ten to the Agreement, dated November 2, 2018 (“Amendment Ten”), GEODIS currently provides warehousing, distribution and fulfillment services for CLIENT at the CLIENT-leased facility located at 5550 Donovan Way, North Las Vegas 89081 (the “Warehouse”);</w:t>
      </w:r>
    </w:p>
    <w:p>
      <w:pPr>
        <w:spacing w:after="0" w:line="179" w:lineRule="exact"/>
        <w:rPr>
          <w:rFonts w:ascii="Times New Roman" w:cs="Times New Roman" w:eastAsia="Times New Roman" w:hAnsi="Times New Roman"/>
          <w:sz w:val="22"/>
          <w:szCs w:val="22"/>
          <w:b w:val="1"/>
          <w:bCs w:val="1"/>
          <w:color w:val="auto"/>
        </w:rPr>
      </w:pPr>
    </w:p>
    <w:p>
      <w:pPr>
        <w:ind w:left="80" w:right="100" w:firstLine="645"/>
        <w:spacing w:after="0" w:line="236" w:lineRule="auto"/>
        <w:tabs>
          <w:tab w:leader="none" w:pos="1274"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Pursuant to Amendment 19 to the Agreement, dated May 17, 2022 (“Amendment 19”), the Parties extended the Initial Term set forth in Amendment Ten through August 1, 2022; and</w:t>
      </w:r>
    </w:p>
    <w:p>
      <w:pPr>
        <w:spacing w:after="0" w:line="177" w:lineRule="exact"/>
        <w:rPr>
          <w:rFonts w:ascii="Times New Roman" w:cs="Times New Roman" w:eastAsia="Times New Roman" w:hAnsi="Times New Roman"/>
          <w:sz w:val="22"/>
          <w:szCs w:val="22"/>
          <w:b w:val="1"/>
          <w:bCs w:val="1"/>
          <w:color w:val="auto"/>
        </w:rPr>
      </w:pPr>
    </w:p>
    <w:p>
      <w:pPr>
        <w:ind w:left="80" w:right="100" w:firstLine="645"/>
        <w:spacing w:after="0" w:line="236" w:lineRule="auto"/>
        <w:tabs>
          <w:tab w:leader="none" w:pos="1274"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Parties desire to amend the Agreement for the purpose of extending the Initial Term set forth in Amendment 19 through September 2, 2022, as set forth herein.</w:t>
      </w:r>
    </w:p>
    <w:p>
      <w:pPr>
        <w:spacing w:after="0" w:line="1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for good and valuable consideration, the receipt and sufficiency of which are hereby acknowledged, the</w:t>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Parties agree to amend the Agreement with respect to the Warehouse as follows:</w:t>
      </w:r>
    </w:p>
    <w:p>
      <w:pPr>
        <w:spacing w:after="0" w:line="205" w:lineRule="exact"/>
        <w:rPr>
          <w:sz w:val="20"/>
          <w:szCs w:val="20"/>
          <w:color w:val="auto"/>
        </w:rPr>
      </w:pPr>
    </w:p>
    <w:p>
      <w:pPr>
        <w:ind w:left="400" w:right="100" w:hanging="322"/>
        <w:spacing w:after="0" w:line="275" w:lineRule="auto"/>
        <w:tabs>
          <w:tab w:leader="none" w:pos="4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Extension. </w:t>
      </w:r>
      <w:r>
        <w:rPr>
          <w:rFonts w:ascii="Times New Roman" w:cs="Times New Roman" w:eastAsia="Times New Roman" w:hAnsi="Times New Roman"/>
          <w:sz w:val="22"/>
          <w:szCs w:val="22"/>
          <w:color w:val="auto"/>
        </w:rPr>
        <w:t>The Initial Term of the Agreement, as set forth in Amendment Nineteen, is hereby extended from March 31,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2022, through Friday, September 2, 2022.</w:t>
      </w:r>
    </w:p>
    <w:p>
      <w:pPr>
        <w:spacing w:after="0" w:line="162" w:lineRule="exact"/>
        <w:rPr>
          <w:rFonts w:ascii="Times New Roman" w:cs="Times New Roman" w:eastAsia="Times New Roman" w:hAnsi="Times New Roman"/>
          <w:sz w:val="22"/>
          <w:szCs w:val="22"/>
          <w:color w:val="auto"/>
        </w:rPr>
      </w:pPr>
    </w:p>
    <w:p>
      <w:pPr>
        <w:ind w:left="400" w:right="100" w:hanging="322"/>
        <w:spacing w:after="0" w:line="238" w:lineRule="auto"/>
        <w:tabs>
          <w:tab w:leader="none" w:pos="4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Conflict</w:t>
      </w:r>
      <w:r>
        <w:rPr>
          <w:rFonts w:ascii="Times New Roman" w:cs="Times New Roman" w:eastAsia="Times New Roman" w:hAnsi="Times New Roman"/>
          <w:sz w:val="22"/>
          <w:szCs w:val="22"/>
          <w:color w:val="auto"/>
        </w:rPr>
        <w:t>. To the extent there is any conflict between the Agreement and this Amendment with respect to the Services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the terms of this Amendment and any exhibits hereto will supersede such conflicting terms of the Agreement.</w:t>
      </w:r>
    </w:p>
    <w:p>
      <w:pPr>
        <w:spacing w:after="0" w:line="173" w:lineRule="exact"/>
        <w:rPr>
          <w:rFonts w:ascii="Times New Roman" w:cs="Times New Roman" w:eastAsia="Times New Roman" w:hAnsi="Times New Roman"/>
          <w:sz w:val="22"/>
          <w:szCs w:val="22"/>
          <w:color w:val="auto"/>
        </w:rPr>
      </w:pPr>
    </w:p>
    <w:p>
      <w:pPr>
        <w:ind w:left="400" w:right="120" w:hanging="322"/>
        <w:spacing w:after="0" w:line="238" w:lineRule="auto"/>
        <w:tabs>
          <w:tab w:leader="none" w:pos="4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Defined Terms. </w:t>
      </w:r>
      <w:r>
        <w:rPr>
          <w:rFonts w:ascii="Times New Roman" w:cs="Times New Roman" w:eastAsia="Times New Roman" w:hAnsi="Times New Roman"/>
          <w:sz w:val="22"/>
          <w:szCs w:val="22"/>
          <w:color w:val="auto"/>
        </w:rPr>
        <w:t>Capitalized terms used in this Amendment or any of the exhibits attached hereto will have the meanings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given to them in the Agreement unless otherwise defined.</w:t>
      </w:r>
    </w:p>
    <w:p>
      <w:pPr>
        <w:spacing w:after="0" w:line="213" w:lineRule="exact"/>
        <w:rPr>
          <w:rFonts w:ascii="Times New Roman" w:cs="Times New Roman" w:eastAsia="Times New Roman" w:hAnsi="Times New Roman"/>
          <w:sz w:val="22"/>
          <w:szCs w:val="22"/>
          <w:color w:val="auto"/>
        </w:rPr>
      </w:pPr>
    </w:p>
    <w:p>
      <w:pPr>
        <w:ind w:left="400" w:right="120" w:hanging="322"/>
        <w:spacing w:after="0" w:line="313" w:lineRule="auto"/>
        <w:tabs>
          <w:tab w:leader="none" w:pos="4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Other Changes</w:t>
      </w:r>
      <w:r>
        <w:rPr>
          <w:rFonts w:ascii="Times New Roman" w:cs="Times New Roman" w:eastAsia="Times New Roman" w:hAnsi="Times New Roman"/>
          <w:sz w:val="22"/>
          <w:szCs w:val="22"/>
          <w:color w:val="auto"/>
        </w:rPr>
        <w:t>. Except as provided herein, the Agreement shall remain unchanged and in full force and effect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1</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2</w:t>
      </w:r>
    </w:p>
    <w:p>
      <w:pPr>
        <w:sectPr>
          <w:pgSz w:w="11900" w:h="16838" w:orient="portrait"/>
          <w:cols w:equalWidth="0" w:num="1">
            <w:col w:w="11220"/>
          </w:cols>
          <w:pgMar w:left="340" w:top="68"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Amendment as of the date set forth above.</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THE HONEST COMPANY, INC.</w:t>
            </w:r>
          </w:p>
        </w:tc>
        <w:tc>
          <w:tcPr>
            <w:tcW w:w="4360" w:type="dxa"/>
            <w:vAlign w:val="bottom"/>
            <w:gridSpan w:val="3"/>
          </w:tcPr>
          <w:p>
            <w:pPr>
              <w:ind w:left="1780"/>
              <w:spacing w:after="0"/>
              <w:rPr>
                <w:sz w:val="20"/>
                <w:szCs w:val="20"/>
                <w:color w:val="auto"/>
              </w:rPr>
            </w:pPr>
            <w:r>
              <w:rPr>
                <w:rFonts w:ascii="Times New Roman" w:cs="Times New Roman" w:eastAsia="Times New Roman" w:hAnsi="Times New Roman"/>
                <w:sz w:val="22"/>
                <w:szCs w:val="22"/>
                <w:b w:val="1"/>
                <w:bCs w:val="1"/>
                <w:color w:val="auto"/>
                <w:w w:val="97"/>
              </w:rPr>
              <w:t>GEODIS LOGISTICS LLC</w:t>
            </w:r>
          </w:p>
        </w:tc>
      </w:tr>
      <w:tr>
        <w:trPr>
          <w:trHeight w:val="200"/>
        </w:trPr>
        <w:tc>
          <w:tcPr>
            <w:tcW w:w="4900" w:type="dxa"/>
            <w:vAlign w:val="bottom"/>
            <w:gridSpan w:val="3"/>
          </w:tcPr>
          <w:p>
            <w:pPr>
              <w:spacing w:after="0" w:line="200" w:lineRule="exact"/>
              <w:rPr>
                <w:sz w:val="20"/>
                <w:szCs w:val="20"/>
                <w:color w:val="auto"/>
              </w:rPr>
            </w:pPr>
            <w:r>
              <w:rPr>
                <w:rFonts w:ascii="Calibri" w:cs="Calibri" w:eastAsia="Calibri" w:hAnsi="Calibri"/>
                <w:sz w:val="20"/>
                <w:szCs w:val="20"/>
                <w:color w:val="auto"/>
              </w:rPr>
              <w:t>By: /s/ Kelly Kennedy</w:t>
            </w:r>
          </w:p>
        </w:tc>
        <w:tc>
          <w:tcPr>
            <w:tcW w:w="4360" w:type="dxa"/>
            <w:vAlign w:val="bottom"/>
            <w:gridSpan w:val="3"/>
          </w:tcPr>
          <w:p>
            <w:pPr>
              <w:ind w:left="1780"/>
              <w:spacing w:after="0" w:line="200" w:lineRule="exact"/>
              <w:rPr>
                <w:sz w:val="20"/>
                <w:szCs w:val="20"/>
                <w:color w:val="auto"/>
              </w:rPr>
            </w:pPr>
            <w:r>
              <w:rPr>
                <w:rFonts w:ascii="Calibri" w:cs="Calibri" w:eastAsia="Calibri" w:hAnsi="Calibri"/>
                <w:sz w:val="20"/>
                <w:szCs w:val="20"/>
                <w:color w:val="auto"/>
              </w:rPr>
              <w:t>By: /s/ Anthony Jordan</w:t>
            </w:r>
          </w:p>
        </w:tc>
      </w:tr>
      <w:tr>
        <w:trPr>
          <w:trHeight w:val="20"/>
        </w:trPr>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71"/>
        </w:trPr>
        <w:tc>
          <w:tcPr>
            <w:tcW w:w="4900" w:type="dxa"/>
            <w:vAlign w:val="bottom"/>
            <w:gridSpan w:val="3"/>
          </w:tcPr>
          <w:p>
            <w:pPr>
              <w:spacing w:after="0"/>
              <w:rPr>
                <w:sz w:val="20"/>
                <w:szCs w:val="20"/>
                <w:color w:val="auto"/>
              </w:rPr>
            </w:pPr>
            <w:r>
              <w:rPr>
                <w:rFonts w:ascii="Calibri" w:cs="Calibri" w:eastAsia="Calibri" w:hAnsi="Calibri"/>
                <w:sz w:val="20"/>
                <w:szCs w:val="20"/>
                <w:color w:val="auto"/>
              </w:rPr>
              <w:t>Name: Kelly Kennedy</w:t>
            </w:r>
          </w:p>
        </w:tc>
        <w:tc>
          <w:tcPr>
            <w:tcW w:w="4360" w:type="dxa"/>
            <w:vAlign w:val="bottom"/>
            <w:gridSpan w:val="3"/>
          </w:tcPr>
          <w:p>
            <w:pPr>
              <w:ind w:left="1780"/>
              <w:spacing w:after="0"/>
              <w:rPr>
                <w:sz w:val="20"/>
                <w:szCs w:val="20"/>
                <w:color w:val="auto"/>
              </w:rPr>
            </w:pPr>
            <w:r>
              <w:rPr>
                <w:rFonts w:ascii="Calibri" w:cs="Calibri" w:eastAsia="Calibri" w:hAnsi="Calibri"/>
                <w:sz w:val="20"/>
                <w:szCs w:val="20"/>
                <w:color w:val="auto"/>
              </w:rPr>
              <w:t>Name: Anthony Jordan</w:t>
            </w:r>
          </w:p>
        </w:tc>
      </w:tr>
      <w:tr>
        <w:trPr>
          <w:trHeight w:val="257"/>
        </w:trPr>
        <w:tc>
          <w:tcPr>
            <w:tcW w:w="4900" w:type="dxa"/>
            <w:vAlign w:val="bottom"/>
            <w:gridSpan w:val="3"/>
          </w:tcPr>
          <w:p>
            <w:pPr>
              <w:spacing w:after="0"/>
              <w:rPr>
                <w:sz w:val="20"/>
                <w:szCs w:val="20"/>
                <w:color w:val="auto"/>
              </w:rPr>
            </w:pPr>
            <w:r>
              <w:rPr>
                <w:rFonts w:ascii="Calibri" w:cs="Calibri" w:eastAsia="Calibri" w:hAnsi="Calibri"/>
                <w:sz w:val="20"/>
                <w:szCs w:val="20"/>
                <w:color w:val="auto"/>
              </w:rPr>
              <w:t>Title: Chief Financial Ofcer</w:t>
            </w:r>
          </w:p>
        </w:tc>
        <w:tc>
          <w:tcPr>
            <w:tcW w:w="4360" w:type="dxa"/>
            <w:vAlign w:val="bottom"/>
            <w:gridSpan w:val="3"/>
          </w:tcPr>
          <w:p>
            <w:pPr>
              <w:ind w:left="1780"/>
              <w:spacing w:after="0"/>
              <w:rPr>
                <w:sz w:val="20"/>
                <w:szCs w:val="20"/>
                <w:color w:val="auto"/>
              </w:rPr>
            </w:pPr>
            <w:r>
              <w:rPr>
                <w:rFonts w:ascii="Calibri" w:cs="Calibri" w:eastAsia="Calibri" w:hAnsi="Calibri"/>
                <w:sz w:val="20"/>
                <w:szCs w:val="20"/>
                <w:color w:val="auto"/>
              </w:rPr>
              <w:t>Title: EVP, COO</w:t>
            </w:r>
          </w:p>
        </w:tc>
      </w:tr>
      <w:tr>
        <w:trPr>
          <w:trHeight w:val="256"/>
        </w:trPr>
        <w:tc>
          <w:tcPr>
            <w:tcW w:w="4900" w:type="dxa"/>
            <w:vAlign w:val="bottom"/>
            <w:gridSpan w:val="3"/>
          </w:tcPr>
          <w:p>
            <w:pPr>
              <w:spacing w:after="0"/>
              <w:rPr>
                <w:sz w:val="20"/>
                <w:szCs w:val="20"/>
                <w:color w:val="auto"/>
              </w:rPr>
            </w:pPr>
            <w:r>
              <w:rPr>
                <w:rFonts w:ascii="Calibri" w:cs="Calibri" w:eastAsia="Calibri" w:hAnsi="Calibri"/>
                <w:sz w:val="20"/>
                <w:szCs w:val="20"/>
                <w:color w:val="auto"/>
              </w:rPr>
              <w:t>Date: 7/15/2022</w:t>
            </w:r>
          </w:p>
        </w:tc>
        <w:tc>
          <w:tcPr>
            <w:tcW w:w="4360" w:type="dxa"/>
            <w:vAlign w:val="bottom"/>
            <w:gridSpan w:val="3"/>
          </w:tcPr>
          <w:p>
            <w:pPr>
              <w:ind w:left="1780"/>
              <w:spacing w:after="0"/>
              <w:rPr>
                <w:sz w:val="20"/>
                <w:szCs w:val="20"/>
                <w:color w:val="auto"/>
              </w:rPr>
            </w:pPr>
            <w:r>
              <w:rPr>
                <w:rFonts w:ascii="Calibri" w:cs="Calibri" w:eastAsia="Calibri" w:hAnsi="Calibri"/>
                <w:sz w:val="20"/>
                <w:szCs w:val="20"/>
                <w:color w:val="auto"/>
              </w:rPr>
              <w:t>Date: 7/15/2022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2</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2</w:t>
      </w:r>
    </w:p>
    <w:p>
      <w:pPr>
        <w:sectPr>
          <w:pgSz w:w="11900" w:h="16838" w:orient="portrait"/>
          <w:cols w:equalWidth="0" w:num="1">
            <w:col w:w="11220"/>
          </w:cols>
          <w:pgMar w:left="340" w:top="68" w:right="339" w:bottom="1440" w:gutter="0" w:footer="0" w:header="0"/>
        </w:sectPr>
      </w:pPr>
    </w:p>
    <w:bookmarkStart w:id="52" w:name="page53"/>
    <w:bookmarkEnd w:id="52"/>
    <w:p>
      <w:pPr>
        <w:ind w:left="94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Nikolaos Vlahos, certify that:</w:t>
      </w:r>
    </w:p>
    <w:p>
      <w:pPr>
        <w:spacing w:after="0" w:line="252" w:lineRule="exact"/>
        <w:rPr>
          <w:sz w:val="20"/>
          <w:szCs w:val="20"/>
          <w:color w:val="auto"/>
        </w:rPr>
      </w:pPr>
    </w:p>
    <w:p>
      <w:pPr>
        <w:ind w:left="560" w:hanging="545"/>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Honest Company, Inc.;</w:t>
      </w:r>
    </w:p>
    <w:p>
      <w:pPr>
        <w:spacing w:after="0" w:line="252" w:lineRule="exact"/>
        <w:rPr>
          <w:rFonts w:ascii="Times New Roman" w:cs="Times New Roman" w:eastAsia="Times New Roman" w:hAnsi="Times New Roman"/>
          <w:sz w:val="18"/>
          <w:szCs w:val="18"/>
          <w:color w:val="auto"/>
        </w:rPr>
      </w:pPr>
    </w:p>
    <w:p>
      <w:pPr>
        <w:jc w:val="both"/>
        <w:ind w:left="560" w:hanging="545"/>
        <w:spacing w:after="0" w:line="281" w:lineRule="auto"/>
        <w:tabs>
          <w:tab w:leader="none" w:pos="54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1" w:lineRule="exact"/>
        <w:rPr>
          <w:rFonts w:ascii="Times New Roman" w:cs="Times New Roman" w:eastAsia="Times New Roman" w:hAnsi="Times New Roman"/>
          <w:sz w:val="18"/>
          <w:szCs w:val="18"/>
          <w:color w:val="auto"/>
        </w:rPr>
      </w:pPr>
    </w:p>
    <w:p>
      <w:pPr>
        <w:ind w:left="560" w:right="20" w:hanging="545"/>
        <w:spacing w:after="0" w:line="344" w:lineRule="auto"/>
        <w:tabs>
          <w:tab w:leader="none" w:pos="54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60" w:right="180" w:hanging="545"/>
        <w:spacing w:after="0" w:line="313" w:lineRule="auto"/>
        <w:tabs>
          <w:tab w:leader="none" w:pos="54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5" w:lineRule="exact"/>
        <w:rPr>
          <w:rFonts w:ascii="Times New Roman" w:cs="Times New Roman" w:eastAsia="Times New Roman" w:hAnsi="Times New Roman"/>
          <w:sz w:val="18"/>
          <w:szCs w:val="18"/>
          <w:color w:val="auto"/>
        </w:rPr>
      </w:pPr>
    </w:p>
    <w:p>
      <w:pPr>
        <w:ind w:left="1100" w:right="160" w:hanging="539"/>
        <w:spacing w:after="0" w:line="281" w:lineRule="auto"/>
        <w:tabs>
          <w:tab w:leader="none" w:pos="109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1100" w:hanging="539"/>
        <w:spacing w:after="0"/>
        <w:tabs>
          <w:tab w:leader="none" w:pos="11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92" w:lineRule="exact"/>
        <w:rPr>
          <w:rFonts w:ascii="Times New Roman" w:cs="Times New Roman" w:eastAsia="Times New Roman" w:hAnsi="Times New Roman"/>
          <w:sz w:val="18"/>
          <w:szCs w:val="18"/>
          <w:color w:val="auto"/>
        </w:rPr>
      </w:pPr>
    </w:p>
    <w:p>
      <w:pPr>
        <w:ind w:left="1100" w:right="120" w:hanging="539"/>
        <w:spacing w:after="0" w:line="376" w:lineRule="auto"/>
        <w:tabs>
          <w:tab w:leader="none" w:pos="109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Times New Roman" w:cs="Times New Roman" w:eastAsia="Times New Roman" w:hAnsi="Times New Roman"/>
          <w:sz w:val="18"/>
          <w:szCs w:val="18"/>
          <w:color w:val="auto"/>
        </w:rPr>
      </w:pPr>
    </w:p>
    <w:p>
      <w:pPr>
        <w:ind w:left="1100" w:right="260" w:hanging="539"/>
        <w:spacing w:after="0" w:line="281" w:lineRule="auto"/>
        <w:tabs>
          <w:tab w:leader="none" w:pos="108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4" w:lineRule="exact"/>
        <w:rPr>
          <w:rFonts w:ascii="Times New Roman" w:cs="Times New Roman" w:eastAsia="Times New Roman" w:hAnsi="Times New Roman"/>
          <w:sz w:val="18"/>
          <w:szCs w:val="18"/>
          <w:color w:val="auto"/>
        </w:rPr>
      </w:pPr>
    </w:p>
    <w:p>
      <w:pPr>
        <w:ind w:left="560" w:right="200" w:hanging="545"/>
        <w:spacing w:after="0" w:line="412" w:lineRule="auto"/>
        <w:tabs>
          <w:tab w:leader="none" w:pos="54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Times New Roman" w:cs="Times New Roman" w:eastAsia="Times New Roman" w:hAnsi="Times New Roman"/>
          <w:sz w:val="17"/>
          <w:szCs w:val="17"/>
          <w:color w:val="auto"/>
        </w:rPr>
      </w:pPr>
    </w:p>
    <w:p>
      <w:pPr>
        <w:ind w:left="1100" w:right="500" w:hanging="539"/>
        <w:spacing w:after="0" w:line="376" w:lineRule="auto"/>
        <w:tabs>
          <w:tab w:leader="none" w:pos="109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00" w:right="200" w:hanging="539"/>
        <w:spacing w:after="0" w:line="313" w:lineRule="auto"/>
        <w:tabs>
          <w:tab w:leader="none" w:pos="108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5480" w:val="left"/>
          <w:tab w:leader="none" w:pos="6180" w:val="left"/>
        </w:tabs>
        <w:rPr>
          <w:sz w:val="20"/>
          <w:szCs w:val="20"/>
          <w:color w:val="auto"/>
        </w:rPr>
      </w:pPr>
      <w:r>
        <w:rPr>
          <w:rFonts w:ascii="Times New Roman" w:cs="Times New Roman" w:eastAsia="Times New Roman" w:hAnsi="Times New Roman"/>
          <w:sz w:val="18"/>
          <w:szCs w:val="18"/>
          <w:color w:val="auto"/>
        </w:rPr>
        <w:t>Date: August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Nikolaos Vlahos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6"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Nikolaos Vlahos</w:t>
      </w:r>
    </w:p>
    <w:p>
      <w:pPr>
        <w:spacing w:after="0" w:line="27"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080"/>
          </w:cols>
          <w:pgMar w:left="320" w:top="1413" w:right="49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 Kelly J. Kennedy, certify that:</w:t>
      </w:r>
    </w:p>
    <w:p>
      <w:pPr>
        <w:spacing w:after="0" w:line="220" w:lineRule="exact"/>
        <w:rPr>
          <w:sz w:val="20"/>
          <w:szCs w:val="20"/>
          <w:color w:val="auto"/>
        </w:rPr>
      </w:pPr>
    </w:p>
    <w:p>
      <w:pPr>
        <w:ind w:left="1600" w:hanging="656"/>
        <w:spacing w:after="0"/>
        <w:tabs>
          <w:tab w:leader="none" w:pos="1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Honest Company, Inc.;</w:t>
      </w:r>
    </w:p>
    <w:p>
      <w:pPr>
        <w:spacing w:after="0" w:line="252" w:lineRule="exact"/>
        <w:rPr>
          <w:rFonts w:ascii="Times New Roman" w:cs="Times New Roman" w:eastAsia="Times New Roman" w:hAnsi="Times New Roman"/>
          <w:sz w:val="18"/>
          <w:szCs w:val="18"/>
          <w:color w:val="auto"/>
        </w:rPr>
      </w:pPr>
    </w:p>
    <w:p>
      <w:pPr>
        <w:jc w:val="both"/>
        <w:ind w:left="300" w:firstLine="644"/>
        <w:spacing w:after="0" w:line="281" w:lineRule="auto"/>
        <w:tabs>
          <w:tab w:leader="none" w:pos="15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1" w:lineRule="exact"/>
        <w:rPr>
          <w:rFonts w:ascii="Times New Roman" w:cs="Times New Roman" w:eastAsia="Times New Roman" w:hAnsi="Times New Roman"/>
          <w:sz w:val="18"/>
          <w:szCs w:val="18"/>
          <w:color w:val="auto"/>
        </w:rPr>
      </w:pPr>
    </w:p>
    <w:p>
      <w:pPr>
        <w:jc w:val="both"/>
        <w:ind w:left="300" w:right="220" w:firstLine="644"/>
        <w:spacing w:after="0" w:line="328" w:lineRule="auto"/>
        <w:tabs>
          <w:tab w:leader="none" w:pos="15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ind w:left="300" w:right="560" w:firstLine="644"/>
        <w:spacing w:after="0" w:line="313" w:lineRule="auto"/>
        <w:tabs>
          <w:tab w:leader="none" w:pos="15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jc w:val="both"/>
        <w:ind w:left="300" w:right="160" w:firstLine="644"/>
        <w:spacing w:after="0" w:line="281" w:lineRule="auto"/>
        <w:tabs>
          <w:tab w:leader="none" w:pos="15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1580" w:hanging="636"/>
        <w:spacing w:after="0"/>
        <w:tabs>
          <w:tab w:leader="none" w:pos="1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92" w:lineRule="exact"/>
        <w:rPr>
          <w:rFonts w:ascii="Times New Roman" w:cs="Times New Roman" w:eastAsia="Times New Roman" w:hAnsi="Times New Roman"/>
          <w:sz w:val="18"/>
          <w:szCs w:val="18"/>
          <w:color w:val="auto"/>
        </w:rPr>
      </w:pPr>
    </w:p>
    <w:p>
      <w:pPr>
        <w:jc w:val="both"/>
        <w:ind w:left="300" w:firstLine="644"/>
        <w:spacing w:after="0" w:line="360" w:lineRule="auto"/>
        <w:tabs>
          <w:tab w:leader="none" w:pos="15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300" w:right="280" w:firstLine="644"/>
        <w:spacing w:after="0" w:line="281" w:lineRule="auto"/>
        <w:tabs>
          <w:tab w:leader="none" w:pos="159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5" w:lineRule="exact"/>
        <w:rPr>
          <w:sz w:val="20"/>
          <w:szCs w:val="20"/>
          <w:color w:val="auto"/>
        </w:rPr>
      </w:pPr>
    </w:p>
    <w:p>
      <w:pPr>
        <w:ind w:left="300" w:right="80" w:firstLine="644"/>
        <w:spacing w:after="0" w:line="360" w:lineRule="auto"/>
        <w:tabs>
          <w:tab w:leader="none" w:pos="15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sz w:val="20"/>
          <w:szCs w:val="20"/>
          <w:color w:val="auto"/>
        </w:rPr>
      </w:pPr>
    </w:p>
    <w:p>
      <w:pPr>
        <w:ind w:left="300" w:right="240" w:firstLine="644"/>
        <w:spacing w:after="0" w:line="412" w:lineRule="auto"/>
        <w:tabs>
          <w:tab w:leader="none" w:pos="1593"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7"/>
          <w:szCs w:val="17"/>
          <w:color w:val="auto"/>
        </w:rPr>
      </w:pPr>
    </w:p>
    <w:p>
      <w:pPr>
        <w:ind w:left="300" w:right="620" w:firstLine="644"/>
        <w:spacing w:after="0" w:line="313" w:lineRule="auto"/>
        <w:tabs>
          <w:tab w:leader="none" w:pos="159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spacing w:after="0"/>
        <w:tabs>
          <w:tab w:leader="none" w:pos="4380" w:val="left"/>
          <w:tab w:leader="none" w:pos="5080" w:val="left"/>
        </w:tabs>
        <w:rPr>
          <w:sz w:val="20"/>
          <w:szCs w:val="20"/>
          <w:color w:val="auto"/>
        </w:rPr>
      </w:pPr>
      <w:r>
        <w:rPr>
          <w:rFonts w:ascii="Times New Roman" w:cs="Times New Roman" w:eastAsia="Times New Roman" w:hAnsi="Times New Roman"/>
          <w:sz w:val="18"/>
          <w:szCs w:val="18"/>
          <w:color w:val="auto"/>
        </w:rPr>
        <w:t>Date: August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Kelly J.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17145</wp:posOffset>
            </wp:positionV>
            <wp:extent cx="39344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30"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Kelly J. Kennedy</w:t>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1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Officer and Accounting Officer)</w:t>
      </w:r>
    </w:p>
    <w:p>
      <w:pPr>
        <w:sectPr>
          <w:pgSz w:w="11900" w:h="16838" w:orient="portrait"/>
          <w:cols w:equalWidth="0" w:num="1">
            <w:col w:w="10560"/>
          </w:cols>
          <w:pgMar w:left="680" w:top="1413" w:right="659" w:bottom="1440" w:gutter="0" w:footer="0" w:header="0"/>
        </w:sectPr>
      </w:pPr>
    </w:p>
    <w:bookmarkStart w:id="54" w:name="page55"/>
    <w:bookmarkEnd w:id="54"/>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Honest Company, Inc. (the “Company”) for the period ended June 30, 2022 as filed with the Securities and Exchange Commission on the date hereof (the “Report”), I, Nikolaos Vlahos, Chief Executive Officer of the Company, certify, pursuant to 18 U.S.C. § 1350, as adopted pursuant to § 906 of the Sarbanes-Oxley Act of 2002, that, to the best of my knowledge:</w:t>
      </w:r>
    </w:p>
    <w:p>
      <w:pPr>
        <w:spacing w:after="0" w:line="204" w:lineRule="exact"/>
        <w:rPr>
          <w:sz w:val="20"/>
          <w:szCs w:val="20"/>
          <w:color w:val="auto"/>
        </w:rPr>
      </w:pPr>
    </w:p>
    <w:p>
      <w:pPr>
        <w:ind w:left="560" w:right="400" w:hanging="504"/>
        <w:spacing w:after="0" w:line="282" w:lineRule="auto"/>
        <w:tabs>
          <w:tab w:leader="none" w:pos="5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188" w:lineRule="exact"/>
        <w:rPr>
          <w:rFonts w:ascii="Times New Roman" w:cs="Times New Roman" w:eastAsia="Times New Roman" w:hAnsi="Times New Roman"/>
          <w:sz w:val="18"/>
          <w:szCs w:val="18"/>
          <w:color w:val="auto"/>
        </w:rPr>
      </w:pPr>
    </w:p>
    <w:p>
      <w:pPr>
        <w:ind w:left="560" w:hanging="504"/>
        <w:spacing w:after="0"/>
        <w:tabs>
          <w:tab w:leader="none" w:pos="5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4800" w:val="left"/>
          <w:tab w:leader="none" w:pos="5500" w:val="left"/>
        </w:tabs>
        <w:rPr>
          <w:sz w:val="20"/>
          <w:szCs w:val="20"/>
          <w:color w:val="auto"/>
        </w:rPr>
      </w:pPr>
      <w:r>
        <w:rPr>
          <w:rFonts w:ascii="Times New Roman" w:cs="Times New Roman" w:eastAsia="Times New Roman" w:hAnsi="Times New Roman"/>
          <w:sz w:val="18"/>
          <w:szCs w:val="18"/>
          <w:color w:val="auto"/>
        </w:rPr>
        <w:t>Date: August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Nikolaos Vlahos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17145</wp:posOffset>
            </wp:positionV>
            <wp:extent cx="39001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16"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color w:val="auto"/>
        </w:rPr>
        <w:t>Nikolaos Vlahos</w:t>
      </w:r>
    </w:p>
    <w:p>
      <w:pPr>
        <w:spacing w:after="0" w:line="27"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4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00" w:lineRule="exact"/>
        <w:rPr>
          <w:sz w:val="20"/>
          <w:szCs w:val="20"/>
          <w:color w:val="auto"/>
        </w:rPr>
      </w:pPr>
    </w:p>
    <w:p>
      <w:pPr>
        <w:spacing w:after="0" w:line="260"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Honest Company, Inc. (the “Company”) for the period ended June 30, 2022 as filed with the Securities and Exchange Commission on the date hereof (the “Report”), I, Kelly J. Kennedy, Chief Financial Officer of the Company, certify, pursuant to 18 U.S.C. § 1350, as adopted pursuant to § 906 of the Sarbanes-Oxley Act of 2002, that, to the best of my knowledge:</w:t>
      </w:r>
    </w:p>
    <w:p>
      <w:pPr>
        <w:spacing w:after="0" w:line="204" w:lineRule="exact"/>
        <w:rPr>
          <w:sz w:val="20"/>
          <w:szCs w:val="20"/>
          <w:color w:val="auto"/>
        </w:rPr>
      </w:pPr>
    </w:p>
    <w:p>
      <w:pPr>
        <w:ind w:left="560" w:right="280" w:hanging="504"/>
        <w:spacing w:after="0" w:line="282" w:lineRule="auto"/>
        <w:tabs>
          <w:tab w:leader="none" w:pos="55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188" w:lineRule="exact"/>
        <w:rPr>
          <w:rFonts w:ascii="Times New Roman" w:cs="Times New Roman" w:eastAsia="Times New Roman" w:hAnsi="Times New Roman"/>
          <w:sz w:val="18"/>
          <w:szCs w:val="18"/>
          <w:color w:val="auto"/>
        </w:rPr>
      </w:pPr>
    </w:p>
    <w:p>
      <w:pPr>
        <w:ind w:left="560" w:hanging="504"/>
        <w:spacing w:after="0"/>
        <w:tabs>
          <w:tab w:leader="none" w:pos="5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160" w:val="left"/>
          <w:tab w:leader="none" w:pos="6860" w:val="left"/>
        </w:tabs>
        <w:rPr>
          <w:sz w:val="20"/>
          <w:szCs w:val="20"/>
          <w:color w:val="auto"/>
        </w:rPr>
      </w:pPr>
      <w:r>
        <w:rPr>
          <w:rFonts w:ascii="Times New Roman" w:cs="Times New Roman" w:eastAsia="Times New Roman" w:hAnsi="Times New Roman"/>
          <w:sz w:val="18"/>
          <w:szCs w:val="18"/>
          <w:color w:val="auto"/>
        </w:rPr>
        <w:t>Date: August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Kelly J.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175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0"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color w:val="auto"/>
        </w:rPr>
        <w:t>Kelly J. Kennedy</w:t>
      </w:r>
    </w:p>
    <w:p>
      <w:pPr>
        <w:spacing w:after="0" w:line="27"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i w:val="1"/>
          <w:iCs w:val="1"/>
          <w:color w:val="auto"/>
        </w:rPr>
        <w:t>(Principal Financial Officer and Accounting Officer)</w:t>
      </w:r>
    </w:p>
    <w:p>
      <w:pPr>
        <w:spacing w:after="0" w:line="200" w:lineRule="exact"/>
        <w:rPr>
          <w:sz w:val="20"/>
          <w:szCs w:val="20"/>
          <w:color w:val="auto"/>
        </w:rPr>
      </w:pPr>
    </w:p>
    <w:p>
      <w:pPr>
        <w:spacing w:after="0" w:line="27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2"/>
    </w:lvl>
  </w:abstractNum>
  <w:abstractNum w:abstractNumId="6">
    <w:nsid w:val="2443A858"/>
    <w:multiLevelType w:val="hybridMultilevel"/>
    <w:lvl w:ilvl="0">
      <w:lvlJc w:val="left"/>
      <w:lvlText w:val="(%1)"/>
      <w:numFmt w:val="lowerRoman"/>
      <w:start w:val="1"/>
    </w:lvl>
  </w:abstractNum>
  <w:abstractNum w:abstractNumId="7">
    <w:nsid w:val="2D1D5AE9"/>
    <w:multiLevelType w:val="hybridMultilevel"/>
    <w:lvl w:ilvl="0">
      <w:lvlJc w:val="left"/>
      <w:lvlText w:val="%1."/>
      <w:numFmt w:val="decimal"/>
      <w:start w:val="4"/>
    </w:lvl>
  </w:abstractNum>
  <w:abstractNum w:abstractNumId="8">
    <w:nsid w:val="6763845E"/>
    <w:multiLevelType w:val="hybridMultilevel"/>
    <w:lvl w:ilvl="0">
      <w:lvlJc w:val="left"/>
      <w:lvlText w:val="%1."/>
      <w:numFmt w:val="decimal"/>
      <w:start w:val="5"/>
    </w:lvl>
  </w:abstractNum>
  <w:abstractNum w:abstractNumId="9">
    <w:nsid w:val="75A2A8D4"/>
    <w:multiLevelType w:val="hybridMultilevel"/>
    <w:lvl w:ilvl="0">
      <w:lvlJc w:val="left"/>
      <w:lvlText w:val="%1."/>
      <w:numFmt w:val="decimal"/>
      <w:start w:val="6"/>
    </w:lvl>
  </w:abstractNum>
  <w:abstractNum w:abstractNumId="10">
    <w:nsid w:val="8EDBDAB"/>
    <w:multiLevelType w:val="hybridMultilevel"/>
    <w:lvl w:ilvl="0">
      <w:lvlJc w:val="left"/>
      <w:lvlText w:val="%1."/>
      <w:numFmt w:val="decimal"/>
      <w:start w:val="8"/>
    </w:lvl>
  </w:abstractNum>
  <w:abstractNum w:abstractNumId="11">
    <w:nsid w:val="79838CB2"/>
    <w:multiLevelType w:val="hybridMultilevel"/>
    <w:lvl w:ilvl="0">
      <w:lvlJc w:val="left"/>
      <w:lvlText w:val="%1."/>
      <w:numFmt w:val="decimal"/>
      <w:start w:val="9"/>
    </w:lvl>
  </w:abstractNum>
  <w:abstractNum w:abstractNumId="12">
    <w:nsid w:val="4353D0CD"/>
    <w:multiLevelType w:val="hybridMultilevel"/>
    <w:lvl w:ilvl="0">
      <w:lvlJc w:val="left"/>
      <w:lvlText w:val="%1."/>
      <w:numFmt w:val="decimal"/>
      <w:start w:val="10"/>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1"/>
    </w:lvl>
  </w:abstractNum>
  <w:abstractNum w:abstractNumId="15">
    <w:nsid w:val="54E49EB4"/>
    <w:multiLevelType w:val="hybridMultilevel"/>
    <w:lvl w:ilvl="0">
      <w:lvlJc w:val="left"/>
      <w:lvlText w:val="%1."/>
      <w:numFmt w:val="decimal"/>
      <w:start w:val="12"/>
    </w:lvl>
  </w:abstractNum>
  <w:abstractNum w:abstractNumId="16">
    <w:nsid w:val="71F32454"/>
    <w:multiLevelType w:val="hybridMultilevel"/>
    <w:lvl w:ilvl="0">
      <w:lvlJc w:val="left"/>
      <w:lvlText w:val="%1."/>
      <w:numFmt w:val="decimal"/>
      <w:start w:val="13"/>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4"/>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3"/>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lvl w:ilvl="1">
      <w:lvlJc w:val="left"/>
      <w:lvlText w:val="%2."/>
      <w:numFmt w:val="lowerLetter"/>
      <w:start w:val="1"/>
    </w:lvl>
  </w:abstractNum>
  <w:abstractNum w:abstractNumId="29">
    <w:nsid w:val="614FD4A1"/>
    <w:multiLevelType w:val="hybridMultilevel"/>
    <w:lvl w:ilvl="0">
      <w:lvlJc w:val="left"/>
      <w:lvlText w:val="%1."/>
      <w:numFmt w:val="upperLetter"/>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lvl w:ilvl="1">
      <w:lvlJc w:val="left"/>
      <w:lvlText w:val="(%2)"/>
      <w:numFmt w:val="lowerLetter"/>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5"/>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58" Type="http://schemas.openxmlformats.org/officeDocument/2006/relationships/hyperlink" Target="https://www.sec.gov/Archives/edgar/data/0001530979/000119312521157761/d488865dex31.htm" TargetMode="External"/><Relationship Id="rId59" Type="http://schemas.openxmlformats.org/officeDocument/2006/relationships/hyperlink" Target="https://www.sec.gov/Archives/edgar/data/0001530979/000119312521157761/d48886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2022-08-13T11:25:07Z</dcterms:created>
  <dcterms:modified xsi:type="dcterms:W3CDTF">2022-08-13T11:25:07Z</dcterms:modified>
</cp:coreProperties>
</file>