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jc w:val="center"/>
        <w:rPr/>
      </w:pPr>
      <w:r>
        <w:rPr/>
      </w:r>
    </w:p>
    <w:p>
      <w:pPr>
        <w:pStyle w:val="TextBody"/>
        <w:bidi w:val="0"/>
        <w:spacing w:lineRule="auto" w:line="326"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196"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For the transition period from</w:t>
      </w:r>
      <w:r>
        <w:rPr>
          <w:color w:val="000000"/>
        </w:rPr>
        <w:t>    </w:t>
      </w:r>
      <w:r>
        <w:rPr>
          <w:rFonts w:ascii="Times New Roman;serif" w:hAnsi="Times New Roman;serif"/>
          <w:b/>
          <w:color w:val="000000"/>
          <w:sz w:val="20"/>
        </w:rPr>
        <w:t>to</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Commission File Number: 001-40378</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828800"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6572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The Honest Company, Inc.</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Trading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11" w:before="0" w:after="0"/>
        <w:jc w:val="left"/>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11"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300" w:before="0" w:after="0"/>
        <w:ind w:left="0" w:right="0" w:firstLine="599"/>
        <w:jc w:val="left"/>
        <w:rPr>
          <w:rFonts w:ascii="Times New Roman;serif" w:hAnsi="Times New Roman;serif"/>
          <w:b w:val="false"/>
          <w:color w:val="000000"/>
          <w:sz w:val="20"/>
        </w:rPr>
      </w:pPr>
      <w:r>
        <w:rPr>
          <w:rFonts w:ascii="Times New Roman;serif" w:hAnsi="Times New Roman;serif"/>
          <w:b w:val="false"/>
          <w:color w:val="000000"/>
          <w:sz w:val="20"/>
        </w:rPr>
        <w:t>As of August 1, 2025, the registrant had 111,269,491 shares of common stock, $0.0001 par value per share outstanding.</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before="0" w:after="0"/>
        <w:jc w:val="center"/>
        <w:rPr/>
      </w:pPr>
      <w:r>
        <w:rPr/>
      </w:r>
    </w:p>
    <w:p>
      <w:pPr>
        <w:pStyle w:val="TextBody"/>
        <w:bidi w:val="0"/>
        <w:spacing w:before="0" w:after="0"/>
        <w:jc w:val="center"/>
        <w:rPr/>
      </w:pPr>
      <w:r>
        <w:rPr/>
      </w:r>
    </w:p>
    <w:tbl>
      <w:tblPr>
        <w:tblW w:w="8864" w:type="dxa"/>
        <w:jc w:val="left"/>
        <w:tblInd w:w="0" w:type="dxa"/>
        <w:tblLayout w:type="fixed"/>
        <w:tblCellMar>
          <w:top w:w="28" w:type="dxa"/>
          <w:left w:w="28" w:type="dxa"/>
          <w:bottom w:w="28" w:type="dxa"/>
          <w:right w:w="28" w:type="dxa"/>
        </w:tblCellMar>
      </w:tblPr>
      <w:tblGrid>
        <w:gridCol w:w="320"/>
        <w:gridCol w:w="281"/>
        <w:gridCol w:w="283"/>
        <w:gridCol w:w="2454"/>
        <w:gridCol w:w="2454"/>
        <w:gridCol w:w="2457"/>
        <w:gridCol w:w="180"/>
        <w:gridCol w:w="180"/>
        <w:gridCol w:w="255"/>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Page </w:t>
            </w:r>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3">
              <w:r>
                <w:rPr>
                  <w:rStyle w:val="InternetLink"/>
                  <w:rFonts w:ascii="Times New Roman;serif" w:hAnsi="Times New Roman;serif"/>
                  <w:b w:val="false"/>
                  <w:strike w:val="false"/>
                  <w:dstrike w:val="false"/>
                  <w:color w:val="000000"/>
                  <w:sz w:val="20"/>
                  <w:u w:val="none"/>
                  <w:effect w:val="none"/>
                </w:rPr>
                <w:t>FINANCIAL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3">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6">
              <w:r>
                <w:rPr>
                  <w:rStyle w:val="InternetLink"/>
                  <w:rFonts w:ascii="Times New Roman;serif" w:hAnsi="Times New Roman;serif"/>
                  <w:b w:val="false"/>
                  <w:strike w:val="false"/>
                  <w:dstrike w:val="false"/>
                  <w:color w:val="000000"/>
                  <w:sz w:val="20"/>
                  <w:u w:val="none"/>
                  <w:effect w:val="none"/>
                </w:rPr>
                <w:t>Condensed Consolidated Financial Statements (Unaudited)</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6">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9">
              <w:r>
                <w:rPr>
                  <w:rStyle w:val="InternetLink"/>
                  <w:rFonts w:ascii="Times New Roman;serif" w:hAnsi="Times New Roman;serif"/>
                  <w:b w:val="false"/>
                  <w:strike w:val="false"/>
                  <w:dstrike w:val="false"/>
                  <w:color w:val="000000"/>
                  <w:sz w:val="20"/>
                  <w:u w:val="none"/>
                  <w:effect w:val="none"/>
                </w:rPr>
                <w:t xml:space="preserve">Condensed Consolidated Balance Sheets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9">
              <w:r>
                <w:rPr>
                  <w:rStyle w:val="InternetLink"/>
                  <w:rFonts w:ascii="Times New Roman;serif" w:hAnsi="Times New Roman;serif"/>
                  <w:b w:val="false"/>
                  <w:color w:val="0000FF"/>
                  <w:sz w:val="20"/>
                  <w:u w:val="single"/>
                </w:rPr>
                <w:t>1</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22">
              <w:r>
                <w:rPr>
                  <w:rStyle w:val="InternetLink"/>
                  <w:rFonts w:ascii="Times New Roman;serif" w:hAnsi="Times New Roman;serif"/>
                  <w:b w:val="false"/>
                  <w:strike w:val="false"/>
                  <w:dstrike w:val="false"/>
                  <w:color w:val="000080"/>
                  <w:sz w:val="20"/>
                  <w:u w:val="single"/>
                  <w:effect w:val="none"/>
                </w:rPr>
                <w:t xml:space="preserve">Condensed Consolidated Statements of Comprehensive </w:t>
              </w:r>
            </w:hyperlink>
            <w:hyperlink w:anchor="if14863722db449fa89b927e81c6ff2f8_22">
              <w:r>
                <w:rPr>
                  <w:rStyle w:val="InternetLink"/>
                  <w:rFonts w:ascii="Times New Roman;serif" w:hAnsi="Times New Roman;serif"/>
                  <w:b w:val="false"/>
                  <w:strike w:val="false"/>
                  <w:dstrike w:val="false"/>
                  <w:color w:val="000080"/>
                  <w:sz w:val="20"/>
                  <w:u w:val="single"/>
                  <w:effect w:val="none"/>
                </w:rPr>
                <w:t>Income (</w:t>
              </w:r>
            </w:hyperlink>
            <w:hyperlink w:anchor="if14863722db449fa89b927e81c6ff2f8_22">
              <w:r>
                <w:rPr>
                  <w:rStyle w:val="InternetLink"/>
                  <w:rFonts w:ascii="Times New Roman;serif" w:hAnsi="Times New Roman;serif"/>
                  <w:b w:val="false"/>
                  <w:strike w:val="false"/>
                  <w:dstrike w:val="false"/>
                  <w:color w:val="000080"/>
                  <w:sz w:val="20"/>
                  <w:u w:val="single"/>
                  <w:effect w:val="none"/>
                </w:rPr>
                <w:t>Loss</w:t>
              </w:r>
            </w:hyperlink>
            <w:hyperlink w:anchor="if14863722db449fa89b927e81c6ff2f8_22">
              <w:r>
                <w:rPr>
                  <w:rStyle w:val="InternetLink"/>
                  <w:rFonts w:ascii="Times New Roman;serif" w:hAnsi="Times New Roman;serif"/>
                  <w:b w:val="false"/>
                  <w:strike w:val="false"/>
                  <w:dstrike w:val="false"/>
                  <w:color w:val="000080"/>
                  <w:sz w:val="20"/>
                  <w:u w:val="single"/>
                  <w:effect w:val="none"/>
                </w:rPr>
                <w:t>)</w:t>
              </w:r>
            </w:hyperlink>
            <w:hyperlink w:anchor="if14863722db449fa89b927e81c6ff2f8_22">
              <w:r>
                <w:rPr>
                  <w:rStyle w:val="InternetLink"/>
                  <w:rFonts w:ascii="Times New Roman;serif" w:hAnsi="Times New Roman;serif"/>
                  <w:b w:val="false"/>
                  <w:strike w:val="false"/>
                  <w:dstrike w:val="false"/>
                  <w:color w:val="000080"/>
                  <w:sz w:val="20"/>
                  <w:u w:val="single"/>
                  <w:effect w:val="none"/>
                </w:rPr>
                <w:t xml:space="preserve">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22">
              <w:r>
                <w:rPr>
                  <w:rStyle w:val="InternetLink"/>
                  <w:rFonts w:ascii="Times New Roman;serif" w:hAnsi="Times New Roman;serif"/>
                  <w:b w:val="false"/>
                  <w:color w:val="0000FF"/>
                  <w:sz w:val="20"/>
                  <w:u w:val="single"/>
                </w:rPr>
                <w:t>2</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25">
              <w:r>
                <w:rPr>
                  <w:rStyle w:val="InternetLink"/>
                  <w:rFonts w:ascii="Times New Roman;serif" w:hAnsi="Times New Roman;serif"/>
                  <w:b w:val="false"/>
                  <w:strike w:val="false"/>
                  <w:dstrike w:val="false"/>
                  <w:color w:val="000080"/>
                  <w:sz w:val="20"/>
                  <w:u w:val="single"/>
                  <w:effect w:val="none"/>
                </w:rPr>
                <w:t xml:space="preserve">Condensed Consolidated Statements of Stockholders’ </w:t>
              </w:r>
            </w:hyperlink>
            <w:hyperlink w:anchor="if14863722db449fa89b927e81c6ff2f8_25">
              <w:r>
                <w:rPr>
                  <w:rStyle w:val="InternetLink"/>
                  <w:rFonts w:ascii="Times New Roman;serif" w:hAnsi="Times New Roman;serif"/>
                  <w:b w:val="false"/>
                  <w:strike w:val="false"/>
                  <w:dstrike w:val="false"/>
                  <w:color w:val="000080"/>
                  <w:sz w:val="20"/>
                  <w:u w:val="single"/>
                  <w:effect w:val="none"/>
                </w:rPr>
                <w:t>Equity (</w:t>
              </w:r>
            </w:hyperlink>
            <w:hyperlink w:anchor="if14863722db449fa89b927e81c6ff2f8_25">
              <w:r>
                <w:rPr>
                  <w:rStyle w:val="InternetLink"/>
                  <w:rFonts w:ascii="Times New Roman;serif" w:hAnsi="Times New Roman;serif"/>
                  <w:b w:val="false"/>
                  <w:strike w:val="false"/>
                  <w:dstrike w:val="false"/>
                  <w:color w:val="000080"/>
                  <w:sz w:val="20"/>
                  <w:u w:val="single"/>
                  <w:effect w:val="none"/>
                </w:rPr>
                <w:t>Deficit</w:t>
              </w:r>
            </w:hyperlink>
            <w:hyperlink w:anchor="if14863722db449fa89b927e81c6ff2f8_25">
              <w:r>
                <w:rPr>
                  <w:rStyle w:val="InternetLink"/>
                  <w:rFonts w:ascii="Times New Roman;serif" w:hAnsi="Times New Roman;serif"/>
                  <w:b w:val="false"/>
                  <w:strike w:val="false"/>
                  <w:dstrike w:val="false"/>
                  <w:color w:val="000080"/>
                  <w:sz w:val="20"/>
                  <w:u w:val="single"/>
                  <w:effect w:val="none"/>
                </w:rPr>
                <w:t>)</w:t>
              </w:r>
            </w:hyperlink>
            <w:hyperlink w:anchor="if14863722db449fa89b927e81c6ff2f8_25">
              <w:r>
                <w:rPr>
                  <w:rStyle w:val="InternetLink"/>
                  <w:rFonts w:ascii="Times New Roman;serif" w:hAnsi="Times New Roman;serif"/>
                  <w:b w:val="false"/>
                  <w:strike w:val="false"/>
                  <w:dstrike w:val="false"/>
                  <w:color w:val="000080"/>
                  <w:sz w:val="20"/>
                  <w:u w:val="single"/>
                  <w:effect w:val="none"/>
                </w:rPr>
                <w:t xml:space="preserve">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25">
              <w:r>
                <w:rPr>
                  <w:rStyle w:val="InternetLink"/>
                  <w:rFonts w:ascii="Times New Roman;serif" w:hAnsi="Times New Roman;serif"/>
                  <w:b w:val="false"/>
                  <w:color w:val="0000FF"/>
                  <w:sz w:val="20"/>
                  <w:u w:val="single"/>
                </w:rPr>
                <w:t>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28">
              <w:r>
                <w:rPr>
                  <w:rStyle w:val="InternetLink"/>
                  <w:rFonts w:ascii="Times New Roman;serif" w:hAnsi="Times New Roman;serif"/>
                  <w:b w:val="false"/>
                  <w:strike w:val="false"/>
                  <w:dstrike w:val="false"/>
                  <w:color w:val="000000"/>
                  <w:sz w:val="20"/>
                  <w:u w:val="none"/>
                  <w:effect w:val="none"/>
                </w:rPr>
                <w:t xml:space="preserve">Condensed Consolidated Statements of Cash Flows </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28">
              <w:r>
                <w:rPr>
                  <w:rStyle w:val="InternetLink"/>
                  <w:rFonts w:ascii="Times New Roman;serif" w:hAnsi="Times New Roman;serif"/>
                  <w:b w:val="false"/>
                  <w:color w:val="0000FF"/>
                  <w:sz w:val="20"/>
                  <w:u w:val="single"/>
                </w:rPr>
                <w:t>5</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31">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31">
              <w:r>
                <w:rPr>
                  <w:rStyle w:val="InternetLink"/>
                  <w:rFonts w:ascii="Times New Roman;serif" w:hAnsi="Times New Roman;serif"/>
                  <w:b w:val="false"/>
                  <w:color w:val="0000FF"/>
                  <w:sz w:val="20"/>
                  <w:u w:val="single"/>
                </w:rPr>
                <w:t>6</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82">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82">
              <w:r>
                <w:rPr>
                  <w:rStyle w:val="InternetLink"/>
                  <w:rFonts w:ascii="Times New Roman;serif" w:hAnsi="Times New Roman;serif"/>
                  <w:b w:val="false"/>
                  <w:color w:val="0000FF"/>
                  <w:sz w:val="20"/>
                  <w:u w:val="single"/>
                </w:rPr>
                <w:t>15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88">
              <w:r>
                <w:rPr>
                  <w:rStyle w:val="InternetLink"/>
                  <w:rFonts w:ascii="Times New Roman;serif" w:hAnsi="Times New Roman;serif"/>
                  <w:b w:val="false"/>
                  <w:strike w:val="false"/>
                  <w:dstrike w:val="false"/>
                  <w:color w:val="000000"/>
                  <w:sz w:val="20"/>
                  <w:u w:val="none"/>
                  <w:effect w:val="none"/>
                </w:rPr>
                <w:t>Quantitative and Qualitative Disclosures About Market Risk</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88">
              <w:r>
                <w:rPr>
                  <w:rStyle w:val="InternetLink"/>
                  <w:rFonts w:ascii="Times New Roman;serif" w:hAnsi="Times New Roman;serif"/>
                  <w:b w:val="false"/>
                  <w:color w:val="0000FF"/>
                  <w:sz w:val="20"/>
                  <w:u w:val="singl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94">
              <w:r>
                <w:rPr>
                  <w:rStyle w:val="InternetLink"/>
                  <w:rFonts w:ascii="Times New Roman;serif" w:hAnsi="Times New Roman;serif"/>
                  <w:b w:val="false"/>
                  <w:strike w:val="false"/>
                  <w:dstrike w:val="false"/>
                  <w:color w:val="000000"/>
                  <w:sz w:val="20"/>
                  <w:u w:val="none"/>
                  <w:effect w:val="none"/>
                </w:rPr>
                <w:t>Controls and Procedures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94">
              <w:r>
                <w:rPr>
                  <w:rStyle w:val="InternetLink"/>
                  <w:rFonts w:ascii="Times New Roman;serif" w:hAnsi="Times New Roman;serif"/>
                  <w:b w:val="false"/>
                  <w:color w:val="0000FF"/>
                  <w:sz w:val="20"/>
                  <w:u w:val="single"/>
                </w:rPr>
                <w:t>27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97">
              <w:r>
                <w:rPr>
                  <w:rStyle w:val="InternetLink"/>
                  <w:rFonts w:ascii="Times New Roman;serif" w:hAnsi="Times New Roman;serif"/>
                  <w:b w:val="false"/>
                  <w:strike w:val="false"/>
                  <w:dstrike w:val="false"/>
                  <w:color w:val="000000"/>
                  <w:sz w:val="20"/>
                  <w:u w:val="none"/>
                  <w:effect w:val="none"/>
                </w:rPr>
                <w:t>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00">
              <w:r>
                <w:rPr>
                  <w:rStyle w:val="InternetLink"/>
                  <w:rFonts w:ascii="Times New Roman;serif" w:hAnsi="Times New Roman;serif"/>
                  <w:b w:val="false"/>
                  <w:color w:val="0000FF"/>
                  <w:sz w:val="20"/>
                  <w:u w:val="single"/>
                </w:rPr>
                <w:t>28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00">
              <w:r>
                <w:rPr>
                  <w:rStyle w:val="InternetLink"/>
                  <w:rFonts w:ascii="Times New Roman;serif" w:hAnsi="Times New Roman;serif"/>
                  <w:b w:val="false"/>
                  <w:strike w:val="false"/>
                  <w:dstrike w:val="false"/>
                  <w:color w:val="000000"/>
                  <w:sz w:val="20"/>
                  <w:u w:val="none"/>
                  <w:effect w:val="none"/>
                </w:rPr>
                <w:t>Legal Proceedings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00">
              <w:r>
                <w:rPr>
                  <w:rStyle w:val="InternetLink"/>
                  <w:rFonts w:ascii="Times New Roman;serif" w:hAnsi="Times New Roman;serif"/>
                  <w:b w:val="false"/>
                  <w:color w:val="0000FF"/>
                  <w:sz w:val="20"/>
                  <w:u w:val="single"/>
                </w:rPr>
                <w:t>28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03">
              <w:r>
                <w:rPr>
                  <w:rStyle w:val="InternetLink"/>
                  <w:rFonts w:ascii="Times New Roman;serif" w:hAnsi="Times New Roman;serif"/>
                  <w:b w:val="false"/>
                  <w:strike w:val="false"/>
                  <w:dstrike w:val="false"/>
                  <w:color w:val="000000"/>
                  <w:sz w:val="20"/>
                  <w:u w:val="none"/>
                  <w:effect w:val="none"/>
                </w:rPr>
                <w:t>Risk Factors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03">
              <w:r>
                <w:rPr>
                  <w:rStyle w:val="InternetLink"/>
                  <w:rFonts w:ascii="Times New Roman;serif" w:hAnsi="Times New Roman;serif"/>
                  <w:b w:val="false"/>
                  <w:color w:val="0000FF"/>
                  <w:sz w:val="20"/>
                  <w:u w:val="single"/>
                </w:rPr>
                <w:t>28</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06">
              <w:r>
                <w:rPr>
                  <w:rStyle w:val="InternetLink"/>
                  <w:rFonts w:ascii="Times New Roman;serif" w:hAnsi="Times New Roman;serif"/>
                  <w:b w:val="false"/>
                  <w:strike w:val="false"/>
                  <w:dstrike w:val="false"/>
                  <w:color w:val="000000"/>
                  <w:sz w:val="20"/>
                  <w:u w:val="none"/>
                  <w:effect w:val="none"/>
                </w:rPr>
                <w:t>Unregistered Sales of Equity Securities and Use of Proceeds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06">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09">
              <w:r>
                <w:rPr>
                  <w:rStyle w:val="InternetLink"/>
                  <w:rFonts w:ascii="Times New Roman;serif" w:hAnsi="Times New Roman;serif"/>
                  <w:b w:val="false"/>
                  <w:strike w:val="false"/>
                  <w:dstrike w:val="false"/>
                  <w:color w:val="000000"/>
                  <w:sz w:val="20"/>
                  <w:u w:val="none"/>
                  <w:effect w:val="none"/>
                </w:rPr>
                <w:t>Defaults Under Senior Securities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09">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12">
              <w:r>
                <w:rPr>
                  <w:rStyle w:val="InternetLink"/>
                  <w:rFonts w:ascii="Times New Roman;serif" w:hAnsi="Times New Roman;serif"/>
                  <w:b w:val="false"/>
                  <w:strike w:val="false"/>
                  <w:dstrike w:val="false"/>
                  <w:color w:val="000000"/>
                  <w:sz w:val="20"/>
                  <w:u w:val="none"/>
                  <w:effect w:val="none"/>
                </w:rPr>
                <w:t>Mine Safety Disclosures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12">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15">
              <w:r>
                <w:rPr>
                  <w:rStyle w:val="InternetLink"/>
                  <w:rFonts w:ascii="Times New Roman;serif" w:hAnsi="Times New Roman;serif"/>
                  <w:b w:val="false"/>
                  <w:strike w:val="false"/>
                  <w:dstrike w:val="false"/>
                  <w:color w:val="000000"/>
                  <w:sz w:val="20"/>
                  <w:u w:val="none"/>
                  <w:effect w:val="none"/>
                </w:rPr>
                <w:t>Other Information</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15">
              <w:r>
                <w:rPr>
                  <w:rStyle w:val="InternetLink"/>
                  <w:rFonts w:ascii="Times New Roman;serif" w:hAnsi="Times New Roman;serif"/>
                  <w:b w:val="false"/>
                  <w:color w:val="0000FF"/>
                  <w:sz w:val="20"/>
                  <w:u w:val="single"/>
                </w:rPr>
                <w:t>31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18">
              <w:r>
                <w:rPr>
                  <w:rStyle w:val="InternetLink"/>
                  <w:rFonts w:ascii="Times New Roman;serif" w:hAnsi="Times New Roman;serif"/>
                  <w:b w:val="false"/>
                  <w:strike w:val="false"/>
                  <w:dstrike w:val="false"/>
                  <w:color w:val="000000"/>
                  <w:sz w:val="20"/>
                  <w:u w:val="none"/>
                  <w:effect w:val="none"/>
                </w:rPr>
                <w:t>Exhibits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18">
              <w:r>
                <w:rPr>
                  <w:rStyle w:val="InternetLink"/>
                  <w:rFonts w:ascii="Times New Roman;serif" w:hAnsi="Times New Roman;serif"/>
                  <w:b w:val="false"/>
                  <w:color w:val="0000FF"/>
                  <w:sz w:val="20"/>
                  <w:u w:val="single"/>
                </w:rPr>
                <w:t>33</w:t>
              </w:r>
            </w:hyperlink>
          </w:p>
        </w:tc>
      </w:tr>
      <w:tr>
        <w:trPr/>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14863722db449fa89b927e81c6ff2f8_121">
              <w:r>
                <w:rPr>
                  <w:rStyle w:val="InternetLink"/>
                  <w:rFonts w:ascii="Times New Roman;serif" w:hAnsi="Times New Roman;serif"/>
                  <w:b w:val="false"/>
                  <w:strike w:val="false"/>
                  <w:dstrike w:val="false"/>
                  <w:color w:val="000000"/>
                  <w:sz w:val="20"/>
                  <w:u w:val="none"/>
                  <w:effect w:val="none"/>
                </w:rPr>
                <w:t>Signatures</w:t>
              </w:r>
            </w:hyperlink>
          </w:p>
        </w:tc>
        <w:tc>
          <w:tcPr>
            <w:tcW w:w="615"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14863722db449fa89b927e81c6ff2f8_121">
              <w:r>
                <w:rPr>
                  <w:rStyle w:val="InternetLink"/>
                  <w:rFonts w:ascii="Times New Roman;serif" w:hAnsi="Times New Roman;serif"/>
                  <w:b w:val="false"/>
                  <w:color w:val="0000FF"/>
                  <w:sz w:val="20"/>
                  <w:u w:val="single"/>
                </w:rPr>
                <w:t>34</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60655"/>
                <wp:effectExtent l="0" t="0" r="0" b="0"/>
                <wp:wrapNone/>
                <wp:docPr id="3" name="Frame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erif" w:hAnsi="Times New Roman;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erif" w:hAnsi="Times New Roman;serif"/>
          <w:b w:val="false"/>
          <w:color w:val="000000"/>
          <w:sz w:val="20"/>
        </w:rPr>
        <w:t>, those set forth in Part II, Item 1A, “Risk Factors,” and other factors set forth in other parts of this Quarterly Report on Form 10-Q as well as in Part I, Item 1A, “Risk Factors” in our Annual Report on Form 10-K for the fiscal year ended December 31, 2024 (the “Annual Report”), filed with the Securities and Exchange Commission (“SEC”) on February 26, 2025.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ability to achieve or maintain profitability; our ability to continue to launch new products; our ability to attract and retain customers; our ability to execute on and to continue driving benefits from our Transformation Pillars of Brand Maximization, Margin Enhancement, and Operating Discipline; our tariff mitigation strategy; our marketing and distribution strategies; our continued focus on research, development and innovation; our expectations regarding consumer demand and the timing and amount of orders from our largest retail customers; the effect of macroeconomic factors, including supply chain disruptions, tariffs, and inflationary pressures; anticipated trends, growth rates, and challenges in our business and in the markets in which we operate; and our ability to execute on other business strategies, including strategic shift away from lower margin channels, plans and objectives of management for future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56"/>
        <w:gridCol w:w="2304"/>
        <w:gridCol w:w="2235"/>
        <w:gridCol w:w="218"/>
        <w:gridCol w:w="858"/>
        <w:gridCol w:w="113"/>
        <w:gridCol w:w="109"/>
        <w:gridCol w:w="109"/>
        <w:gridCol w:w="109"/>
        <w:gridCol w:w="246"/>
        <w:gridCol w:w="965"/>
        <w:gridCol w:w="183"/>
      </w:tblGrid>
      <w:tr>
        <w:trPr/>
        <w:tc>
          <w:tcPr>
            <w:tcW w:w="2756"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7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45,146 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43,476 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95,033 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85,266 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8,657 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220,913 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213,918 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17,239 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11,394 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249,028 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247,393 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Liabilities and Stockholders’ Equity </w:t>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21,171 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53,258 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59,889 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liabilities</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13,197 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62,000 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73,086 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Commitments and contingencies (Note </w:t>
            </w:r>
            <w:r>
              <w:rPr>
                <w:rFonts w:ascii="Times New Roman;serif" w:hAnsi="Times New Roman;serif"/>
                <w:b w:val="false"/>
                <w:color w:val="000000"/>
                <w:sz w:val="22"/>
              </w:rPr>
              <w:t>7</w:t>
            </w:r>
            <w:r>
              <w:rPr>
                <w:rFonts w:ascii="Times New Roman;serif" w:hAnsi="Times New Roman;serif"/>
                <w:b w:val="false"/>
                <w:color w:val="000000"/>
                <w:sz w:val="20"/>
              </w:rPr>
              <w:t>)</w:t>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Stockholders’ equity </w:t>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20,000,000 shares authorized at June 30, 2025 and December 31, 2024, none issued or outstanding as of June 30, 2025 and December 31, 2024</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at June 30, 2025 and December 31, 2024; 111,600,237 and 109,159,697 shares issued and outstanding as of June 30, 2025 and December 31, 2024, respectively</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665,085 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659,488 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(478,068)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stockholders’ equity </w:t>
            </w:r>
          </w:p>
        </w:tc>
        <w:tc>
          <w:tcPr>
            <w:tcW w:w="10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187,028 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174,307 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249,028 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247,393 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00"/>
        <w:gridCol w:w="1216"/>
        <w:gridCol w:w="1131"/>
        <w:gridCol w:w="275"/>
        <w:gridCol w:w="921"/>
        <w:gridCol w:w="119"/>
        <w:gridCol w:w="119"/>
        <w:gridCol w:w="119"/>
        <w:gridCol w:w="119"/>
        <w:gridCol w:w="275"/>
        <w:gridCol w:w="851"/>
        <w:gridCol w:w="119"/>
        <w:gridCol w:w="109"/>
        <w:gridCol w:w="109"/>
        <w:gridCol w:w="109"/>
        <w:gridCol w:w="241"/>
        <w:gridCol w:w="945"/>
        <w:gridCol w:w="113"/>
        <w:gridCol w:w="113"/>
        <w:gridCol w:w="113"/>
        <w:gridCol w:w="113"/>
        <w:gridCol w:w="237"/>
        <w:gridCol w:w="872"/>
        <w:gridCol w:w="167"/>
      </w:tblGrid>
      <w:tr>
        <w:trPr/>
        <w:tc>
          <w:tcPr>
            <w:tcW w:w="170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190,709 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179,266 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55,707 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57,437 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75,422 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67,494 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48,850 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70,027 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72,853 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(5,441)</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1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1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3"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6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shares used in computing net income (loss) per share attributable to common stockholders: </w:t>
            </w:r>
          </w:p>
        </w:tc>
        <w:tc>
          <w:tcPr>
            <w:tcW w:w="13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110,991,363 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99,078,930 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110,275,931 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97,676,049 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114,041,772 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99,078,930 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114,310,420 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97,676,049 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(Deficit)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88" w:before="0" w:after="0"/>
        <w:ind w:left="0" w:right="0" w:firstLine="720"/>
        <w:jc w:val="center"/>
        <w:rPr/>
      </w:pPr>
      <w:r>
        <w:rPr>
          <w:rFonts w:ascii="Times New Roman;serif" w:hAnsi="Times New Roman;serif"/>
          <w:b w:val="false"/>
          <w:i/>
          <w:color w:val="000000"/>
          <w:sz w:val="18"/>
        </w:rPr>
        <w:t>(in thousands, except share amounts)</w:t>
      </w:r>
      <w:r>
        <w:rPr>
          <w:color w:val="000000"/>
        </w:rPr>
        <w:t xml:space="preserve"> </w:t>
      </w:r>
    </w:p>
    <w:tbl>
      <w:tblPr>
        <w:tblW w:w="11276"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126"/>
        <w:gridCol w:w="126"/>
        <w:gridCol w:w="126"/>
        <w:gridCol w:w="126"/>
        <w:gridCol w:w="592"/>
        <w:gridCol w:w="594"/>
        <w:gridCol w:w="232"/>
        <w:gridCol w:w="109"/>
        <w:gridCol w:w="109"/>
        <w:gridCol w:w="109"/>
        <w:gridCol w:w="368"/>
        <w:gridCol w:w="447"/>
        <w:gridCol w:w="191"/>
        <w:gridCol w:w="280"/>
        <w:gridCol w:w="280"/>
        <w:gridCol w:w="281"/>
        <w:gridCol w:w="223"/>
        <w:gridCol w:w="876"/>
        <w:gridCol w:w="117"/>
        <w:gridCol w:w="109"/>
        <w:gridCol w:w="109"/>
        <w:gridCol w:w="109"/>
        <w:gridCol w:w="211"/>
        <w:gridCol w:w="841"/>
        <w:gridCol w:w="109"/>
        <w:gridCol w:w="109"/>
        <w:gridCol w:w="109"/>
        <w:gridCol w:w="109"/>
        <w:gridCol w:w="1261"/>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Paid-in Capital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 (Deficit)</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95,868,421 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602,198 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1,174,282 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97,168,703 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605,229 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(480,471)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2,924,878 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63,393 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100,156,974 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614,220 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(484,548)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129,681 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(Deficit) </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p>
      <w:pPr>
        <w:pStyle w:val="TextBody"/>
        <w:bidi w:val="0"/>
        <w:spacing w:lineRule="auto" w:line="288" w:before="0" w:after="0"/>
        <w:ind w:left="0" w:right="0" w:firstLine="720"/>
        <w:jc w:val="center"/>
        <w:rPr/>
      </w:pPr>
      <w:r>
        <w:rPr>
          <w:rFonts w:ascii="Times New Roman;serif" w:hAnsi="Times New Roman;serif"/>
          <w:b w:val="false"/>
          <w:i/>
          <w:color w:val="000000"/>
          <w:sz w:val="18"/>
        </w:rPr>
        <w:t>(in thousands, except share amounts)</w:t>
      </w:r>
      <w:r>
        <w:rPr>
          <w:color w:val="000000"/>
        </w:rPr>
        <w:t xml:space="preserve"> </w:t>
      </w:r>
    </w:p>
    <w:tbl>
      <w:tblPr>
        <w:tblW w:w="11276" w:type="dxa"/>
        <w:jc w:val="center"/>
        <w:tblInd w:w="0" w:type="dxa"/>
        <w:tblLayout w:type="fixed"/>
        <w:tblCellMar>
          <w:top w:w="28" w:type="dxa"/>
          <w:left w:w="28" w:type="dxa"/>
          <w:bottom w:w="28" w:type="dxa"/>
          <w:right w:w="28" w:type="dxa"/>
        </w:tblCellMar>
      </w:tblPr>
      <w:tblGrid>
        <w:gridCol w:w="638"/>
        <w:gridCol w:w="311"/>
        <w:gridCol w:w="312"/>
        <w:gridCol w:w="109"/>
        <w:gridCol w:w="109"/>
        <w:gridCol w:w="109"/>
        <w:gridCol w:w="126"/>
        <w:gridCol w:w="126"/>
        <w:gridCol w:w="126"/>
        <w:gridCol w:w="126"/>
        <w:gridCol w:w="593"/>
        <w:gridCol w:w="593"/>
        <w:gridCol w:w="232"/>
        <w:gridCol w:w="109"/>
        <w:gridCol w:w="109"/>
        <w:gridCol w:w="109"/>
        <w:gridCol w:w="311"/>
        <w:gridCol w:w="533"/>
        <w:gridCol w:w="162"/>
        <w:gridCol w:w="280"/>
        <w:gridCol w:w="280"/>
        <w:gridCol w:w="281"/>
        <w:gridCol w:w="223"/>
        <w:gridCol w:w="876"/>
        <w:gridCol w:w="117"/>
        <w:gridCol w:w="109"/>
        <w:gridCol w:w="109"/>
        <w:gridCol w:w="109"/>
        <w:gridCol w:w="211"/>
        <w:gridCol w:w="841"/>
        <w:gridCol w:w="109"/>
        <w:gridCol w:w="109"/>
        <w:gridCol w:w="109"/>
        <w:gridCol w:w="109"/>
        <w:gridCol w:w="1261"/>
        <w:gridCol w:w="109"/>
        <w:gridCol w:w="211"/>
        <w:gridCol w:w="826"/>
        <w:gridCol w:w="154"/>
      </w:tblGrid>
      <w:tr>
        <w:trPr/>
        <w:tc>
          <w:tcPr>
            <w:tcW w:w="63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2"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Additional Paid-in Capital </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Stockholders' Equity (Deficit)</w:t>
            </w:r>
          </w:p>
        </w:tc>
        <w:tc>
          <w:tcPr>
            <w:tcW w:w="1300" w:type="dxa"/>
            <w:gridSpan w:val="4"/>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erif" w:hAnsi="Times New Roman;serif"/>
                <w:b/>
                <w:color w:val="000000"/>
                <w:sz w:val="20"/>
              </w:rPr>
              <w:t xml:space="preserve">Amount </w:t>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109,159,697 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659,488 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(485,192)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174,307 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exercised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1,253,999 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110,488,696 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662,284 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(481,938)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1,093,352 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Balances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111,600,237 </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665,085 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(478,068)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646"/>
        <w:gridCol w:w="2299"/>
        <w:gridCol w:w="2316"/>
        <w:gridCol w:w="253"/>
        <w:gridCol w:w="864"/>
        <w:gridCol w:w="130"/>
        <w:gridCol w:w="130"/>
        <w:gridCol w:w="130"/>
        <w:gridCol w:w="130"/>
        <w:gridCol w:w="253"/>
        <w:gridCol w:w="864"/>
        <w:gridCol w:w="190"/>
      </w:tblGrid>
      <w:tr>
        <w:trPr/>
        <w:tc>
          <w:tcPr>
            <w:tcW w:w="2646"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7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(used in) provided by operating activities:</w:t>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ROU assets</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(1,601)</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(11,386)</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long-term liabilities</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(6,462)</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(3,609)</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2021 ESPP</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finance lease liabilities</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(decrease) increase in cash and cash equivalents </w:t>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3,766 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the period</w:t>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75,435 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32,827 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 of the period</w:t>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1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36,593 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activities</w:t>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1"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7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accounts payable and accrued expenses</w:t>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The Honest Company, Inc.</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 percentages and as otherwise indicated)</w:t>
      </w:r>
    </w:p>
    <w:p>
      <w:pPr>
        <w:pStyle w:val="TextBody"/>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     Nature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Honest Company, Inc. (the “Company”) was incorporated in the State of California on July 19, 2011 and on May 23, 2012 was re-incorporated in the State of Delaware under the same name. The Company is a personal care company dedicated to creating cleanly-formulated and sustainably-designed products.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2024.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2024 has been derived from the audited financial statements at that date but does not include all of the disclosures required by GAAP. The condensed consolidated financial statements include the accounts of the Company, and its wholly owned subsidiaries after elimination of intercompany transactions and balances.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reclassifications to the Company's previously reported financial information have been made to conform to the current period presentation. The Company made reclassifications to the condensed consolidated statement of cash flows, including a reclassification of $3.2 million was made from "Other" to "Amortization of operating right-of-use (“ROU”) assets" in the "adjustments to reconcile net income (loss) to net cash (used in) provided by operating activities" section of the consolidated statements of cash flow for the six months ended June 30, 2024 to conform to the current year presentation, among other immaterial reclassifications.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Segment Reporting and Geographic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principal business primarily focuses on creating cleanly-formulated and sustainably-designed products. The Company’s Chief Executive Officer (“CEO”), as the chief operating decision maker (“CODM”), organizes the Company, manages resource allocations, and measures performance on the basis of one operating segment. All of the Company’s long-lived assets are located in the United States and substantially all of the Company’s revenue is from customers located in the United States.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performance based on consolidated net income (loss). The CODM additionally considers forecasted information on a quarterly basis for net income (loss) when making decisions regarding capital and personnel needs. The CODM reviews information at the consolidated entity level, and does not distinguish the principal business, or group the operations, by geographic locations or industry types for purposes of measuring performance or allocating resources. While the Company creates products that are sold across retail channels and direct-to-consumer (“DTC”), all products are managed as one brand of products under one operating and reportable segment. Furthermore, the Company notes that monitoring financial results as one reportable segment helps the CODM manage expenses on a consolidated basis, consistent with the Company’s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does not regularly provide the CODM with more detailed segment expense information beyond what is included in the condensed consolidated statements of comprehensive income (loss). The significant expense categories which are used to manage operations are those reflected in the Company's condensed consolidated statements of comprehensive income (loss). Refer to the condensed consolidated statements of comprehensive income (loss) included in the consolidated financial statements included elsewhere in this Quarterly Report on Form 10-Q for more information.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materially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incremental borrowing rates associated with leases, valuation allowances with respect to deferred tax assets, accruals and contingencies, recoverability of non-cash marketing credits,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assessed certain accounting matters and estimates that generally require consideration of forecasted information in context with the information reasonably available to the Company as of June 30, 2025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Accounts Receivable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amortized cost. The Company considers factors in its allowance for credit losses such as historical analysis, credit quality of customers, the age of the accounts receivable balances and macroeconomic conditions that may have an impact on the Company's customers' ability to pay. The allowance for credit losses was $0.3 million and $0.4 million as of June 30, 2025 and December 31, 2024, respectively.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before="0" w:after="0"/>
        <w:ind w:left="0" w:right="0" w:hanging="81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erif" w:hAnsi="Times New Roman;serif"/>
          <w:b w:val="false"/>
          <w:color w:val="000000"/>
          <w:sz w:val="20"/>
        </w:rPr>
      </w:pPr>
      <w:r>
        <w:rPr>
          <w:rFonts w:ascii="Times New Roman;serif" w:hAnsi="Times New Roman;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erif" w:hAnsi="Times New Roman;serif"/>
          <w:b w:val="false"/>
          <w:color w:val="000000"/>
          <w:sz w:val="20"/>
        </w:rPr>
      </w:pPr>
      <w:r>
        <w:rPr>
          <w:rFonts w:ascii="Times New Roman;serif" w:hAnsi="Times New Roman;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of such assets is measured using Level 3 inputs in the fair value hierarchy.</w:t>
      </w:r>
    </w:p>
    <w:p>
      <w:pPr>
        <w:pStyle w:val="TextBody"/>
        <w:bidi w:val="0"/>
        <w:spacing w:lineRule="auto" w:line="268" w:before="0" w:after="0"/>
        <w:jc w:val="both"/>
        <w:rPr/>
      </w:pPr>
      <w:r>
        <w:rPr>
          <w:rFonts w:ascii="Times New Roman;serif" w:hAnsi="Times New Roman;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Recently Issued Accounting Pronouncements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Income Taxes: Improvements to Income Tax Disclosures</w:t>
      </w:r>
      <w:r>
        <w:rPr>
          <w:rFonts w:ascii="Times New Roman;serif" w:hAnsi="Times New Roman;serif"/>
          <w:b w:val="false"/>
          <w:color w:val="000000"/>
          <w:sz w:val="20"/>
        </w:rPr>
        <w:t xml:space="preserve">. This guidance requires consistent categories and greater disaggregation of information in the rate reconciliation and disclosures of income taxes paid by jurisdiction. For public business entities, the amendments in this update are effective for annual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beginning after December 15, 2024. The adoption of ASU No. 2023-09 is not expected to have a material impact on the Company’s consolidated financial statements or disclosures.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This update is to improve the disclosures of components of certain income statement expense items. For public business entities, the amendments in this update are effective for annual periods beginning after December 15, 2026, and interim periods beginning after December 15, 2027, with early adoption permitted. The Company is currently evaluating the impact that ASU No. 2024-03 will have on its consolidated financial statements or related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333333"/>
          <w:sz w:val="20"/>
        </w:rPr>
      </w:pPr>
      <w:r>
        <w:rPr>
          <w:rFonts w:ascii="Times New Roman;serif" w:hAnsi="Times New Roman;serif"/>
          <w:b/>
          <w:color w:val="333333"/>
          <w:sz w:val="20"/>
        </w:rPr>
        <w:t xml:space="preserve">3.Revenue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Retail and Third-Party Ecommerce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Direct-to-Consumer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direct sales to the consumer through the Company’s website, Honest.com,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and payments are typically processed within two to three business days.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 Revenue generated from Honest.com was 11% and 13%, respectively, of the Company's total revenue during the three months ended June 30, 2025 and 2024, and 11% and 14%, respectively, of the Company's total revenue during the six months ended June 30, 2025 and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2024.</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Non-Monetary Transactions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six months ended June 30, 2025, the Company did not enter into any new trade agreements.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and 2024, the Company did not recognize any revenue or associated cost of revenue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marketing expense in the condensed consolidated statements of comprehensive income (loss) as they become determinable. For the six months ended June 30, 2025 and 2024, the Company recorded no impairment losses related to these credits and used an aggregate of $0.3 million and $1.5 million of credits, respectively.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Fair Value Measurements </w:t>
      </w:r>
    </w:p>
    <w:p>
      <w:pPr>
        <w:pStyle w:val="TextBody"/>
        <w:bidi w:val="0"/>
        <w:spacing w:before="0" w:after="0"/>
        <w:ind w:left="0" w:right="0" w:firstLine="72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assets measured and recorded at fair value on a recurring basis consist of the following as of:</w:t>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before="0" w:after="0"/>
        <w:jc w:val="left"/>
        <w:rPr/>
      </w:pPr>
      <w:r>
        <w:rPr/>
      </w:r>
    </w:p>
    <w:tbl>
      <w:tblPr>
        <w:tblW w:w="6526" w:type="dxa"/>
        <w:jc w:val="left"/>
        <w:tblInd w:w="0" w:type="dxa"/>
        <w:tblLayout w:type="fixed"/>
        <w:tblCellMar>
          <w:top w:w="28" w:type="dxa"/>
          <w:left w:w="28" w:type="dxa"/>
          <w:bottom w:w="28" w:type="dxa"/>
          <w:right w:w="28" w:type="dxa"/>
        </w:tblCellMar>
      </w:tblPr>
      <w:tblGrid>
        <w:gridCol w:w="706"/>
        <w:gridCol w:w="621"/>
        <w:gridCol w:w="623"/>
        <w:gridCol w:w="211"/>
        <w:gridCol w:w="721"/>
        <w:gridCol w:w="109"/>
        <w:gridCol w:w="109"/>
        <w:gridCol w:w="109"/>
        <w:gridCol w:w="109"/>
        <w:gridCol w:w="213"/>
        <w:gridCol w:w="411"/>
        <w:gridCol w:w="110"/>
        <w:gridCol w:w="109"/>
        <w:gridCol w:w="109"/>
        <w:gridCol w:w="109"/>
        <w:gridCol w:w="213"/>
        <w:gridCol w:w="411"/>
        <w:gridCol w:w="110"/>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55,280 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amounts for the Company’s cash equivalents, accounts receivable, accounts payable, and accrued expenses approximate fair value due to their short maturities.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5.     Credit Facilities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income (loss). For the three and six months ended June 30, 2025 and 2024, the commitment fee incurred was immaterial. As of June 30, 2025, there were $1.6 million of outstanding letters of credit and $31.3 million available to be drawn upon. As of June 30, 2025, there was no outstanding balance under the 2023 Credit Facility.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June 30, 2025, the Company is in compliance with all covenants under the 2023 Credit Facility.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5" w:before="0" w:after="0"/>
        <w:jc w:val="both"/>
        <w:rPr>
          <w:rFonts w:ascii="Times New Roman;serif" w:hAnsi="Times New Roman;serif"/>
          <w:b/>
          <w:color w:val="000000"/>
          <w:sz w:val="20"/>
        </w:rPr>
      </w:pPr>
      <w:r>
        <w:rPr>
          <w:rFonts w:ascii="Times New Roman;serif" w:hAnsi="Times New Roman;serif"/>
          <w:b/>
          <w:color w:val="000000"/>
          <w:sz w:val="20"/>
        </w:rPr>
        <w:t xml:space="preserve">6.     Accrued Expenses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consisted of the following:</w:t>
      </w:r>
    </w:p>
    <w:tbl>
      <w:tblPr>
        <w:tblW w:w="6595" w:type="dxa"/>
        <w:jc w:val="left"/>
        <w:tblInd w:w="0" w:type="dxa"/>
        <w:tblLayout w:type="fixed"/>
        <w:tblCellMar>
          <w:top w:w="28" w:type="dxa"/>
          <w:left w:w="28" w:type="dxa"/>
          <w:bottom w:w="28" w:type="dxa"/>
          <w:right w:w="28" w:type="dxa"/>
        </w:tblCellMar>
      </w:tblPr>
      <w:tblGrid>
        <w:gridCol w:w="1167"/>
        <w:gridCol w:w="1027"/>
        <w:gridCol w:w="1030"/>
        <w:gridCol w:w="258"/>
        <w:gridCol w:w="883"/>
        <w:gridCol w:w="133"/>
        <w:gridCol w:w="109"/>
        <w:gridCol w:w="109"/>
        <w:gridCol w:w="109"/>
        <w:gridCol w:w="344"/>
        <w:gridCol w:w="1175"/>
        <w:gridCol w:w="25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Payroll and payroll related expenses</w:t>
            </w:r>
            <w:r>
              <w:rPr>
                <w:rFonts w:ascii="Times New Roman;serif" w:hAnsi="Times New Roman;serif"/>
                <w:b w:val="false"/>
                <w:color w:val="000000"/>
                <w:sz w:val="13"/>
              </w:rPr>
              <w:t>(1)</w:t>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inventory purchases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10,886 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returns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Accrued rent</w:t>
            </w:r>
            <w:r>
              <w:rPr>
                <w:rFonts w:ascii="Times New Roman;serif" w:hAnsi="Times New Roman;serif"/>
                <w:b w:val="false"/>
                <w:color w:val="000000"/>
                <w:sz w:val="13"/>
              </w:rPr>
              <w:t>(2)</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31,092 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35,869 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12"/>
        </w:rPr>
      </w:pPr>
      <w:r>
        <w:rPr>
          <w:rFonts w:ascii="Times New Roman;serif" w:hAnsi="Times New Roman;serif"/>
          <w:b w:val="false"/>
          <w:color w:val="000000"/>
          <w:sz w:val="12"/>
        </w:rPr>
        <w:t xml:space="preserve">(1) Includes $0.5 million and $0.3 million of executive transition related expenses as of June 30, 2025 and December 31, 2024, respectively. </w:t>
      </w:r>
    </w:p>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 Represents short-term operating lease liabilities. Refer to Note 11, "Leases" included in these consolidated financial statements for more information on leases.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r>
        <w:rPr>
          <w:rFonts w:ascii="Times New Roman;serif" w:hAnsi="Times New Roman;serif"/>
          <w:b/>
          <w:color w:val="000000"/>
          <w:sz w:val="20"/>
        </w:rPr>
        <w:t>7.    Commitments and Contingencies</w:t>
      </w:r>
      <w:r>
        <w:rPr>
          <w:color w:val="000000"/>
        </w:rPr>
        <w:t xml:space="preserve">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Litigation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On April 30, 2024, the Company filed its motion for summary judgment. On January 23, 2025, the Court granted the Company's motion for summary judgment. On April 8, 2025, CAPA served its Notice of Appeal in the matter. The Company intends to vigorously defend itself in this matter. The matter’s outcome and materiality are uncertain at this time. Therefore, the Company cannot estimate the probability of loss or make an estimate of the loss or range of loss in this matter.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initial public offering (“IPO”) (“Securities Litigation Case”).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amended consolidated complaint with respect to the claims against them. On January 31, 2024, that motion to dismiss was granted by the court to the extent those additional defendants challenged the claims as untimely. The court granted Lead Plaintiff leave to amend within fourteen days of that order. On February 14, 2024, the Lead Plaintiff filed a second amended consolidated complaint against the additional defendants. The additional defendants filed a motion to dismiss the second amended consolidated complaint, which was denied by the court on April 22, 2024. On January 21, 2025, the parties filed a joint stipulation stating that they had reached an agreement in principle to fully settle all pending claims in the action and asking the court to stay the case so the parties could have additional time to negotiate the terms of a formal stipulation of settlement and related documentation. The court entered an order staying the case on the same day. On April 14, 2025, the court preliminarily approved the parties’ settlement. Under the terms of the settlement, in exchange for the release and dismissal with prejudice of all claims against the defendants in the second amended consolidated complaint, we have agreed to pay $20,000,000 to resolve the dispute, to be fully funded by the Company’s insurance carriers. The Company has recorded the settlement amount of $20,000,000 within accrued expenses and a corresponding insurance recovery of $20,000,000 within prepaids and other current assets related to the legal settlement on the consolidated balance sheet as of March 31, 2025. The determination that the recorded insurance recovery receivable is probable of collection is based on the terms of the applicable insurance policies, settlement agreement, and communications with the insurers. The proposed settlement does not constitute an admission of fault or wrongdoing by the Company, the named individual defendants, or the underwriters. On July 28, 2025, the court held a hearing on the plaintiffs' motion for final approval of the class settlement. On July 30, 2025, the court entered a final order and judgement disposing of the case.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similar allegations. Each of these federal and state court derivative cases have been stayed. These matters are in the preliminary stages of litigation with uncertain outcomes at this time. Therefore, the Company cannot estimate the probability of loss or make an estimate of the loss or range of loss in these matters.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and December 31, 2024,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Indemnifications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June 30, 2025 and December 31, 2024,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option activity:</w:t>
      </w:r>
    </w:p>
    <w:p>
      <w:pPr>
        <w:pStyle w:val="TextBody"/>
        <w:bidi w:val="0"/>
        <w:spacing w:before="0" w:after="0"/>
        <w:jc w:val="left"/>
        <w:rPr/>
      </w:pPr>
      <w:r>
        <w:rPr/>
      </w:r>
    </w:p>
    <w:tbl>
      <w:tblPr>
        <w:tblW w:w="8065" w:type="dxa"/>
        <w:jc w:val="left"/>
        <w:tblInd w:w="0" w:type="dxa"/>
        <w:tblLayout w:type="fixed"/>
        <w:tblCellMar>
          <w:top w:w="28" w:type="dxa"/>
          <w:left w:w="28" w:type="dxa"/>
          <w:bottom w:w="28" w:type="dxa"/>
          <w:right w:w="28" w:type="dxa"/>
        </w:tblCellMar>
      </w:tblPr>
      <w:tblGrid>
        <w:gridCol w:w="1097"/>
        <w:gridCol w:w="964"/>
        <w:gridCol w:w="969"/>
        <w:gridCol w:w="569"/>
        <w:gridCol w:w="569"/>
        <w:gridCol w:w="571"/>
        <w:gridCol w:w="109"/>
        <w:gridCol w:w="109"/>
        <w:gridCol w:w="109"/>
        <w:gridCol w:w="721"/>
        <w:gridCol w:w="1748"/>
        <w:gridCol w:w="530"/>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December 31, 2024</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4,985,886 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(1,351,750)</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Outstanding at June 30, 2025</w:t>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3,559,136 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Equity Incentive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2025, 4,356,092 additional shares were reserved for issuance pursuant to this provision. The maximum number of shares of the Company’s common stock that may be issued on the exercise of ISOs under its 2021 Plan is 75,100,000 shares. </w:t>
      </w:r>
    </w:p>
    <w:p>
      <w:pPr>
        <w:pStyle w:val="TextBody"/>
        <w:bidi w:val="0"/>
        <w:spacing w:before="0" w:after="0"/>
        <w:ind w:left="0" w:right="0" w:firstLine="720"/>
        <w:jc w:val="left"/>
        <w:rPr/>
      </w:pPr>
      <w:r>
        <w:rPr/>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2023 Inducement Plan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2023, the Company's Compensation Committee adopted the 2023 Inducement Plan (the “2023 Inducement Plan”). The 2023 Inducement Plan reserved 4,000,000 shares of the Company’s common stock for issuance under the 2023 Inducement Plan to individuals who satisfy the standards for inducement grants under the relevant Nasdaq Stock Market rules. As of June 30, 2025, there were 625,349 shares available for future grant under the 2023 Inducement Plan.</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16, 2025, the Company granted 115,122 RSUs to the Senior Vice President of Supply Chain under the 2023 Inducement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activity under the 2021 Equity Incentive Plan and the 2023 Inducement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4"/>
        <w:gridCol w:w="627"/>
        <w:gridCol w:w="630"/>
        <w:gridCol w:w="553"/>
        <w:gridCol w:w="553"/>
        <w:gridCol w:w="554"/>
        <w:gridCol w:w="134"/>
        <w:gridCol w:w="134"/>
        <w:gridCol w:w="134"/>
        <w:gridCol w:w="775"/>
        <w:gridCol w:w="580"/>
        <w:gridCol w:w="582"/>
        <w:gridCol w:w="109"/>
        <w:gridCol w:w="109"/>
        <w:gridCol w:w="109"/>
        <w:gridCol w:w="503"/>
        <w:gridCol w:w="985"/>
        <w:gridCol w:w="172"/>
        <w:gridCol w:w="156"/>
        <w:gridCol w:w="156"/>
        <w:gridCol w:w="156"/>
        <w:gridCol w:w="527"/>
        <w:gridCol w:w="956"/>
        <w:gridCol w:w="297"/>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Non-Employee Directors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Directors, Officers and Employees</w:t>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December 31, 2024</w:t>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726,573 </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6,956,604 </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39,061 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2,287,532 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(520,287)</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(1,827,064)</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(799,396)</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Unvested RSUs at June 30, 2025</w:t>
            </w:r>
          </w:p>
        </w:tc>
        <w:tc>
          <w:tcPr>
            <w:tcW w:w="11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245,347 </w:t>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6,617,676 </w:t>
            </w:r>
          </w:p>
        </w:tc>
        <w:tc>
          <w:tcPr>
            <w:tcW w:w="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there was $22.8 million of unrecognized stock-based compensation expense related to unvested RSUs, which is expected to be recognized over a weighted-average period of 1.4 years.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2021 Employee Stock Purchase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2021, the Company’s board of directors adopted the Company’s 2021 Employee Stock Purchase Plan (the “2021 ESPP”). The Company initially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2025, 1,089,023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and six months ended June 30, 2025, 18,189 shares were purchased under the 2021 ESPP. As of June 30, 2025, the Company had 4,687,742 remaining authorized shares available for purchase.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key input assumptions used in the Black-Scholes option-pricing model to estimate the grant-date fair value of the 2021 ESPP:</w:t>
      </w:r>
    </w:p>
    <w:p>
      <w:pPr>
        <w:pStyle w:val="TextBody"/>
        <w:bidi w:val="0"/>
        <w:spacing w:before="0" w:after="0"/>
        <w:jc w:val="left"/>
        <w:rPr/>
      </w:pPr>
      <w:r>
        <w:rPr/>
      </w:r>
    </w:p>
    <w:tbl>
      <w:tblPr>
        <w:tblW w:w="8335" w:type="dxa"/>
        <w:jc w:val="left"/>
        <w:tblInd w:w="0" w:type="dxa"/>
        <w:tblLayout w:type="fixed"/>
        <w:tblCellMar>
          <w:top w:w="28" w:type="dxa"/>
          <w:left w:w="28" w:type="dxa"/>
          <w:bottom w:w="28" w:type="dxa"/>
          <w:right w:w="28" w:type="dxa"/>
        </w:tblCellMar>
      </w:tblPr>
      <w:tblGrid>
        <w:gridCol w:w="1478"/>
        <w:gridCol w:w="1299"/>
        <w:gridCol w:w="1303"/>
        <w:gridCol w:w="451"/>
        <w:gridCol w:w="451"/>
        <w:gridCol w:w="451"/>
        <w:gridCol w:w="451"/>
        <w:gridCol w:w="451"/>
        <w:gridCol w:w="451"/>
        <w:gridCol w:w="451"/>
        <w:gridCol w:w="451"/>
        <w:gridCol w:w="647"/>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color w:val="000000"/>
                <w:sz w:val="20"/>
              </w:rPr>
              <w:t>For the three months ended June 30, 2025</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of options (in years)</w:t>
            </w:r>
          </w:p>
        </w:tc>
        <w:tc>
          <w:tcPr>
            <w:tcW w:w="42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0.50</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stock price volatility</w:t>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63.1%</w:t>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5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70.18%</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4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4.32%</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4255"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grant-date fair value per share </w:t>
            </w:r>
          </w:p>
        </w:tc>
        <w:tc>
          <w:tcPr>
            <w:tcW w:w="42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$1.81</w:t>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240"/>
        <w:jc w:val="both"/>
        <w:rPr>
          <w:rFonts w:ascii="Times New Roman;serif" w:hAnsi="Times New Roman;serif"/>
          <w:b/>
          <w:color w:val="000000"/>
          <w:sz w:val="20"/>
        </w:rPr>
      </w:pPr>
      <w:r>
        <w:rPr>
          <w:rFonts w:ascii="Times New Roman;serif" w:hAnsi="Times New Roman;serif"/>
          <w:b/>
          <w:color w:val="000000"/>
          <w:sz w:val="20"/>
        </w:rPr>
        <w:t>Stock-Based Compensation Expense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RSU awards under the 2021 Equity Incentive Plan and the 2023 Inducement Plan, 2021 ESPP purchases and stock options, as applicable, are as follows:</w:t>
      </w:r>
    </w:p>
    <w:p>
      <w:pPr>
        <w:pStyle w:val="TextBody"/>
        <w:bidi w:val="0"/>
        <w:spacing w:before="0" w:after="0"/>
        <w:jc w:val="left"/>
        <w:rPr/>
      </w:pPr>
      <w:r>
        <w:rPr/>
      </w:r>
    </w:p>
    <w:tbl>
      <w:tblPr>
        <w:tblW w:w="9921" w:type="dxa"/>
        <w:jc w:val="left"/>
        <w:tblInd w:w="0" w:type="dxa"/>
        <w:tblLayout w:type="fixed"/>
        <w:tblCellMar>
          <w:top w:w="28" w:type="dxa"/>
          <w:left w:w="28" w:type="dxa"/>
          <w:bottom w:w="28" w:type="dxa"/>
          <w:right w:w="28" w:type="dxa"/>
        </w:tblCellMar>
      </w:tblPr>
      <w:tblGrid>
        <w:gridCol w:w="1248"/>
        <w:gridCol w:w="1098"/>
        <w:gridCol w:w="1103"/>
        <w:gridCol w:w="302"/>
        <w:gridCol w:w="882"/>
        <w:gridCol w:w="156"/>
        <w:gridCol w:w="156"/>
        <w:gridCol w:w="156"/>
        <w:gridCol w:w="156"/>
        <w:gridCol w:w="302"/>
        <w:gridCol w:w="882"/>
        <w:gridCol w:w="156"/>
        <w:gridCol w:w="109"/>
        <w:gridCol w:w="109"/>
        <w:gridCol w:w="109"/>
        <w:gridCol w:w="269"/>
        <w:gridCol w:w="786"/>
        <w:gridCol w:w="139"/>
        <w:gridCol w:w="139"/>
        <w:gridCol w:w="139"/>
        <w:gridCol w:w="139"/>
        <w:gridCol w:w="269"/>
        <w:gridCol w:w="921"/>
        <w:gridCol w:w="196"/>
      </w:tblGrid>
      <w:tr>
        <w:trPr/>
        <w:tc>
          <w:tcPr>
            <w:tcW w:w="124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9.     Net Income (Loss) per Share Attributable to Common Stockholders</w:t>
      </w:r>
    </w:p>
    <w:p>
      <w:pPr>
        <w:pStyle w:val="TextBody"/>
        <w:bidi w:val="0"/>
        <w:spacing w:before="0" w:after="0"/>
        <w:ind w:left="0" w:right="0" w:hanging="470"/>
        <w:jc w:val="left"/>
        <w:rPr/>
      </w:pPr>
      <w:r>
        <w:rPr/>
      </w:r>
    </w:p>
    <w:p>
      <w:pPr>
        <w:pStyle w:val="TextBody"/>
        <w:bidi w:val="0"/>
        <w:spacing w:lineRule="auto" w:line="26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if any.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income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439"/>
        <w:gridCol w:w="1184"/>
        <w:gridCol w:w="1192"/>
        <w:gridCol w:w="302"/>
        <w:gridCol w:w="884"/>
        <w:gridCol w:w="134"/>
        <w:gridCol w:w="134"/>
        <w:gridCol w:w="134"/>
        <w:gridCol w:w="134"/>
        <w:gridCol w:w="292"/>
        <w:gridCol w:w="892"/>
        <w:gridCol w:w="134"/>
        <w:gridCol w:w="109"/>
        <w:gridCol w:w="109"/>
        <w:gridCol w:w="109"/>
        <w:gridCol w:w="302"/>
        <w:gridCol w:w="884"/>
        <w:gridCol w:w="128"/>
        <w:gridCol w:w="128"/>
        <w:gridCol w:w="128"/>
        <w:gridCol w:w="128"/>
        <w:gridCol w:w="273"/>
        <w:gridCol w:w="861"/>
        <w:gridCol w:w="191"/>
      </w:tblGrid>
      <w:tr>
        <w:trPr/>
        <w:tc>
          <w:tcPr>
            <w:tcW w:w="143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for share and per share values)</w:t>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 basic</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 diluted</w:t>
            </w:r>
          </w:p>
        </w:tc>
        <w:tc>
          <w:tcPr>
            <w:tcW w:w="30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3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2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w:t>
            </w:r>
          </w:p>
        </w:tc>
        <w:tc>
          <w:tcPr>
            <w:tcW w:w="19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shares of common stock outstanding — basic </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110,991,363 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99,078,930 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110,275,931 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97,676,049 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RSUs</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3,050,409 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3,888,732 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stock options</w:t>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145,757 </w:t>
            </w:r>
          </w:p>
        </w:tc>
        <w:tc>
          <w:tcPr>
            <w:tcW w:w="1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 - diluted</w:t>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114,041,772 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99,078,930 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114,310,420 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97,676,049 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shareholders:</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0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3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13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2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9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potentially dilutive shares were excluded from the computation of diluted net income (loss) per share because including them would have been antidilutive: </w:t>
      </w:r>
    </w:p>
    <w:tbl>
      <w:tblPr>
        <w:tblW w:w="10205" w:type="dxa"/>
        <w:jc w:val="left"/>
        <w:tblInd w:w="0" w:type="dxa"/>
        <w:tblLayout w:type="fixed"/>
        <w:tblCellMar>
          <w:top w:w="28" w:type="dxa"/>
          <w:left w:w="28" w:type="dxa"/>
          <w:bottom w:w="28" w:type="dxa"/>
          <w:right w:w="28" w:type="dxa"/>
        </w:tblCellMar>
      </w:tblPr>
      <w:tblGrid>
        <w:gridCol w:w="1014"/>
        <w:gridCol w:w="868"/>
        <w:gridCol w:w="871"/>
        <w:gridCol w:w="720"/>
        <w:gridCol w:w="323"/>
        <w:gridCol w:w="283"/>
        <w:gridCol w:w="283"/>
        <w:gridCol w:w="283"/>
        <w:gridCol w:w="283"/>
        <w:gridCol w:w="798"/>
        <w:gridCol w:w="331"/>
        <w:gridCol w:w="283"/>
        <w:gridCol w:w="109"/>
        <w:gridCol w:w="109"/>
        <w:gridCol w:w="109"/>
        <w:gridCol w:w="720"/>
        <w:gridCol w:w="300"/>
        <w:gridCol w:w="259"/>
        <w:gridCol w:w="259"/>
        <w:gridCol w:w="259"/>
        <w:gridCol w:w="259"/>
        <w:gridCol w:w="798"/>
        <w:gridCol w:w="308"/>
        <w:gridCol w:w="376"/>
      </w:tblGrid>
      <w:tr>
        <w:trPr/>
        <w:tc>
          <w:tcPr>
            <w:tcW w:w="101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53"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c>
          <w:tcPr>
            <w:tcW w:w="849"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to purchase common stock</w:t>
            </w:r>
          </w:p>
        </w:tc>
        <w:tc>
          <w:tcPr>
            <w:tcW w:w="10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3,683,015 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13,131,408 </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1,867,008 </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13,131,408 </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restricted stock units</w:t>
            </w:r>
          </w:p>
        </w:tc>
        <w:tc>
          <w:tcPr>
            <w:tcW w:w="10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472,924 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8,921,046 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391,643 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8,921,046 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10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23,555 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44,245 </w:t>
            </w:r>
          </w:p>
        </w:tc>
        <w:tc>
          <w:tcPr>
            <w:tcW w:w="2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22,154 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44,245 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4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4,179,494 </w:t>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22,096,699 </w:t>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2,280,805 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22,096,699 </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determining quarterly provisions for income taxes, the Company uses the annual estimated effective tax rate applied to the actual year-to-date loss, adjusted for discrete items arising in that quarter. The Company’s annual estimated effective tax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differs from the U.S. federal statutory rate of 21% primarily as a result of a valuation allowance against net deferred tax assets, stock-based compensation, state taxes, nondeductible executive compensation and other permanent differences.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 However, given the Company's recent profitability, the Company believes that there is a reasonable possibility that, in the near term, sufficient positive evidence may become available that supports the release of a portion of the Company's valuation allowance, which would result in the recognition of certain U.S. deferred tax assets and a decrease to income tax expense for the period in which the release is recorded. The exact timing and amount of the valuation allowance release if any would be subject to change based on the level of profitability that the Company can achieve.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the Company has not recorded any uncertain tax positions and has not recognized interest or penalties in the condensed consolidated statements of comprehensive income (loss).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2025 budget reconciliation bill, officially known as the One Big Beautiful Bill Act of 2025 (the “Act”) was enacted into law. The Act includes a broad range of tax reforms. The Company is still in the process of evaluating the impact of the Act to its consolidated financial statements and an estimate of the impact cannot be made at this time.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11.    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three years.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 (in thousands):</w:t>
      </w:r>
    </w:p>
    <w:tbl>
      <w:tblPr>
        <w:tblW w:w="8719" w:type="dxa"/>
        <w:jc w:val="left"/>
        <w:tblInd w:w="0" w:type="dxa"/>
        <w:tblLayout w:type="fixed"/>
        <w:tblCellMar>
          <w:top w:w="28" w:type="dxa"/>
          <w:left w:w="28" w:type="dxa"/>
          <w:bottom w:w="28" w:type="dxa"/>
          <w:right w:w="28" w:type="dxa"/>
        </w:tblCellMar>
      </w:tblPr>
      <w:tblGrid>
        <w:gridCol w:w="815"/>
        <w:gridCol w:w="714"/>
        <w:gridCol w:w="720"/>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expense:</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lease expense</w:t>
            </w:r>
            <w:r>
              <w:rPr>
                <w:rFonts w:ascii="Times New Roman;serif" w:hAnsi="Times New Roman;serif"/>
                <w:b w:val="false"/>
                <w:color w:val="000000"/>
                <w:sz w:val="13"/>
              </w:rPr>
              <w:t>(1)</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 net</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2,589 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w:t>
      </w:r>
    </w:p>
    <w:p>
      <w:pPr>
        <w:pStyle w:val="TextBody"/>
        <w:bidi w:val="0"/>
        <w:spacing w:before="1" w:after="1"/>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13"/>
        </w:rPr>
      </w:pPr>
      <w:r>
        <w:rPr>
          <w:rFonts w:ascii="Times New Roman;serif" w:hAnsi="Times New Roman;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nature of the Right-Of-Use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income (loss).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amount of lease assets and lease liabilities included in the Company’s condensed consolidated balance sheets (in thousands):</w:t>
      </w:r>
    </w:p>
    <w:p>
      <w:pPr>
        <w:pStyle w:val="TextBody"/>
        <w:bidi w:val="0"/>
        <w:spacing w:before="0" w:after="0"/>
        <w:ind w:left="0" w:right="0" w:firstLine="720"/>
        <w:jc w:val="left"/>
        <w:rPr/>
      </w:pPr>
      <w:r>
        <w:rPr/>
      </w:r>
    </w:p>
    <w:tbl>
      <w:tblPr>
        <w:tblW w:w="8183" w:type="dxa"/>
        <w:jc w:val="left"/>
        <w:tblInd w:w="0" w:type="dxa"/>
        <w:tblLayout w:type="fixed"/>
        <w:tblCellMar>
          <w:top w:w="28" w:type="dxa"/>
          <w:left w:w="28" w:type="dxa"/>
          <w:bottom w:w="28" w:type="dxa"/>
          <w:right w:w="28" w:type="dxa"/>
        </w:tblCellMar>
      </w:tblPr>
      <w:tblGrid>
        <w:gridCol w:w="796"/>
        <w:gridCol w:w="701"/>
        <w:gridCol w:w="708"/>
        <w:gridCol w:w="109"/>
        <w:gridCol w:w="109"/>
        <w:gridCol w:w="109"/>
        <w:gridCol w:w="1333"/>
        <w:gridCol w:w="1333"/>
        <w:gridCol w:w="1338"/>
        <w:gridCol w:w="109"/>
        <w:gridCol w:w="109"/>
        <w:gridCol w:w="109"/>
        <w:gridCol w:w="256"/>
        <w:gridCol w:w="877"/>
        <w:gridCol w:w="187"/>
      </w:tblGrid>
      <w:tr>
        <w:trPr/>
        <w:tc>
          <w:tcPr>
            <w:tcW w:w="7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2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13,946 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8,742 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17,507 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Supplemental information related to the Company’s leases for the six months ended June 30, 2025 was as follows:</w:t>
      </w:r>
    </w:p>
    <w:p>
      <w:pPr>
        <w:pStyle w:val="TextBody"/>
        <w:bidi w:val="0"/>
        <w:spacing w:before="0" w:after="0"/>
        <w:ind w:left="0" w:right="0" w:firstLine="720"/>
        <w:jc w:val="left"/>
        <w:rPr/>
      </w:pPr>
      <w:r>
        <w:rPr/>
      </w:r>
    </w:p>
    <w:tbl>
      <w:tblPr>
        <w:tblW w:w="8358" w:type="dxa"/>
        <w:jc w:val="left"/>
        <w:tblInd w:w="0" w:type="dxa"/>
        <w:tblLayout w:type="fixed"/>
        <w:tblCellMar>
          <w:top w:w="28" w:type="dxa"/>
          <w:left w:w="28" w:type="dxa"/>
          <w:bottom w:w="28" w:type="dxa"/>
          <w:right w:w="28" w:type="dxa"/>
        </w:tblCellMar>
      </w:tblPr>
      <w:tblGrid>
        <w:gridCol w:w="2614"/>
        <w:gridCol w:w="2296"/>
        <w:gridCol w:w="2305"/>
        <w:gridCol w:w="211"/>
        <w:gridCol w:w="616"/>
        <w:gridCol w:w="316"/>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 (in years)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 (in thousands)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Operating cash flows used in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Financing cash flows used in finance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have any non-cash ROU assets obtained in exchange for lease liabilities during the six months ended June 30, 2025 for either finance or operating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28, 2025, the court held a hearing on the plaintiffs' motion for final approval of the class settlement for the Securities Litigation Case. On July 30, 2025, the court entered a final order and judgement disposing of the Securities Litigation Case. Refer to Note 7, "Commitments and Contingencies" included in these consolidated financial statements for more information regarding the Securities Litigation Case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2024 (the “Annual Report”), filed with the Securities and Exchange Commission (“SEC”) on February 26, 2025.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bidi w:val="0"/>
        <w:spacing w:before="0" w:after="0"/>
        <w:jc w:val="left"/>
        <w:rPr/>
      </w:pPr>
      <w:r>
        <w:rPr/>
      </w:r>
    </w:p>
    <w:p>
      <w:pPr>
        <w:pStyle w:val="TextBody"/>
        <w:bidi w:val="0"/>
        <w:spacing w:lineRule="auto" w:line="268" w:before="1" w:after="1"/>
        <w:jc w:val="left"/>
        <w:rPr/>
      </w:pPr>
      <w:r>
        <w:rPr>
          <w:color w:val="000000"/>
        </w:rPr>
        <w:t> </w:t>
      </w:r>
      <w:r>
        <w:rPr>
          <w:rFonts w:ascii="Times New Roman;serif" w:hAnsi="Times New Roman;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Honest Company, Inc. (“Honest” and, together with its consolidated subsidiaries, the “Company,” “we,” “us” and “our”) is a personal care company dedicated to creating cleanly-formulated and sustainably-designed products spanning categories across diapers, wipes, baby personal care, beauty, apparel, household care and wellness. Launched in 2012, the Company is on a mission to challenge ingredients, ideals, and industries through the power of the Honest brand, the Honest team, and the Honest Standard. Our commitment to our core values, continual innovation and engaging our community has differentiated and elevated our brand and our products. We have cultivated deep trust around what matters most to our consumers: their health, their families and their homes. We seek to meet consumers wherever they want to shop, balancing deep consumer connection with broad convenience and availability. Our distribution strategy positions us for continued growth through our trusted brand and award-winning multi-category product offerings. </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integrated multi-category product portfolio is intentionally designed to serve our consumers every day, at every age and through every life stage. We believe this drives loyalty, increases our consumer wallet share and generates attractive consumer lifetime value.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consumers are modern, aspirational and style-forward and that they seek out high quality, effective and thoughtfully-designed products. We believe that they are very choiceful about the products that they purchase and use. And, we believe they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engages them with digital content. Our direct connection with our community enables us to understand what consumers’ needs are and inspires our product innovation pipeline, generating a significant competitive advantage over more traditional consumer packaged goods (“CPG”) peers.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omnichannel presence seeks to meet consumers wherever they want to shop, balancing deep consumer connection with broad convenience and availability. Since our launch, we have built a well-integrated omnichannel presence by expanding our product availability, including the launch of strategic partnerships with Target, Amazon and Walmart in 2014, 2017 and 2022, respectively. We expect beyond 2025, we will transition away from Honest.com as a shipping and fulfillment channel, while maintaining Honest.com as a resource for educating consumers, showcasing our complete product portfolio, and driving consumers to purchase through our leading retailers and their websites, and third-party ecommerce sites. Our integrated omnichannel presence provides meaningful benefits to our consumers which we believe are not easily replicated by our competitors.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Transformation Initiative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The restructuring element of the Transformation Initiative was substantially completed by December 31,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expects to continue driving benefits from its three Transformation Pillars of Brand Maximization, Margin Enhancement, and Operating Discipline:</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Brand Maximization</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Leveraging the strength of the Honest brand to drive growth through greater availability, expanded household penetration, product innovation, margin-accretive products, and marketing effectiveness.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Pricing strategy as a driver of revenue is also a component of Brand Maximization. This includes the ongoing benefit of pricing increases across the majority of our product portfolio in 2022 and 2023.</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2) Margin Enhancement</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Focusing our resources on North America, which included the exit of our low-margin business in Europe and Asia.</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Exiting low-margin elements of the cleaning and sanitization business in 2023.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Executing an inventory, or stock-keeping unit (“SKU”), rationalization program in 2023.</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Re-directing resources to accelerate cost savings, including optimization of our contract manufacturing strategies, reduced shipping and logistic costs, and product costs.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Realigning resources to reflect the prioritization of higher-margin opportunities, including strategic shift away from our lower margin channels, including our direct-to-consumer (“DTC”) business.</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3) Operating Discipline</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Focusing on improving our executional excellence in how we operate as an enterprise.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Managing working capital including the reduction of inventory.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Operational and Marketing Efficiency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grow our business, we intend to continue to improve our operational and marketing efficiency, which includes attracting new consumers, increasing community engagement and improving fulfillment and distribution operations. Our marketing model is inclusive of a best-in-class modern approach across paid, owned, and earned marketing channels.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proprietary consumer insights and best-in-class analytics to guide our omnichannel strategy and inform our marketing spend optimization. Our future success depends in part on our ability to effectively attract consumers on a cost-efficient basis and achieve efficiencies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our operations. In addition, we believe we have been able to achieve some operational and marketing efficiency as part of cost savings in connection with our Brand Maximization Transformation Pillar.</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Ability to Execute Increasing Physical Availability </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core of our growth strategy centers around increasing physical availability of our products through expanded stores, doors, aisles, shelves and facings. While we have made significant progress in our distribution gains, we are still under indexed compared to competition. Our partnerships with leading third-party retail platforms and national retailers have broadened our consumer reach, raised our brand awareness and enhanced our margins through operating leverage. With the higher costs of shipping and fulfillment activities related to our DTC business and other related costs, we will continue to shift our focus and investments towards more efficient and scalable distribution models with our current retail and digital customers. As we move forward beyond 2025, we will transition away from Honest.com as a shipping and fulfillment channel, while ensuring the site remains a resource for educating consumers, showcasing our complete product portfolio, and driving consumers to purchase offsite. We expect that our transition from Honest.com as a shipping and fulfillment channel will negatively impact revenue in 2026 and will enable improved gross margin in future years.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For example, we experienced distribution losses with two of our largest retail customers on certain diaper SKUs mainly related to these retailers' footprint changes for certain product categories overall and a shift to more exclusive non-gendered prints with one of these retailers, which has impacted our revenue in 2025 and we expect will negatively impact our diaper revenue in the future.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mix is a driver of our financial performance given our focus on accretive product launches and innovation to increase product margins. Even though our growth strategy aims to boost sales across products by increasing total distribution, we intend to prioritize growth in products with attractive margin characteristics, including wipes, and leverage our brand equity and consumer insights to extend into new products.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Ability to Grow Our Brand Awareness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brand is integral to the growth of our business and is essential to our ability to engage and stay connected with the growing clean products consumer market. In order to increase the share of wallet of our existing consumers and to attract new consumers, our brand has to maintain its trustworthiness and authenticity. Our ability to attract new consumers will depend on, among other things, the efficacy of our marketing efforts, our ability to successfully produce products that are free of defects, our ability to communicate the value of those products as cleanly-formulated, sustainably-designed and effective, and the offerings of our competitors. Beyond preserving the integrity of our brand, our performance will depend on our ability to augment our reach and increase the number of consumers aware of Honest and our product portfolio.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Continued Innovation</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development and innovation are core elements underpinning our growth strategy. Through our in-house research and development laboratories, we are able to access the latest advancements in clean ingredients. Based in Los Angeles, California, our research and development team, including experts in chemistry and toxicology, develop innovative cleanly-formulated products. At Honest, product innovation is top of mind.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and retaining consumers in the future. Our ability to successfully develop, market and sell new products will depend on a variety of factors, including our continued investment in innovation. We are also committed to bringing our Honest Standard to new products where we believe there is a need for a higher standard for clean personal care.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Overall Macro Trends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consumers’ increasing interest in cleanly-designed products and purpose-driven companies has contributed to higher demand for certain products, which we believe we are strategically positioned to benefit from. At the same time, changes in macro-level trends, including as a result of global pandemics, changing consumer attitudes or behavior or other macroeconomic conditions, such as inflation, tariffs or supply chain disruptions, have resulted and could in the future result in fluctuations in our operating results.</w:t>
      </w:r>
    </w:p>
    <w:p>
      <w:pPr>
        <w:pStyle w:val="TextBody"/>
        <w:bidi w:val="0"/>
        <w:spacing w:before="0" w:after="0"/>
        <w:jc w:val="left"/>
        <w:rPr/>
      </w:pPr>
      <w:r>
        <w:rPr/>
      </w:r>
    </w:p>
    <w:p>
      <w:pPr>
        <w:pStyle w:val="TextBody"/>
        <w:bidi w:val="0"/>
        <w:spacing w:before="1" w:after="1"/>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Business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Global economic and political uncertainty have increased due to the impact of continued inflationary pressures, adverse impact on confidence in financial markets and geopolitical events, including recently imposed tariffs on certain foreign goods and the possibility of expanding the tariffs to capture other types of goods. Additionally, the extent of the impact of macroeconomic trends on the Company’s operational and financial performance in the future will depend on future developments. Prolonged unfavorable economic conditions, including as a result of changing consumer attitudes or behaviors or other macroeconomic conditions, such as rising inflation and interest rates, tariffs, supply chain disruptions, trade disputes, foreign exchange volatility, financial market instability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Supply Chain Disruptions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has been and continues to be an adverse impact on global economic conditions, specifically inflationary pressures, which has adversely affected our supply chain in regards to cost of revenue. We have experienced and anticipate continued increases in product costs and labor costs due to inflationary pressures, which has in the past and could continue to hamper our ability to drive margin expansion. In addition, past and current tariffs have increased, and may continue to increase, the cost of raw materials, components and finished goods, which has adversely impacted our operational expenses, and may negatively impact our ability to source our finished goods and components. We have taken measures to bolster key aspects of our supply chain and mitigate the impact of tariffs, such as creating an agile supply chain, ensuring sufficient inventory to support our continued growth, minimizing lead times for raw materials, and implementing a robust cost-savings program, as part of our tariff mitigation strategy. If we are not successful in our attempts to bolster our supply chain and mitigate the impact of tariffs, our product and fulfillment costs may increase and our business, financial condition, results of operations and prospects could be adversely affected. Additionally, we have experienced purchase price increases from our third-party manufacturers in the past and could face escalation of purchase costs and cost of revenue in the future. In 2025, we have agreed to increased purchase costs from our diaper manufacturer and received requests to renegotiate purchase costs from other third-party manufacturers. As a result, we expect those increased purchase costs to negatively impact our cost of revenue in 2025.</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implemented price increases that took effect in 2022 and 2023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Consumer Preferences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in the power of our omnichannel distribution model. 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is reflected at net realizable value which includes a reserve for excess inventory. We estimate reserve requirements based on current and forecasted demand, including the ability to liquidate excess inventory and estimated liquidation value. Depending on future consumer behavior in relation to the macroeconomic environment or otherwise and related aging of inventory, among other factors, we have in the past and expect to incur in the future additional inventory write-downs, customer returns or incur donation expense or disposal costs as we reduce excess inventory. As part of our efforts to mitigate the impact of tariffs, we increased our inventory on hand during the first half of 2025 to potentially delay the impact of incremental tariffs during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termination of the Likeness Agreement with Jessica Alba, as part of Ms. Alba's departure from her Chief Creative Officer position, after April 4, 2025 we are prohibited from selling existing inventory that uses certain specified licensed intellectual property on its packaging, which resulted in inventory write-offs in the past.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Supplier Services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2022, we entered into a supplier services agreement with Butterblu, LLC (“Butterblu”) pursuant to which Butterblu provides certain design, manufacturing, sales and marketing services to us. As part of the supplier services agreement, we have agreed to purchase and own inventory for the term of the supplier service agreement, which is until December 31, 2026, unless terminated sooner. We continue to discuss with Butterblu our respective obligations under the supplier services agreement. Butterblu continues to operate and maintain our baby apparel offerings independently through the honestbabyclothing.com website under our supplier services agreement and its sales are reflected as revenue in our condensed consolidated statements of comprehensive income (loss). These discussions could result in termination of the supplier services agreement prior to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termination date, potential disputes over the terms of termination, and costs to us related to the inventory we agreed to purchase and own for the term of the agreement. In addition, any loss of the relationship with Butterblu may negatively impact sales of our baby apparel, which will adversely affect our results of operations.</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the sale of our products through our leading retailers and their websites, third-party ecommerce sites and Honest.com. Our revenue is recognized net of allowances for returns, discounts, credits and any taxes collected from consumers. </w:t>
      </w:r>
    </w:p>
    <w:p>
      <w:pPr>
        <w:pStyle w:val="TextBody"/>
        <w:bidi w:val="0"/>
        <w:spacing w:before="0" w:after="0"/>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Gross Profit and Gross Margin </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 </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selling, general and administrative, marketing and research and development expenses.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overhead and tariffs; facility costs, including insurance, utilities and rent relating to our headquarters; third-party service fees related to our supplier services agreement for Honest baby clothing, our baby apparel business; and, depreciation and amortization expenses. We expect our general and administrative expenses to decrease as a percentage of revenue as we continue to grow our business and organizational capabilities and efficiencies. We have incurred and expect in the future to continue to incur additional third-party professional fees related to compliance obligations as a public company.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consumer insights research,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best-selling products with key retailers, as well as expand brand awareness, introduce new product innovation across multiple product categories and implement new marketing strategies. As we launch new products, we expect to make marketing investments to build brand awareness, drive trial and set the foundation for future revenue growth.</w:t>
      </w:r>
    </w:p>
    <w:p>
      <w:pPr>
        <w:pStyle w:val="TextBody"/>
        <w:bidi w:val="0"/>
        <w:spacing w:before="0" w:after="0"/>
        <w:ind w:left="0" w:right="0" w:firstLine="27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erif" w:hAnsi="Times New Roman;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development expenses to increase in absolute dollars as we invest in the enhancement of our product offerings through innovation and the introduction of new adjacent product categories.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 xml:space="preserve">Interest and Other Income (Expense), Net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consists primarily of interest income earned on our short-term investments and our cash and cash equivalents balances. Interest expense includes fees incurred under our 2023 Credit Facility, including commitment fees and debt issuance costs.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 </w:t>
      </w:r>
    </w:p>
    <w:p>
      <w:pPr>
        <w:pStyle w:val="TextBody"/>
        <w:bidi w:val="0"/>
        <w:spacing w:before="1" w:after="1"/>
        <w:jc w:val="left"/>
        <w:rPr/>
      </w:pPr>
      <w:r>
        <w:rPr/>
      </w:r>
    </w:p>
    <w:p>
      <w:pPr>
        <w:pStyle w:val="TextBody"/>
        <w:bidi w:val="0"/>
        <w:spacing w:lineRule="auto" w:line="268" w:before="0" w:after="0"/>
        <w:ind w:left="0" w:right="0" w:hanging="450"/>
        <w:jc w:val="left"/>
        <w:rPr>
          <w:rFonts w:ascii="Times New Roman;serif" w:hAnsi="Times New Roman;serif"/>
          <w:b/>
          <w:i/>
          <w:color w:val="000000"/>
          <w:sz w:val="20"/>
        </w:rPr>
      </w:pPr>
      <w:r>
        <w:rPr>
          <w:rFonts w:ascii="Times New Roman;serif" w:hAnsi="Times New Roman;serif"/>
          <w:b/>
          <w:i/>
          <w:color w:val="000000"/>
          <w:sz w:val="20"/>
        </w:rPr>
        <w:t xml:space="preserve">Income Tax Provision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our condensed consolidated statements of comprehensive income (loss) data for each of the periods indicated: </w:t>
      </w:r>
    </w:p>
    <w:tbl>
      <w:tblPr>
        <w:tblW w:w="10205" w:type="dxa"/>
        <w:jc w:val="left"/>
        <w:tblInd w:w="0" w:type="dxa"/>
        <w:tblLayout w:type="fixed"/>
        <w:tblCellMar>
          <w:top w:w="28" w:type="dxa"/>
          <w:left w:w="28" w:type="dxa"/>
          <w:bottom w:w="28" w:type="dxa"/>
          <w:right w:w="28" w:type="dxa"/>
        </w:tblCellMar>
      </w:tblPr>
      <w:tblGrid>
        <w:gridCol w:w="1384"/>
        <w:gridCol w:w="1208"/>
        <w:gridCol w:w="1208"/>
        <w:gridCol w:w="271"/>
        <w:gridCol w:w="929"/>
        <w:gridCol w:w="140"/>
        <w:gridCol w:w="140"/>
        <w:gridCol w:w="140"/>
        <w:gridCol w:w="140"/>
        <w:gridCol w:w="271"/>
        <w:gridCol w:w="929"/>
        <w:gridCol w:w="140"/>
        <w:gridCol w:w="109"/>
        <w:gridCol w:w="109"/>
        <w:gridCol w:w="109"/>
        <w:gridCol w:w="235"/>
        <w:gridCol w:w="923"/>
        <w:gridCol w:w="121"/>
        <w:gridCol w:w="121"/>
        <w:gridCol w:w="121"/>
        <w:gridCol w:w="121"/>
        <w:gridCol w:w="235"/>
        <w:gridCol w:w="923"/>
        <w:gridCol w:w="178"/>
      </w:tblGrid>
      <w:tr>
        <w:trPr/>
        <w:tc>
          <w:tcPr>
            <w:tcW w:w="1384"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190,709 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179,266 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55,707 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57,437 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37,752 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35,612 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75,422 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67,494 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Selling, general and administrative</w:t>
            </w:r>
            <w:r>
              <w:rPr>
                <w:rFonts w:ascii="Times New Roman;serif" w:hAnsi="Times New Roman;serif"/>
                <w:b w:val="false"/>
                <w:color w:val="000000"/>
                <w:sz w:val="13"/>
              </w:rPr>
              <w:t>(1)</w:t>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48,850 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39,657 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70,027 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72,853 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2,888 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(4,045)</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(5,359)</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(4,064)</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(5,441)</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erif" w:hAnsi="Times New Roman;serif"/>
          <w:b w:val="false"/>
          <w:color w:val="000000"/>
          <w:sz w:val="13"/>
        </w:rPr>
      </w:pPr>
      <w:r>
        <w:rPr>
          <w:rFonts w:ascii="Times New Roman;serif" w:hAnsi="Times New Roman;serif"/>
          <w:b w:val="false"/>
          <w:color w:val="000000"/>
          <w:sz w:val="13"/>
        </w:rPr>
        <w:t>__________________________</w:t>
      </w:r>
    </w:p>
    <w:p>
      <w:pPr>
        <w:pStyle w:val="TextBody"/>
        <w:bidi w:val="0"/>
        <w:spacing w:lineRule="auto" w:line="268" w:before="1" w:after="1"/>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Includes stock-based compensation expense as follows: </w:t>
      </w:r>
    </w:p>
    <w:tbl>
      <w:tblPr>
        <w:tblW w:w="9472" w:type="dxa"/>
        <w:jc w:val="left"/>
        <w:tblInd w:w="0" w:type="dxa"/>
        <w:tblLayout w:type="fixed"/>
        <w:tblCellMar>
          <w:top w:w="28" w:type="dxa"/>
          <w:left w:w="28" w:type="dxa"/>
          <w:bottom w:w="28" w:type="dxa"/>
          <w:right w:w="28" w:type="dxa"/>
        </w:tblCellMar>
      </w:tblPr>
      <w:tblGrid>
        <w:gridCol w:w="1085"/>
        <w:gridCol w:w="955"/>
        <w:gridCol w:w="960"/>
        <w:gridCol w:w="302"/>
        <w:gridCol w:w="882"/>
        <w:gridCol w:w="156"/>
        <w:gridCol w:w="156"/>
        <w:gridCol w:w="156"/>
        <w:gridCol w:w="156"/>
        <w:gridCol w:w="302"/>
        <w:gridCol w:w="882"/>
        <w:gridCol w:w="156"/>
        <w:gridCol w:w="109"/>
        <w:gridCol w:w="109"/>
        <w:gridCol w:w="109"/>
        <w:gridCol w:w="269"/>
        <w:gridCol w:w="786"/>
        <w:gridCol w:w="139"/>
        <w:gridCol w:w="139"/>
        <w:gridCol w:w="139"/>
        <w:gridCol w:w="139"/>
        <w:gridCol w:w="269"/>
        <w:gridCol w:w="921"/>
        <w:gridCol w:w="196"/>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11,153 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condensed consolidated statements of comprehensive income (loss) data expressed as a percentage of revenue*:</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1354"/>
        <w:gridCol w:w="1178"/>
        <w:gridCol w:w="1172"/>
        <w:gridCol w:w="350"/>
        <w:gridCol w:w="327"/>
        <w:gridCol w:w="327"/>
        <w:gridCol w:w="327"/>
        <w:gridCol w:w="327"/>
        <w:gridCol w:w="327"/>
        <w:gridCol w:w="350"/>
        <w:gridCol w:w="327"/>
        <w:gridCol w:w="327"/>
        <w:gridCol w:w="109"/>
        <w:gridCol w:w="109"/>
        <w:gridCol w:w="109"/>
        <w:gridCol w:w="328"/>
        <w:gridCol w:w="309"/>
        <w:gridCol w:w="307"/>
        <w:gridCol w:w="307"/>
        <w:gridCol w:w="307"/>
        <w:gridCol w:w="307"/>
        <w:gridCol w:w="328"/>
        <w:gridCol w:w="309"/>
        <w:gridCol w:w="307"/>
        <w:gridCol w:w="109"/>
        <w:gridCol w:w="109"/>
        <w:gridCol w:w="158"/>
      </w:tblGrid>
      <w:tr>
        <w:trPr/>
        <w:tc>
          <w:tcPr>
            <w:tcW w:w="135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a percentage of revenue)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0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before="1" w:after="1"/>
        <w:jc w:val="left"/>
        <w:rPr/>
      </w:pPr>
      <w:r>
        <w:rPr/>
      </w:r>
    </w:p>
    <w:p>
      <w:pPr>
        <w:pStyle w:val="TextBody"/>
        <w:bidi w:val="0"/>
        <w:spacing w:lineRule="auto" w:line="268" w:before="0" w:after="0"/>
        <w:jc w:val="left"/>
        <w:rPr/>
      </w:pPr>
      <w:r>
        <w:rPr>
          <w:rFonts w:ascii="Times New Roman;serif" w:hAnsi="Times New Roman;serif"/>
          <w:b w:val="false"/>
          <w:color w:val="231F20"/>
          <w:sz w:val="13"/>
        </w:rPr>
        <w:t>*</w:t>
      </w:r>
      <w:r>
        <w:rPr>
          <w:color w:val="231F20"/>
        </w:rPr>
        <w:t xml:space="preserve"> </w:t>
      </w:r>
      <w:r>
        <w:rPr>
          <w:rFonts w:ascii="Times New Roman;serif" w:hAnsi="Times New Roman;serif"/>
          <w:b w:val="false"/>
          <w:color w:val="231F20"/>
          <w:sz w:val="13"/>
        </w:rPr>
        <w:t>Amounts</w:t>
      </w:r>
      <w:r>
        <w:rPr>
          <w:color w:val="231F20"/>
        </w:rPr>
        <w:t xml:space="preserve"> </w:t>
      </w:r>
      <w:r>
        <w:rPr>
          <w:rFonts w:ascii="Times New Roman;serif" w:hAnsi="Times New Roman;serif"/>
          <w:b w:val="false"/>
          <w:color w:val="231F20"/>
          <w:sz w:val="13"/>
        </w:rPr>
        <w:t>may</w:t>
      </w:r>
      <w:r>
        <w:rPr>
          <w:color w:val="231F20"/>
        </w:rPr>
        <w:t xml:space="preserve"> </w:t>
      </w:r>
      <w:r>
        <w:rPr>
          <w:rFonts w:ascii="Times New Roman;serif" w:hAnsi="Times New Roman;serif"/>
          <w:b w:val="false"/>
          <w:color w:val="231F20"/>
          <w:sz w:val="13"/>
        </w:rPr>
        <w:t>not sum</w:t>
      </w:r>
      <w:r>
        <w:rPr>
          <w:color w:val="231F20"/>
        </w:rPr>
        <w:t xml:space="preserve"> </w:t>
      </w:r>
      <w:r>
        <w:rPr>
          <w:rFonts w:ascii="Times New Roman;serif" w:hAnsi="Times New Roman;serif"/>
          <w:b w:val="false"/>
          <w:color w:val="231F20"/>
          <w:sz w:val="13"/>
        </w:rPr>
        <w:t>due to rounding.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Comparison of the Three and Six Months Ended June 30, 2025 and 2024</w:t>
      </w:r>
    </w:p>
    <w:p>
      <w:pPr>
        <w:pStyle w:val="TextBody"/>
        <w:bidi w:val="0"/>
        <w:spacing w:lineRule="auto" w:line="26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w:t>
      </w:r>
    </w:p>
    <w:tbl>
      <w:tblPr>
        <w:tblW w:w="11665" w:type="dxa"/>
        <w:jc w:val="left"/>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85"/>
        <w:gridCol w:w="285"/>
        <w:gridCol w:w="286"/>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190,709 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was $93.5 million for the three months ended June 30, 2025, as compared to $93.0 million for the three months ended June 30, 2024. The increase of $0.4 million, or 0.4%, was primarily due to an increase in retail revenue (including an $8.4 million increase in wipes revenue, partially offset by a decrease in diaper revenue and adult facial care revenue (including skin care and cosmetics) of $3.3 million and $2.5 million, respectively), offset by a decline in Honest.com revenue.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$190.7 million for the six months ended June 30, 2025, as compared to $179.3 million for the six months ended June 30, 2024. The increase of $11.4 million, or 6.4%, was primarily due to an increase in retail revenue (including an $18.1 million increase in wipes revenue, partially offset by a decrease in diaper revenue and adult facial care revenue (including skin care and cosmetics) of $1.7 million and $3.2 million, respectively), offset by a decline in Honest.com revenue. </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before="1" w:after="1"/>
        <w:jc w:val="left"/>
        <w:rPr/>
      </w:pPr>
      <w:r>
        <w:rPr/>
      </w:r>
    </w:p>
    <w:tbl>
      <w:tblPr>
        <w:tblW w:w="11580" w:type="dxa"/>
        <w:jc w:val="left"/>
        <w:tblInd w:w="0" w:type="dxa"/>
        <w:tblLayout w:type="fixed"/>
        <w:tblCellMar>
          <w:top w:w="28" w:type="dxa"/>
          <w:left w:w="28" w:type="dxa"/>
          <w:bottom w:w="28" w:type="dxa"/>
          <w:right w:w="28" w:type="dxa"/>
        </w:tblCellMar>
      </w:tblPr>
      <w:tblGrid>
        <w:gridCol w:w="277"/>
        <w:gridCol w:w="244"/>
        <w:gridCol w:w="245"/>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315"/>
        <w:gridCol w:w="315"/>
        <w:gridCol w:w="316"/>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was $55.7 million for the three months ended June 30, 2025, as compared to $57.4 million for the three months ended June 30, 2024. The decrease of $1.7 million, or 3.0%, was primarily driven by a change in inventory reserves, partially offset by tariff costs. Cost of revenue as a percentage of revenue decreased by 212 basis points compared to the three months ended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 of revenue was $115.3 million for the six months ended June 30, 2025, as compared to $111.8 million for the six months ended June 30, 2024. The increase of $3.5 million, or 3.1%, was primarily driven by sales volume growth and tariff costs, partially offset by a change in inventory reserves. Cost of revenue as a percentage of revenue decreased by 190 basis points compared to the six months ended June 30,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was $37.8 million for the three months ended June 30, 2025, as compared to $35.6 million for the three months ended June 30, 2024. The increase of $2.1 million, or 6.0%, was primarily related to a change in inventory reserves, partially offset by an increase in tariff costs.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was $75.4 million for the six months ended June 30, 2025, as compared to $67.5 million for the six months ended June 30, 2024. The increase of $7.9 million, or 11.7%, was primarily related to sales volume growth, supply chain cost savings and change in inventory reserves, partially offset by an increase in tariff costs.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tbl>
      <w:tblPr>
        <w:tblW w:w="11910"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$20.4 million for the three months ended June 30, 2025, as compared to $26.4 million for the three months ended June 30, 2024. The decrease of $6.1 million, or 23.0%, was primarily due to a $6.2 million decrease in stock-based compensation expense due to the acceleration of restricted stock units (“RSUs”) held by our founder and former Chief Creative Officer in the three months ended June 30, 2024 and a $1.2 million decrease in legal expenses, partially offset by a increase in donation expense. Selling, general and administrative expenses as a percentage of revenue decreased 6.6% as compared to the three months ended June 30, 2024.</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were $41.4 million for the six months ended June 30, 2025, as compared to $48.9 million for the six months ended June 30, 2024. The decrease of $7.5 million, or 15.3%, was primarily due to a $6.4 million decrease in stock-based compensation expense due to the acceleration of RSUs held by our founder and former Chief Creative Officer in the six months ended June 30, 2024 and a $1.5 million decrease in legal expenses, partially offset by a $0.9 million increase in general administrative expenses. Selling, general and administrative expenses as a percentage of revenue decreased 5.5% as compared to the six months ended June 30, 2024.</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Marketing Expenses </w:t>
      </w:r>
    </w:p>
    <w:p>
      <w:pPr>
        <w:pStyle w:val="TextBody"/>
        <w:bidi w:val="0"/>
        <w:spacing w:before="1" w:after="1"/>
        <w:jc w:val="left"/>
        <w:rPr/>
      </w:pPr>
      <w:r>
        <w:rPr/>
      </w:r>
    </w:p>
    <w:tbl>
      <w:tblPr>
        <w:tblW w:w="11565"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bookmarkStart w:id="1" w:name="i63c4def16981433e96eb4f0fee3a2bea_41778"/>
      <w:bookmarkEnd w:id="1"/>
      <w:r>
        <w:rPr>
          <w:rFonts w:ascii="Times New Roman;serif" w:hAnsi="Times New Roman;serif"/>
          <w:b w:val="false"/>
          <w:color w:val="000000"/>
          <w:sz w:val="20"/>
        </w:rPr>
        <w:t xml:space="preserve">Marketing expenses were $12.6 million for the three months ended June 30, 2025, as compared to $11.5 million for the three months ended June 30, 2024. The increase of $1.0 million, or 9.0%, was primarily due to a $1.6 million increase in retail marketing, partially offset by a decrease of $0.6 million in direct brand advertising. Marketing expenses as a percentage of revenue increased 1.1% as compared to the three months ended June 30, 2024.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Marketing expenses were $24.8 million for the six months ended June 30, 2025, as compared to $20.6 million for the six months ended June 30, 2024. The increase of $4.2 million, or 20.4%, was primarily due to a $3.1 million increase in retail marketing and a $1.0 million increase in direct brand advertising. Marketing expenses as a percentage of revenue increased 1.5% as compared to the six months ended June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before="1" w:after="1"/>
        <w:jc w:val="left"/>
        <w:rPr/>
      </w:pPr>
      <w:r>
        <w:rPr/>
      </w:r>
    </w:p>
    <w:tbl>
      <w:tblPr>
        <w:tblW w:w="11195"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29"/>
        <w:gridCol w:w="507"/>
        <w:gridCol w:w="120"/>
        <w:gridCol w:w="109"/>
        <w:gridCol w:w="109"/>
        <w:gridCol w:w="109"/>
        <w:gridCol w:w="315"/>
        <w:gridCol w:w="315"/>
        <w:gridCol w:w="316"/>
        <w:gridCol w:w="109"/>
        <w:gridCol w:w="109"/>
        <w:gridCol w:w="109"/>
        <w:gridCol w:w="211"/>
        <w:gridCol w:w="616"/>
        <w:gridCol w:w="109"/>
        <w:gridCol w:w="109"/>
        <w:gridCol w:w="109"/>
        <w:gridCol w:w="109"/>
        <w:gridCol w:w="211"/>
        <w:gridCol w:w="616"/>
        <w:gridCol w:w="109"/>
        <w:gridCol w:w="109"/>
        <w:gridCol w:w="109"/>
        <w:gridCol w:w="109"/>
        <w:gridCol w:w="229"/>
        <w:gridCol w:w="507"/>
        <w:gridCol w:w="120"/>
        <w:gridCol w:w="109"/>
        <w:gridCol w:w="109"/>
        <w:gridCol w:w="109"/>
        <w:gridCol w:w="315"/>
        <w:gridCol w:w="315"/>
        <w:gridCol w:w="316"/>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$2.0 million for the three months ended June 30, 2025, as compared to $1.7 million for the three months ended June 30, 2024. Research and development expenses as a percentage of revenue increased 26 basis points as compared to the three months ended June 30, 2024.</w:t>
      </w:r>
    </w:p>
    <w:p>
      <w:pPr>
        <w:pStyle w:val="TextBody"/>
        <w:bidi w:val="0"/>
        <w:spacing w:before="1" w:after="1"/>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$3.8 million for the six months ended June 30, 2025, as compared to $3.4 million for the six months ended June 30, 2024. Research and development expenses as a percentage of revenue increased 11 basis points as compared to the six months ended June 30, 2024.</w:t>
      </w:r>
    </w:p>
    <w:p>
      <w:pPr>
        <w:pStyle w:val="TextBody"/>
        <w:bidi w:val="0"/>
        <w:spacing w:before="1" w:after="1"/>
        <w:jc w:val="left"/>
        <w:rPr/>
      </w:pPr>
      <w:r>
        <w:rPr/>
      </w:r>
    </w:p>
    <w:p>
      <w:pPr>
        <w:pStyle w:val="TextBody"/>
        <w:bidi w:val="0"/>
        <w:spacing w:lineRule="auto" w:line="288" w:before="1" w:after="1"/>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and Other Income (Expense), Net</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825"/>
        <w:gridCol w:w="726"/>
        <w:gridCol w:w="729"/>
        <w:gridCol w:w="239"/>
        <w:gridCol w:w="701"/>
        <w:gridCol w:w="123"/>
        <w:gridCol w:w="123"/>
        <w:gridCol w:w="123"/>
        <w:gridCol w:w="123"/>
        <w:gridCol w:w="239"/>
        <w:gridCol w:w="470"/>
        <w:gridCol w:w="123"/>
        <w:gridCol w:w="109"/>
        <w:gridCol w:w="109"/>
        <w:gridCol w:w="109"/>
        <w:gridCol w:w="211"/>
        <w:gridCol w:w="616"/>
        <w:gridCol w:w="109"/>
        <w:gridCol w:w="109"/>
        <w:gridCol w:w="109"/>
        <w:gridCol w:w="109"/>
        <w:gridCol w:w="109"/>
        <w:gridCol w:w="109"/>
        <w:gridCol w:w="211"/>
        <w:gridCol w:w="616"/>
        <w:gridCol w:w="109"/>
        <w:gridCol w:w="109"/>
        <w:gridCol w:w="109"/>
        <w:gridCol w:w="109"/>
        <w:gridCol w:w="211"/>
        <w:gridCol w:w="409"/>
        <w:gridCol w:w="109"/>
        <w:gridCol w:w="109"/>
        <w:gridCol w:w="109"/>
        <w:gridCol w:w="109"/>
        <w:gridCol w:w="211"/>
        <w:gridCol w:w="616"/>
        <w:gridCol w:w="109"/>
        <w:gridCol w:w="109"/>
        <w:gridCol w:w="109"/>
        <w:gridCol w:w="109"/>
        <w:gridCol w:w="109"/>
        <w:gridCol w:w="162"/>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2"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44"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was net income of $1.0 million for the three months ended June 30, 2025, as compared to net expense of $19.0 thousand for the three months ended June 30, 2024. The increase of $1.0 million primarily relates to interest income earned on our money market account.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other income (expense), net was net income of $1.8 million for the six months ended June 30, 2025, as compared to net expense of $82.0 thousand for the six months ended June 30, 2024. The increase of $1.9 million primarily relates to interest income earned on our money market account. </w:t>
      </w:r>
    </w:p>
    <w:p>
      <w:pPr>
        <w:pStyle w:val="TextBody"/>
        <w:bidi w:val="0"/>
        <w:spacing w:before="1" w:after="1"/>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2025, we had $72.1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condensed consolidated financial statements. We will need to generate sufficient cash from operations or may need to raise additional capital to meet our long-term working capital and capital expenditure needs in the future. We also have availability under our 2023 Credit Facility, which was not drawn as of June 30, 2025.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income (loss). For the three and six months ended June 30, 2025, the commitment fee incurred was immaterial. As of June 30, 2025, there were $1.6 million of outstanding letters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credit and $31.3 million available to be drawn upon. As of June 30, 2025, there was no outstanding balance under the 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June 30, 2025, we are in compliance with all covenants under the 2023 Credit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5 “Credit Facilities” included in the condensed consolidated financial statements included elsewhere in this Quarterly Report on Form 10-Q for more information on the 2023 Credit Facility.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for the periods presented: </w:t>
      </w:r>
    </w:p>
    <w:tbl>
      <w:tblPr>
        <w:tblW w:w="7215" w:type="dxa"/>
        <w:jc w:val="left"/>
        <w:tblInd w:w="0" w:type="dxa"/>
        <w:tblLayout w:type="fixed"/>
        <w:tblCellMar>
          <w:top w:w="28" w:type="dxa"/>
          <w:left w:w="28" w:type="dxa"/>
          <w:bottom w:w="28" w:type="dxa"/>
          <w:right w:w="28" w:type="dxa"/>
        </w:tblCellMar>
      </w:tblPr>
      <w:tblGrid>
        <w:gridCol w:w="1526"/>
        <w:gridCol w:w="1343"/>
        <w:gridCol w:w="1346"/>
        <w:gridCol w:w="273"/>
        <w:gridCol w:w="894"/>
        <w:gridCol w:w="141"/>
        <w:gridCol w:w="141"/>
        <w:gridCol w:w="141"/>
        <w:gridCol w:w="141"/>
        <w:gridCol w:w="273"/>
        <w:gridCol w:w="797"/>
        <w:gridCol w:w="199"/>
      </w:tblGrid>
      <w:tr>
        <w:trPr/>
        <w:tc>
          <w:tcPr>
            <w:tcW w:w="152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w:t>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(3,683)</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3,281 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largest source of operating cash is from the sales of our products to our consumers and customers. Our primary uses of cash from operating activities are for cost of revenue, selling, general and administrative expenses, marketing expenses and research and development expenses. We have in the three and six months ended June 30, 2025 and in the past generated negative cash flows from operating activities and have in the past supplemented working capital requirements through net proceeds from the sale and maturity of short-term investments.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of $3.7 million for the six months ended June 30, 2025 was primarily due to a net decrease in cash related to changes in operating assets and liabilities of $22.9 million, partially offset by non-cash adjustments of $12.1 million and net income of $7.1 million. Non-cash adjustments for accounts receivable reserves, inventory reserves and utilization of marketing credits are included in "other" in the accompanying condensed consolidated statements of cash flows. Cash used in operating activities primarily consisted of a $11.4 million increase in inventory, a $6.5 million decrease in accounts payable and accrued expenses due to timing of payments, a $4.2 million use of cash due to operating lease obligations, and a $1.6 million increase in accounts receivable, partially offset by a $1.0 million decrease in prepaid expenses and other assets. Non-cash adjustments primarily consisted of stock-based compensation of $5.1 million, amortization of operating Right-of-Use (“ROU”) assets of $3.3 million, and depreciation and amortization of $1.5 million.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$3.3 million for the six months ended June 30, 2024 was primarily due to non-cash adjustments of $18.4 million, partially offset by a net loss of $5.5 million and a net decrease in cash related to changes in operating assets and liabilities of $9.7 million. Non-cash adjustments primarily consisted of stock-based compensation of $11.4 million, amortization of operating ROU assets of $3.2 million, utilization of marketing credits of $1.5 million and depreciation and amortization of $1.4 million. Cash used in operating activities primarily consisted of a $4.0 million use of cash due to operating lease obligations and a $3.6 million decrease in accounts payable and accrued expenses.</w:t>
      </w:r>
    </w:p>
    <w:p>
      <w:pPr>
        <w:pStyle w:val="TextBody"/>
        <w:bidi w:val="0"/>
        <w:spacing w:before="1" w:after="1"/>
        <w:jc w:val="left"/>
        <w:rPr/>
      </w:pPr>
      <w:r>
        <w:rPr/>
      </w:r>
    </w:p>
    <w:p>
      <w:pPr>
        <w:pStyle w:val="TextBody"/>
        <w:bidi w:val="0"/>
        <w:spacing w:lineRule="auto" w:line="288" w:before="1" w:after="1"/>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use of investing cash is property and equipment.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$0.1 million for the six months ended June 30, 2025 was due to purchases of property and equipment.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of $0.1 million for the six months ended June 30, 2024 was due to purchases of property and equipment.</w:t>
      </w:r>
    </w:p>
    <w:p>
      <w:pPr>
        <w:pStyle w:val="TextBody"/>
        <w:bidi w:val="0"/>
        <w:spacing w:before="1" w:after="1"/>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primarily consisted of proceeds from sales of securities, proceeds from stock option award exercises and principal payments of financing lease obligations. </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of $0.5 million for the six months ended June 30, 2025 consisted primarily of $0.4 million of proceeds from stock option award exercises.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of $0.6 million for the six months ended June 30, 2024 consisted primarily of $0.5 million of proceeds from stock option award exercises.</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prepare and present our condensed consolidated financial statements in accordance with GAAP. However, management believes that adjusted EBITDA, a non-GAAP financial measure, provides investors with additional useful information in evaluating our performance.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litigation and settlement fees associated with certain non-ordinary course securities litigation claims; and (6) executive officer transition expenses.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it does not include certain non-ordinary cash expenses that we do not believe are representative of our business on a steady-state basis, such as executive officer transition expenses.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revenue, net income (loss) and other results stated in accordance with GAAP.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 reconciliation of net income (loss), the most directly comparable financial measure stated in accordance with GAAP, to adjusted EBITDA, for each of the periods presented: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475"/>
        <w:gridCol w:w="1297"/>
        <w:gridCol w:w="1303"/>
        <w:gridCol w:w="273"/>
        <w:gridCol w:w="797"/>
        <w:gridCol w:w="141"/>
        <w:gridCol w:w="141"/>
        <w:gridCol w:w="141"/>
        <w:gridCol w:w="141"/>
        <w:gridCol w:w="273"/>
        <w:gridCol w:w="881"/>
        <w:gridCol w:w="141"/>
        <w:gridCol w:w="109"/>
        <w:gridCol w:w="109"/>
        <w:gridCol w:w="109"/>
        <w:gridCol w:w="247"/>
        <w:gridCol w:w="843"/>
        <w:gridCol w:w="127"/>
        <w:gridCol w:w="127"/>
        <w:gridCol w:w="127"/>
        <w:gridCol w:w="127"/>
        <w:gridCol w:w="247"/>
        <w:gridCol w:w="843"/>
        <w:gridCol w:w="186"/>
      </w:tblGrid>
      <w:tr>
        <w:trPr/>
        <w:tc>
          <w:tcPr>
            <w:tcW w:w="147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Reconciliation of Net Income (Loss) to Adjusted EBITDA</w:t>
            </w:r>
          </w:p>
        </w:tc>
        <w:tc>
          <w:tcPr>
            <w:tcW w:w="1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(4,077)</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7,123 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(5,479)</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litigation expense</w:t>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Executive officer transition expense</w:t>
            </w:r>
            <w:r>
              <w:rPr>
                <w:rFonts w:ascii="Times New Roman;serif" w:hAnsi="Times New Roman;serif"/>
                <w:b w:val="false"/>
                <w:color w:val="000000"/>
                <w:sz w:val="13"/>
              </w:rPr>
              <w:t>(1)</w:t>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 expense related to stock-based compensation</w:t>
            </w:r>
          </w:p>
        </w:tc>
        <w:tc>
          <w:tcPr>
            <w:tcW w:w="10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7,617 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7,595 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14,545 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10,239 </w:t>
            </w:r>
          </w:p>
        </w:tc>
        <w:tc>
          <w:tcPr>
            <w:tcW w:w="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__________________</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3"/>
        </w:rPr>
      </w:pPr>
      <w:r>
        <w:rPr>
          <w:rFonts w:ascii="Times New Roman;serif" w:hAnsi="Times New Roman;serif"/>
          <w:b w:val="false"/>
          <w:color w:val="000000"/>
          <w:sz w:val="13"/>
        </w:rPr>
        <w:t>(1) For the three and six months ended June 30, 2025, this includes separation, bonus and recruiting costs related to our Chief Financial Officer transition. For the three and six months ended June 30, 2024, this includes sign-on bonus and relocation costs related to the appointment of our Chief Executive Officer and separation costs related to the termination of our founder and former Chief Creative Officer.</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2025, there were no changes to our material cash requirements from those described under “Management's Discussion and Analysis of Financial Condition and Results of Operations” in our Annual Report.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six months ended June 30, 2025, there were no material changes to our critical accounting estimates from those discussed in our Annual Report.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to our condensed consolidated financial statements included elsewhere in this Quarterly Report on Form 10-Q for a discussion of recently issued accounting pronouncements.</w:t>
      </w:r>
    </w:p>
    <w:p>
      <w:pPr>
        <w:pStyle w:val="TextBody"/>
        <w:bidi w:val="0"/>
        <w:spacing w:before="0" w:after="0"/>
        <w:jc w:val="left"/>
        <w:rPr/>
      </w:pPr>
      <w:r>
        <w:rPr/>
      </w:r>
    </w:p>
    <w:p>
      <w:pPr>
        <w:pStyle w:val="TextBody"/>
        <w:bidi w:val="0"/>
        <w:spacing w:lineRule="auto" w:line="268" w:before="1" w:after="1"/>
        <w:jc w:val="left"/>
        <w:rPr>
          <w:rFonts w:ascii="Times New Roman;serif" w:hAnsi="Times New Roman;serif"/>
          <w:b/>
          <w:color w:val="000000"/>
          <w:sz w:val="20"/>
        </w:rPr>
      </w:pPr>
      <w:r>
        <w:rPr>
          <w:rFonts w:ascii="Times New Roman;serif" w:hAnsi="Times New Roman;serif"/>
          <w:b/>
          <w:color w:val="000000"/>
          <w:sz w:val="20"/>
        </w:rPr>
        <w:t xml:space="preserve">Emerging Growth Company Status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t>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SEC rules and regulations, as a smaller reporting company, we are not required to provide the information required by this item.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We maintain “disclosure controls a</w:t>
      </w:r>
      <w:r>
        <w:rPr>
          <w:rFonts w:ascii="Times New Roman;serif" w:hAnsi="Times New Roman;serif"/>
          <w:b w:val="false"/>
          <w:color w:val="000000"/>
          <w:sz w:val="20"/>
          <w:shd w:fill="FFFFFF" w:val="clear"/>
        </w:rPr>
        <w:t xml:space="preserve">nd procedures,” as defined in Rules 13a-15(e) and 15d-15(e) under the Securities Exchange Act of 1934, as amended, (the </w:t>
      </w:r>
      <w:r>
        <w:rPr>
          <w:color w:val="000000"/>
        </w:rPr>
        <w:t>“</w:t>
      </w:r>
      <w:r>
        <w:rPr>
          <w:rFonts w:ascii="Times New Roman;serif" w:hAnsi="Times New Roman;serif"/>
          <w:b w:val="false"/>
          <w:color w:val="000000"/>
          <w:sz w:val="20"/>
          <w:shd w:fill="FFFFFF" w:val="clear"/>
        </w:rPr>
        <w:t xml:space="preserve">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erif" w:hAnsi="Times New Roman;serif"/>
          <w:b w:val="false"/>
          <w:color w:val="000000"/>
          <w:sz w:val="20"/>
        </w:rPr>
        <w:t xml:space="preserve">Our management, with the participation of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evaluated, as of the period ended June 30, 2025,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change in the Company's internal control over financial reporting that occurred during the quarter ended June 30, 2025 that has materially affected, or is reasonably likely to materially affect, the Company's internal control over financial reporting.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erif" w:hAnsi="Times New Roman;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erif" w:hAnsi="Times New Roman;serif"/>
          <w:b w:val="false"/>
          <w:color w:val="000000"/>
          <w:sz w:val="20"/>
          <w:shd w:fill="FFFFFF" w:val="clear"/>
        </w:rPr>
        <w:t>principal executive officer and principal financial officer</w:t>
      </w:r>
      <w:r>
        <w:rPr>
          <w:rFonts w:ascii="Times New Roman;serif" w:hAnsi="Times New Roman;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under the heading “Litigation” in Note 7 to our condensed consolidated financial statements included in this Quarterly Report on Form 10-Q is incorporated by reference into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substantial risks. Some of the more significant risks include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quarterly operating results may fluctuate, which could cause our stock price to decline.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future success depends, in part, on our ability to achieve our long-term strategy.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International trade disputes and the U.S. government’s trade policy, including recently enacted tariffs and potential new tariffs, could adversely affect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Overall macroeconomic trends, including due to pandemics or disease outbreaks, have had and may continue to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may not be able to compete successfully in our highly competitive market.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strategic initiatives, including as part of the Transformation Initiative, to reduce our costs could have long-term adverse effects on our business, financial condition, results of operations and prospects, could result in total costs and expenses that are greater than expected, and we may not realize the operational or financial benefits from such actions.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ability to maintain our competitive position is largely dependent on the services of our senior management and other key personnel.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have a history of net losses and we may not be able to achieve or maintain profitability in the future.</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may be adversely affected if we are unable to provide our consumers with a technology platform that is able to respond and adapt to rapid changes in technology.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 disruption in our operations could have an adverse effect on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Increasing scrutiny and evolving expectations from stakeholders with respect to our ESG practices, performance, commitments and disclosures may impact our reputation, increase our costs and impact our access to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RISK FACTORS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 xml:space="preserve">included in our Annual Report.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231F20"/>
          <w:sz w:val="20"/>
        </w:rPr>
        <w:t xml:space="preserve">International trade disputes and the U.S. government’s trade policy, including </w:t>
      </w:r>
      <w:r>
        <w:rPr>
          <w:rFonts w:ascii="Times New Roman;serif" w:hAnsi="Times New Roman;serif"/>
          <w:b/>
          <w:i/>
          <w:color w:val="000000"/>
          <w:sz w:val="20"/>
        </w:rPr>
        <w:t>recently enacted tariffs and potential new tariffs</w:t>
      </w:r>
      <w:r>
        <w:rPr>
          <w:color w:val="231F20"/>
        </w:rPr>
        <w:t xml:space="preserve"> </w:t>
      </w:r>
      <w:r>
        <w:rPr>
          <w:rFonts w:ascii="Times New Roman;serif" w:hAnsi="Times New Roman;serif"/>
          <w:b/>
          <w:i/>
          <w:color w:val="231F20"/>
          <w:sz w:val="20"/>
        </w:rPr>
        <w:t>could adversely affect our business, financial condition, results of operations and prospects.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International trade disputes or changes in government priorities could result in tariffs and other protectionist measures that could adversely affect our business. Tariffs could increase the cost of our products and the components and raw materials that go into making them. These increased costs could adversely impact the gross margin that we earn on our products. Countries may also adopt other protectionist measures that could limit our ability to offer our products. The recent announcements of substantial new tariffs and other restrictive trade policies have created a dynamic and unpredictable trade landscape, which could adversely impact our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The U.S. government has adopted, and indicated its intent to continue to adopt, a new approach to trade policy, and in some cases to renegotiate, or potentially terminate, certain existing bilateral or multi-lateral trade agreements. It has also initiated tariffs on certain foreign goods and has raised the possibility of imposing significant, additional tariff increases or expanding the tariffs to capture other types of goods. Although the tariffs that have been initiated as of </w:t>
      </w:r>
      <w:r>
        <w:rPr>
          <w:rFonts w:ascii="Times New Roman;serif" w:hAnsi="Times New Roman;serif"/>
          <w:b w:val="false"/>
          <w:color w:val="000000"/>
          <w:sz w:val="20"/>
        </w:rPr>
        <w:t>June 30, 2025</w:t>
      </w:r>
      <w:r>
        <w:rPr>
          <w:color w:val="231F20"/>
        </w:rPr>
        <w:t xml:space="preserve"> </w:t>
      </w:r>
      <w:r>
        <w:rPr>
          <w:rFonts w:ascii="Times New Roman;serif" w:hAnsi="Times New Roman;serif"/>
          <w:b w:val="false"/>
          <w:color w:val="231F20"/>
          <w:sz w:val="20"/>
        </w:rPr>
        <w:t xml:space="preserve">have not had a material impact on our operating results, to the extent that significant additional tariffs are imposed including the new tariffs being imposed under the new presidential administration they could have a material impact on our operating results. In April 2025, the U.S. government announced a baseline tariff of 10% on products from all countries and an additional individualized reciprocal tariff on the countries with which the United States has the largest trade deficits, including an additional tariff of 145% on certain goods imported from China, and a 25% tariff on certain goods imported from Mexico and Canada. In May 2025, the U.S. government and China agreed to roll back the tariff rate of 145% on certain goods imported from China to 30% for a period of 90 days (the </w:t>
      </w:r>
      <w:r>
        <w:rPr>
          <w:color w:val="000000"/>
        </w:rPr>
        <w:t>“</w:t>
      </w:r>
      <w:r>
        <w:rPr>
          <w:rFonts w:ascii="Times New Roman;serif" w:hAnsi="Times New Roman;serif"/>
          <w:b w:val="false"/>
          <w:color w:val="000000"/>
          <w:sz w:val="20"/>
        </w:rPr>
        <w:t>May 2025 Agreement</w:t>
      </w:r>
      <w:r>
        <w:rPr>
          <w:color w:val="000000"/>
          <w:shd w:fill="FFFFFF" w:val="clear"/>
        </w:rPr>
        <w:t>”</w:t>
      </w:r>
      <w:r>
        <w:rPr>
          <w:rFonts w:ascii="Times New Roman;serif" w:hAnsi="Times New Roman;serif"/>
          <w:b w:val="false"/>
          <w:color w:val="000000"/>
          <w:sz w:val="20"/>
          <w:shd w:fill="FFFFFF" w:val="clear"/>
        </w:rPr>
        <w:t>)</w:t>
      </w:r>
      <w:r>
        <w:rPr>
          <w:rFonts w:ascii="Times New Roman;serif" w:hAnsi="Times New Roman;serif"/>
          <w:b w:val="false"/>
          <w:color w:val="231F20"/>
          <w:sz w:val="20"/>
        </w:rPr>
        <w:t xml:space="preserve">. Certain products, such as our baby wipes, are imported from China, our diapers are imported from Mexico and certain other components of our products are sourced from other countries and could be subject to the new tariffs. The imposition of tariffs, including the April 2025 tariffs, even when reduced by subsequent agreements, including the May 2025 Agreement, and certain tariffs in the past, have led costs on products from China to increase, including our wipes products and certain product components, and other new tariffs imposed by the United States </w:t>
      </w:r>
      <w:r>
        <w:rPr>
          <w:rFonts w:ascii="Times New Roman;serif" w:hAnsi="Times New Roman;serif"/>
          <w:b w:val="false"/>
          <w:color w:val="000000"/>
          <w:sz w:val="20"/>
        </w:rPr>
        <w:t xml:space="preserve">could cause costs to increase further, which could lead to price increases on these products, which may not be absorbed by consumers or may lead to decreased demand; or any such tariffs could require a shift in manufacturing location, which could have an adverse effect on results of operations and could introduce uncertainty, including on product quality, with a new manufacturer. Our manufacturers, suppliers and distribution channels are also affected by the current trade environment, and we may experience supply chain disruptions as a result of increased costs and uncertainty, 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on expected timelines or if any price increases are poorly received by our consumers. Any attempt to mitigate the adverse effects of these tariffs may not be successful.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cannot predict the extent to which the United States or other countries will impose quotas, duties, tariffs, taxes or other similar restrictions upon the import or export of our products in the future, nor can we predict future trade policy or the terms of any renegotiated trade agreements and their impact on our business. The adoption and expansion of trade restrictions, the occurrence of a trade war, or other governmental action related to tariffs or trade agreements or policies may exacerbate unfavorable macroeconomic conditions including inflationary pressures, foreign exchange volatility, financial market instability, and economic recessions or downturns, which may also adversely impact demand for our products, our costs, our consumers, our suppliers, and limit our access to capital, which in turn could have an adverse effect on our business, financial condition, results of operations and prospects. Ongoing tariff, trade restrictions and macroeconomic uncertainty also may contribute to volatility in the price of our common stock.</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 xml:space="preserve">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the section titled “Risk Factors” included in our Annual Report.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231F20"/>
          <w:sz w:val="20"/>
        </w:rPr>
      </w:pPr>
      <w:r>
        <w:rPr>
          <w:rFonts w:ascii="Times New Roman;serif" w:hAnsi="Times New Roman;serif"/>
          <w:b/>
          <w:i/>
          <w:color w:val="231F20"/>
          <w:sz w:val="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do not own or operate any manufacturing facilities. We use multiple third-party suppliers and manufacturers based primarily in the United States, China and Mexico and other countries to a lesser extent, to source, manufacture and partner with us for the innovation of all of our products, including product components, under our owned brand. We engage many of our third-party suppliers and manufacturers on a purchase order basis and in some cases are not party to long-term contracts with them. The ability and willingness of these third parties to supply, manufacture and to partner in innovation of our products may be affected by raw material availability and prices, competing orders placed by other companies and the demands of those companies. Our operating results have been negatively impacted by increases in the costs of manufacturing our products, and we have no guarantees that costs will not continue to rise. For example, some of our contracts with third-party manufacturers have clauses that trigger good faith renegotiation of purchase costs in the case of significant raw material cost escalation. In 2021, we were informed by two third-party manufacturers that those hurdles had been met. In addition, in 2022, we received requests from the same two third-party manufacturers to renegotiate purchase costs due to continued increases in raw material costs. As a result, we negotiated and agreed to higher purchase prices, which negatively impacted our cost of revenue in 2022 and 2023. In 2025, we have agreed to increased purchase costs from our diaper manufacturer and received requests to renegotiate purchase costs from other third-party manufacturers. As a result, we expect those increased purchase costs to negatively impact our cost of revenue in 2025. If we experience significant increases in demand, or need to replace a significant number of existing suppliers or manufacturers, there can be no assurance that additional supply and manufacturing capacity will be available when required on terms that are acceptable to us, or at all, or that any supplier or manufacturer will allocate sufficient capacity to us in order to meet our requirements. In addition, if we experience significant decreases in demand, our third-party manufacturers may increase product purchase costs. Furthermore, our reliance on suppliers and manufacturers outside of the United States, the number of third parties with whom we transact and the number of jurisdictions to which we sell complicates our efforts to comply with customs duties and excise taxes; any failure to comply could adversely affect our business.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231F20"/>
          <w:sz w:val="20"/>
        </w:rPr>
        <w:t xml:space="preserve">In addition, quality control problems, such as the use of materials and delivery of products that do not meet our quality control standards and specifications or comply with applicable laws or regulations, could harm our brand and business or cause consumer dissatisfaction. For example, as disinfecting and sanitization products faced supply chain challenges during the COVID-19 pandemic, decelerating market demand and aging and slower turning inventory, we had received some product quality complaints from customers and consumers that resulted in additional refunds, returns, write-offs and remediation costs. Remediation costs would be significant, including the cost to rework a product to be in sellable condition or the cost to destroy a product that cannot be remediated, and while immaterial as of </w:t>
      </w:r>
      <w:r>
        <w:rPr>
          <w:rFonts w:ascii="Times New Roman;serif" w:hAnsi="Times New Roman;serif"/>
          <w:b w:val="false"/>
          <w:color w:val="000000"/>
          <w:sz w:val="20"/>
        </w:rPr>
        <w:t>June 30, 2025</w:t>
      </w:r>
      <w:r>
        <w:rPr>
          <w:rFonts w:ascii="Times New Roman;serif" w:hAnsi="Times New Roman;serif"/>
          <w:b w:val="false"/>
          <w:color w:val="231F20"/>
          <w:sz w:val="20"/>
        </w:rPr>
        <w:t>, they could have an adverse effect on our business, financial condition and results of operations. Quality control problems could result in regulatory action, such as restrictions on importation, products of inferior quality or product stock outages or shortages, harming our sales and creating inventory write-downs for unusable products.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We have also outsourced portions of our fulfillment process, as well as certain technology-related functions, to third-party service providers. Specifically, we rely on third parties in a number of foreign countries and territories, we are dependent on third-party vendors for credit card processing, and we use third-party hosting and networking providers to host our sites. The failure of one or more of these entities to provide the expected services on a timely basis, or at all, or at the prices we expect, or the costs and disruption incurred in changing these outsourced functions to being performed under our management and direct control or that of a third party, could have an adverse effect on our business, financial condition, results of operations and prospects. We are not party to long-term contracts with some of our retail and ecommerce customers, and upon expiration of these existing agreements, we may not be able to renegotiate the terms on a commercially reasonable basis, or at 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31F20"/>
          <w:sz w:val="20"/>
        </w:rPr>
      </w:pPr>
      <w:r>
        <w:rPr>
          <w:rFonts w:ascii="Times New Roman;serif" w:hAnsi="Times New Roman;serif"/>
          <w:b w:val="false"/>
          <w:color w:val="231F20"/>
          <w:sz w:val="20"/>
        </w:rPr>
        <w:t>Further, our third-party manufacturers, suppliers and retail and ecommerce customers may:</w:t>
      </w:r>
    </w:p>
    <w:p>
      <w:pPr>
        <w:pStyle w:val="TextBody"/>
        <w:bidi w:val="0"/>
        <w:spacing w:before="0" w:after="0"/>
        <w:jc w:val="left"/>
        <w:rPr/>
      </w:pPr>
      <w:r>
        <w:rPr/>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have economic or business interests or goals that are inconsistent with ours;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take actions contrary to our instructions, requests, policies or objectives;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be unable or unwilling to fulfill their obligations under relevant purchase orders or manufacturing or supply agreements, including obligations to meet our production deadlines, quality standards, pricing guidelines and product specifications, and to comply with applicable regulations, including those regarding the safety and quality of products;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have financial difficulties;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raw material or labor shortages;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increases in raw material or labor costs which may affect our procurement costs;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encounter difficulties with proper payment of custom duties or excise taxes;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disclose our confidential information or intellectual property to competitors or third parties;</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engage in activities or employ practices that may harm our reputation; and</w:t>
      </w:r>
    </w:p>
    <w:p>
      <w:pPr>
        <w:pStyle w:val="TextBody"/>
        <w:bidi w:val="0"/>
        <w:spacing w:lineRule="auto" w:line="268" w:before="0" w:after="0"/>
        <w:ind w:left="0" w:right="0" w:hanging="360"/>
        <w:jc w:val="left"/>
        <w:rPr/>
      </w:pPr>
      <w:r>
        <w:rPr>
          <w:color w:val="231F20"/>
        </w:rPr>
        <w:t>•</w:t>
      </w:r>
      <w:r>
        <w:rPr>
          <w:rFonts w:ascii="Times New Roman;serif" w:hAnsi="Times New Roman;serif"/>
          <w:b w:val="false"/>
          <w:color w:val="231F20"/>
          <w:sz w:val="20"/>
        </w:rPr>
        <w:t>work with, be acquired by, or come under control of, our competitors.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231F20"/>
          <w:sz w:val="20"/>
        </w:rPr>
      </w:pPr>
      <w:r>
        <w:rPr>
          <w:rFonts w:ascii="Times New Roman;serif" w:hAnsi="Times New Roman;serif"/>
          <w:b/>
          <w:i/>
          <w:color w:val="231F20"/>
          <w:sz w:val="20"/>
        </w:rPr>
        <w:t>We may be unable to accurately forecast revenue, gross margin or operating expenses and appropriately plan our expenses in the future.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231F20"/>
          <w:sz w:val="20"/>
        </w:rPr>
      </w:pPr>
      <w:r>
        <w:rPr>
          <w:rFonts w:ascii="Times New Roman;serif" w:hAnsi="Times New Roman;serif"/>
          <w:b w:val="false"/>
          <w:color w:val="231F20"/>
          <w:sz w:val="20"/>
        </w:rPr>
        <w:t>Revenue and results of operations are difficult to forecast because they generally depend on the volume, timing and type of orders we receive across our various channels, all of which are uncertain. Forecasts have been and may continue to be particularly challenging in the current macroeconomic environment. We base our expense levels and investment plans on our estimates of revenue and gross margin. We cannot be sure prior growth rates and trends are meaningful predictors of future growth. For example, in the third quarter of 2022, some of our customers reduced inventory on hand and changed their fulfillment schedules, which negatively impacted our fulfillment operations in 2022. Furthermore, during 2024, we experienced distribution losses with two of our largest retail customers on certain diaper SKUs mainly related to these retailers' footprint changes for certain product categories overall and a shift to more exclusive non-gendered prints, which has impacted our revenue in 2025 for the first and second quarter and we expect will negatively impact our diaper revenue in the future. If our assumptions prove to be wrong, we may generate lower revenue or gross margin than anticipated or may spend more than we anticipate acquiring and retaining consumers either of which could have an adverse effect on our business, financial condition, results of operations and prospects.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 and Non-Rule 10b5-1 Trading Arrangements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contracts, instructions or written plans adopted or terminated during the quarter ended June 30, 2025 providing for the purchase and/or sale of the Company's securities by the Company’s directors and officers (as defined in Rule 16a-1(f) under the Exchange Act):</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334"/>
        <w:gridCol w:w="294"/>
        <w:gridCol w:w="297"/>
        <w:gridCol w:w="450"/>
        <w:gridCol w:w="450"/>
        <w:gridCol w:w="458"/>
        <w:gridCol w:w="220"/>
        <w:gridCol w:w="220"/>
        <w:gridCol w:w="221"/>
        <w:gridCol w:w="259"/>
        <w:gridCol w:w="259"/>
        <w:gridCol w:w="265"/>
        <w:gridCol w:w="350"/>
        <w:gridCol w:w="350"/>
        <w:gridCol w:w="350"/>
        <w:gridCol w:w="514"/>
        <w:gridCol w:w="433"/>
        <w:gridCol w:w="426"/>
        <w:gridCol w:w="868"/>
        <w:gridCol w:w="868"/>
        <w:gridCol w:w="871"/>
        <w:gridCol w:w="420"/>
        <w:gridCol w:w="420"/>
        <w:gridCol w:w="608"/>
      </w:tblGrid>
      <w:tr>
        <w:trPr/>
        <w:tc>
          <w:tcPr>
            <w:tcW w:w="33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Action</w:t>
            </w:r>
          </w:p>
        </w:tc>
        <w:tc>
          <w:tcPr>
            <w:tcW w:w="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Rule 10b5-1</w:t>
            </w:r>
            <w:r>
              <w:rPr>
                <w:rFonts w:ascii="Times New Roman;serif" w:hAnsi="Times New Roman;serif"/>
                <w:b/>
                <w:color w:val="000000"/>
                <w:sz w:val="13"/>
              </w:rPr>
              <w:t>(1)</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Non-Rule 10b5-1</w:t>
            </w:r>
            <w:r>
              <w:rPr>
                <w:rFonts w:ascii="Times New Roman;serif" w:hAnsi="Times New Roman;serif"/>
                <w:b/>
                <w:color w:val="000000"/>
                <w:sz w:val="13"/>
              </w:rPr>
              <w:t>(2)</w:t>
            </w:r>
          </w:p>
        </w:tc>
        <w:tc>
          <w:tcPr>
            <w:tcW w:w="2607"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Shares of Common Stock to be Sold</w:t>
            </w:r>
            <w:r>
              <w:rPr>
                <w:rFonts w:ascii="Times New Roman;serif" w:hAnsi="Times New Roman;serif"/>
                <w:b/>
                <w:color w:val="000000"/>
                <w:sz w:val="13"/>
              </w:rPr>
              <w:t>(3)</w:t>
            </w:r>
          </w:p>
        </w:tc>
        <w:tc>
          <w:tcPr>
            <w:tcW w:w="144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Expiration Date</w:t>
            </w:r>
            <w:r>
              <w:rPr>
                <w:rFonts w:ascii="Times New Roman;serif" w:hAnsi="Times New Roman;serif"/>
                <w:b/>
                <w:color w:val="000000"/>
                <w:sz w:val="13"/>
              </w:rPr>
              <w:t>(4)</w:t>
            </w:r>
          </w:p>
        </w:tc>
      </w:tr>
      <w:tr>
        <w:trPr/>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Kate Barton</w:t>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Growth Officer</w:t>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Adopt</w:t>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5/12/2025</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3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 to 55,671</w:t>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5/29/2026</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(1) Contract, instruction or written plan intended to satisfy the affirmative defense conditions of Rule10b5-1(c) under the Exchange Act.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(2) Non-Rule Rule 10b5-1 trading arrangement as defined in Item 408(c) of Regulation S-K under the Exchange Act.</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(3) The total shares to be sold cannot be determined at the date of this Quarterly Report as the planned sale amount for such officer is equal to a designated percentage of the net number of shares after a portion of the shares have been sold to cover withholding taxes from RSU vesting. The amount listed for such officer reflects the maximum number of shares available to be sold, which is the net number of shares after taxes, multiplied by the designated percentages set forth in such officer's respective 10b5-1 trading plan.</w:t>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(4) Each Plan terminates on the earlier of: (i) the expiration date listed in the table above; (ii) the first date on which all trades set forth in the Plan have been executed; or (iii) such date the Plan is otherwise terminated according to its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Etienne von Kunssberg, our SVP, Supply Chain entered into a sell-to-cover arrangement adopted pursuant to Rule 10b5-1 on June 16, 2025. The sell-to-cover arrangements adopted pursuant to Rule 10b5-1 authorized the pre-arranged sale of shares to satisfy tax withholding obligations of the Company arising exclusively from the vesting of time-vesting or performance-vesting restricted stock units and the related issuance of shares of Common Stock. The amount of shares of Common Stock to be sold to satisfy the Company’s tax withholding obligations under this arrangement is dependent on future events which cannot be known at this time, including the future trading price of Company shares. The expiration date relating to the arrangement is dependent on future events which cannot be known at this time, including the final vest date of the applicable time-vesting or performance-vesting restricted stock units and the officer’s termination of service.</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87"/>
        <w:gridCol w:w="339"/>
        <w:gridCol w:w="341"/>
        <w:gridCol w:w="109"/>
        <w:gridCol w:w="109"/>
        <w:gridCol w:w="109"/>
        <w:gridCol w:w="2705"/>
        <w:gridCol w:w="2520"/>
        <w:gridCol w:w="3586"/>
      </w:tblGrid>
      <w:tr>
        <w:trPr/>
        <w:tc>
          <w:tcPr>
            <w:tcW w:w="38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106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Articles of Incorporation, as currently in effect (incorporated herein by reference to Exhibit 3.1 to the Company’s Current Report on Form 8-K (File No. 001-40378), filed with the SEC on May 11, 2021).</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as currently in effect (incorporated herein by reference to Exhibit 3.1 to the Company’s Current Report on Form 8-K (File No. 001-40378), filed with the SEC on March 12, 2025).</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Employment Agreement, dated April 17, 2025, by and between the Company and Curtiss Bruce (incorporated herein by reference to Exhibit 10.1 to the Company’s Quarterly Report on Form 10-Q (File No. 001-40378), filed with the SEC on May 7, 2025).</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5ex102xdlorett.htm">
              <w:r>
                <w:rPr>
                  <w:rStyle w:val="InternetLink"/>
                  <w:rFonts w:ascii="Times New Roman;serif" w:hAnsi="Times New Roman;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Retirement Agreement and General Release of Claims, dated June 16, 2025, by and between the Company and Dave Loretta.</w:t>
            </w:r>
          </w:p>
        </w:tc>
      </w:tr>
      <w:tr>
        <w:trPr/>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1" w:type="dxa"/>
            <w:gridSpan w:val="3"/>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5exhibit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and Rule 15d-14(a), as adopted pursuant to Section 302 of the Sarbanes-Oxley Act of 2002</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5exhibit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and Rule 15d-14(a), as adopted pursuant to Section 302 of the Sarbanes-Oxley Act of 2002</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5exhibit321.htm">
              <w:r>
                <w:rPr>
                  <w:rStyle w:val="InternetLink"/>
                  <w:rFonts w:ascii="Times New Roman;serif" w:hAnsi="Times New Roman;serif"/>
                  <w:b w:val="false"/>
                  <w:color w:val="0000FF"/>
                  <w:sz w:val="20"/>
                  <w:u w:val="single"/>
                </w:rPr>
                <w:t>32.1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Certification of Principal Executive Officer pursuant to 18 U.S.C. Section 1350, as adopted pursuant to Section 906 of the Sarbanes-Oxley Act of 2002 </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5exhibit322.htm">
              <w:r>
                <w:rPr>
                  <w:rStyle w:val="InternetLink"/>
                  <w:rFonts w:ascii="Times New Roman;serif" w:hAnsi="Times New Roman;serif"/>
                  <w:b w:val="false"/>
                  <w:color w:val="0000FF"/>
                  <w:sz w:val="20"/>
                  <w:u w:val="single"/>
                </w:rPr>
                <w:t>32.2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18 U.S.C. Section 1350, as adopted pursuant to Section 906 of the Sarbanes-Oxley Act of 2002</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101.INS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Inline XBRL Instance Document —the instance document does not appear in the Interactive Data File because its XBRL tags are embedded within the Inline XBRL document.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6" w:before="0" w:after="0"/>
        <w:jc w:val="left"/>
        <w:rPr>
          <w:rFonts w:ascii="Times New Roman;serif" w:hAnsi="Times New Roman;serif"/>
          <w:b w:val="false"/>
          <w:color w:val="000000"/>
          <w:sz w:val="13"/>
        </w:rPr>
      </w:pPr>
      <w:r>
        <w:rPr>
          <w:rFonts w:ascii="Times New Roman;serif" w:hAnsi="Times New Roman;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ind w:left="0" w:right="0" w:hanging="49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210" w:type="dxa"/>
        <w:jc w:val="left"/>
        <w:tblInd w:w="0" w:type="dxa"/>
        <w:tblLayout w:type="fixed"/>
        <w:tblCellMar>
          <w:top w:w="28" w:type="dxa"/>
          <w:left w:w="28" w:type="dxa"/>
          <w:bottom w:w="28" w:type="dxa"/>
          <w:right w:w="28" w:type="dxa"/>
        </w:tblCellMar>
      </w:tblPr>
      <w:tblGrid>
        <w:gridCol w:w="667"/>
        <w:gridCol w:w="587"/>
        <w:gridCol w:w="590"/>
        <w:gridCol w:w="359"/>
        <w:gridCol w:w="359"/>
        <w:gridCol w:w="359"/>
        <w:gridCol w:w="1248"/>
        <w:gridCol w:w="1248"/>
        <w:gridCol w:w="17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Honest Company,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Carla Vernón </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Curtiss Bruce</w:t>
            </w:r>
          </w:p>
          <w:p>
            <w:pPr>
              <w:pStyle w:val="TableContents"/>
              <w:bidi w:val="0"/>
              <w:spacing w:lineRule="auto" w:line="242" w:before="0" w:after="0"/>
              <w:jc w:val="center"/>
              <w:rPr>
                <w:rFonts w:ascii="Times New Roman;serif" w:hAnsi="Times New Roman;serif"/>
                <w:b/>
                <w:color w:val="000000"/>
                <w:sz w:val="20"/>
              </w:rPr>
            </w:pPr>
            <w:r>
              <w:rPr>
                <w:rFonts w:ascii="Times New Roman;serif" w:hAnsi="Times New Roman;serif"/>
                <w:b/>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(Principal Financial Officer and </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8"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RETIREMENT AGREEMENT </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AND GENERAL RELEASE OF CLAIMS</w:t>
      </w:r>
    </w:p>
    <w:p>
      <w:pPr>
        <w:pStyle w:val="TextBody"/>
        <w:bidi w:val="0"/>
        <w:spacing w:lineRule="auto" w:line="288" w:before="0" w:after="240"/>
        <w:ind w:left="0" w:right="0" w:firstLine="720"/>
        <w:jc w:val="left"/>
        <w:rPr/>
      </w:pPr>
      <w:r>
        <w:rPr>
          <w:rFonts w:ascii="Times New Roman;serif" w:hAnsi="Times New Roman;serif"/>
          <w:b/>
          <w:color w:val="000000"/>
          <w:sz w:val="24"/>
        </w:rPr>
        <w:t>THIS RETIREMENT AGREEMENT AND GENERAL RELEASE OF CLAIMS</w:t>
      </w:r>
      <w:r>
        <w:rPr>
          <w:color w:val="000000"/>
        </w:rPr>
        <w:t xml:space="preserve"> </w:t>
      </w:r>
      <w:r>
        <w:rPr>
          <w:rFonts w:ascii="Times New Roman;serif" w:hAnsi="Times New Roman;serif"/>
          <w:b w:val="false"/>
          <w:color w:val="000000"/>
          <w:sz w:val="24"/>
        </w:rPr>
        <w:t>(“Agreement”) is entered into by and between The Honest Company, Inc. (the “Company”), and Dave Loretta (“Employee,” “you,” or “your”) (together the “Parties” or individually a “Party”), in consideration for and as a condition to the Company’s agreement to provide you with certain Separation Benefits (defined below) to which you are not otherwise entitled.</w:t>
      </w:r>
    </w:p>
    <w:p>
      <w:pPr>
        <w:pStyle w:val="TextBody"/>
        <w:bidi w:val="0"/>
        <w:spacing w:lineRule="auto" w:line="288" w:before="0" w:after="240"/>
        <w:ind w:left="0" w:right="0" w:firstLine="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Separation From Employment and Final Pay</w:t>
      </w:r>
      <w:r>
        <w:rPr>
          <w:rFonts w:ascii="Times New Roman;serif" w:hAnsi="Times New Roman;serif"/>
          <w:b w:val="false"/>
          <w:color w:val="000000"/>
          <w:sz w:val="24"/>
        </w:rPr>
        <w:t xml:space="preserve">. Your employment with the Company will terminate as a result of your voluntary retirement, effective on June 16, 2025 (“Separation Date”). Your employment will end on the Separation Date regardless of whether you sign this Agreement or agree to the following terms and conditions. On the Separation Date (or by no later than the timeframe permitted by applicable law), and independent of this Agreement, the Company will provide you with a final paycheck that will fully compensate you for all wages, vacation, and other compensation earned and payable to you through the Separation Date, less applicable taxes and withholdings. The Separation Benefits described in Section 3 below are separate from and in addition to your final pay. You understand that, except as otherwise provided in this Agreement, you are not entitled to anything further from the Company, including reinstatement by the Company, or any compensation or benefits of any kind, for any reason, after the Separation Date. </w:t>
      </w:r>
    </w:p>
    <w:p>
      <w:pPr>
        <w:pStyle w:val="TextBody"/>
        <w:bidi w:val="0"/>
        <w:spacing w:lineRule="auto" w:line="288" w:before="0" w:after="24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Benefits Termination.</w:t>
      </w:r>
      <w:r>
        <w:rPr>
          <w:color w:val="000000"/>
        </w:rPr>
        <w:t xml:space="preserve"> </w:t>
      </w:r>
      <w:r>
        <w:rPr>
          <w:rFonts w:ascii="Times New Roman;serif" w:hAnsi="Times New Roman;serif"/>
          <w:b w:val="false"/>
          <w:color w:val="000000"/>
          <w:sz w:val="24"/>
        </w:rPr>
        <w:t xml:space="preserve">Your eligibility for employee benefits as an employee of the Company will terminate on June 30, 2025. You will be separately notified of your right to continue your healthcare coverage under COBRA. </w:t>
      </w:r>
    </w:p>
    <w:p>
      <w:pPr>
        <w:pStyle w:val="TextBody"/>
        <w:bidi w:val="0"/>
        <w:spacing w:lineRule="auto" w:line="288" w:before="0" w:after="240"/>
        <w:ind w:left="0" w:right="0" w:firstLine="720"/>
        <w:jc w:val="left"/>
        <w:rPr/>
      </w:pPr>
      <w:r>
        <w:rPr>
          <w:rFonts w:ascii="Times New Roman;serif" w:hAnsi="Times New Roman;serif"/>
          <w:b w:val="false"/>
          <w:color w:val="000000"/>
          <w:sz w:val="24"/>
        </w:rPr>
        <w:t>3.</w:t>
      </w:r>
      <w:r>
        <w:rPr>
          <w:rFonts w:ascii="Times New Roman;serif" w:hAnsi="Times New Roman;serif"/>
          <w:b w:val="false"/>
          <w:color w:val="000000"/>
          <w:sz w:val="24"/>
          <w:u w:val="single"/>
        </w:rPr>
        <w:t>Separation Benefits</w:t>
      </w:r>
      <w:r>
        <w:rPr>
          <w:rFonts w:ascii="Times New Roman;serif" w:hAnsi="Times New Roman;serif"/>
          <w:b w:val="false"/>
          <w:color w:val="000000"/>
          <w:sz w:val="24"/>
        </w:rPr>
        <w:t>. In consideration for entering into this Agreement, and provided that you: (</w:t>
      </w:r>
      <w:r>
        <w:rPr>
          <w:rFonts w:ascii="Times New Roman;serif" w:hAnsi="Times New Roman;serif"/>
          <w:b w:val="false"/>
          <w:color w:val="1A1A1A"/>
          <w:sz w:val="24"/>
        </w:rPr>
        <w:t xml:space="preserve">i) remain in compliance with all Company policies; </w:t>
      </w:r>
      <w:r>
        <w:rPr>
          <w:rFonts w:ascii="Times New Roman;serif" w:hAnsi="Times New Roman;serif"/>
          <w:b w:val="false"/>
          <w:color w:val="000000"/>
          <w:sz w:val="24"/>
        </w:rPr>
        <w:t>your Employment Agreement dated August 31, 2023 (“Employment Agreement”); and your Confidential Information and Invention Assignment Agreement (“CIIAA”), all</w:t>
      </w:r>
      <w:r>
        <w:rPr>
          <w:color w:val="1A1A1A"/>
        </w:rPr>
        <w:t xml:space="preserve"> </w:t>
      </w:r>
      <w:r>
        <w:rPr>
          <w:rFonts w:ascii="Times New Roman;serif" w:hAnsi="Times New Roman;serif"/>
          <w:b w:val="false"/>
          <w:color w:val="1A1A1A"/>
          <w:sz w:val="24"/>
        </w:rPr>
        <w:t xml:space="preserve">through the Separation Date (and after, if applicable), (ii) </w:t>
      </w:r>
      <w:r>
        <w:rPr>
          <w:rFonts w:ascii="Times New Roman;serif" w:hAnsi="Times New Roman;serif"/>
          <w:b w:val="false"/>
          <w:color w:val="000000"/>
          <w:sz w:val="24"/>
        </w:rPr>
        <w:t xml:space="preserve">deliver to the Company all Company property, pursuant to Section 10, by no later than thirty (30) days following the Separation Date, (iii) sign and return the executed copy of this Agreement to the Company on or before the expiration of the Consideration Period, (iv) fully comply with the terms of this Agreement, and (v) do not revoke this Agreement pursuant to Section 6 below, the Company will pay or extend to you, as applicable, the following (collectively referred to as the “Separation Benefits”): </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equivalent of twelve (12) months (the “Severance Period”) of your base salary in effect as of the Separation Date (i.e., the gross amount of $40,812.42 per month), subject to standard payroll deductions and withholdings, payable in monthly installments as a continuation on the Company’s regular payroll, beginning no later than the first regularly-scheduled payroll date following the thirtieth (30th) day after your Separation Date, provided this Agreement has become effective;</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If you timely elect continued coverage under COBRA, the Company will pay for the COBRA premiums to continue your health insurance coverage (including coverage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for eligible dependents, if applicable) (“COBRA Premiums”) through the period (the “COBRA Premium Period”) starting on the Separation Date and ending on the earliest to occur of: (i) the twelve (12) month anniversary of the Separation Date; (ii) the date you become eligible for group health insurance coverage through a new employer; or (iii) the date you cease to be eligible for COBRA continuation coverage for any reason. You must timely pay your premiums, and then provide the Company with proof of same to obtain reimbursement for your COBRA premiums under this section. In the event you become covered under another employer’s group health plan or otherwise cease to be eligible for COBRA during the COBRA Premium Period, you must immediately notify the Company of such event by email to the Legal Department (</w:t>
      </w:r>
      <w:r>
        <w:rPr>
          <w:rFonts w:ascii="Times New Roman;serif" w:hAnsi="Times New Roman;serif"/>
          <w:b w:val="false"/>
          <w:color w:val="0000FF"/>
          <w:sz w:val="24"/>
          <w:u w:val="single"/>
        </w:rPr>
        <w:t>legal@thehonestcompany.com</w:t>
      </w:r>
      <w:r>
        <w:rPr>
          <w:rFonts w:ascii="Times New Roman;serif" w:hAnsi="Times New Roman;serif"/>
          <w:b w:val="false"/>
          <w:color w:val="000000"/>
          <w:sz w:val="24"/>
        </w:rPr>
        <w:t>). Notwithstanding the foregoing, if the Company determines, in its sole discretion, that it cannot pay the COBRA Premiums without a substantial risk of violating applicable law (including, without limitation, Section 2716 of the Public Health Service Act), the Company instead shall pay you, on the first day of each calendar month, a fully taxable cash payment equal to the applicable COBRA premiums for that month for the remainder of the COBRA Premium Period, which you may (but are not obligated to) use toward the cost of COBRA premiums;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you will remain eligible to receive an annual bonus for the 2025 calendar year (notwithstanding your termination of employment prior to the payment date of the bonus), prorated based on the number of days you were employed by the Company in the 2025 calendar year and determined by the Board and/or the Committee in its discretion based on the achievement of the applicable performance goals for the 2025 calendar year, to be paid at the same time that annual bonuses for the 2025 calendar year are paid to other Company executives (but in any event no later than March 15, 2026).</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You acknowledge that the Company has no duty or obligation (including pursuant to the Employment Agreement) to provide you the Separation Benefits absent this Agreement.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Equity Interests</w:t>
      </w:r>
      <w:r>
        <w:rPr>
          <w:rFonts w:ascii="Times New Roman;serif" w:hAnsi="Times New Roman;serif"/>
          <w:b w:val="false"/>
          <w:color w:val="000000"/>
          <w:sz w:val="24"/>
        </w:rPr>
        <w:t>. Your entitlement to outstanding equity awards, if any, shall be governed by the terms of the stock plan governing such options and the documents by which such options were granted to you, along with any amendments thereto.</w:t>
      </w:r>
    </w:p>
    <w:p>
      <w:pPr>
        <w:pStyle w:val="TextBody"/>
        <w:bidi w:val="0"/>
        <w:spacing w:lineRule="auto" w:line="288" w:before="0" w:after="240"/>
        <w:ind w:left="0" w:right="0" w:firstLine="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General Release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In consideration of the Separation Benefits set forth in Section 3 above, you on behalf of yourself and your heirs, spouse, executor, assigns, administrators, representatives, and agents, hereby release and forever discharge the Company and each of its respective past, present and future employees, officers, directors, members, agents, trustees, administrators, representatives, owners, shareholders, partners, insurers, fiduciaries, attorneys, subsidiaries, parent companies, affiliates, related entities, assigns, predecessors and successors in interest, as well as each of their past, present and future employees, officers, directors, members, agents, trustees, administrators, representatives, owners, shareholders, partners, insurers, fiduciaries, attorneys, subsidiaries, parent companies, affiliates, related entities, assigns, predecessors and successors in interest, jointly and severally, (referred to collectively hereafter as the ”Releasees“), from any and all liabilities, claims, causes of action, charges, complaints, obligations, costs, losses, damages, injuries, penalties, interest, attorneys’ fees, and other legal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responsibilities, of any form whatsoever, whether known or unknown, unforeseen, unanticipated, unsuspected or latent (referred to collectively hereafter as a “Claim” or “Claims”), of whatever kind and nature, whether now known or unknown, which you have at any time owned or held up to and including the date you sign this Agreement including, and without limiting the generality of the foregoing, any and all Claims arising out of, connected with, or relating to: (a) your employment or termination of employment with the Company; (b) any act or omission by or on the part of any of the Releasees occurring from the beginning of time up through and including your execution of this Agreement; (c) any Claim for violation of any federal, state or local law or regulation prohibiting discrimination, failure to prevent discrimination, harassment or retaliation of any kind; (d) Title VII of the Civil Rights Act of 1964, as amended; the Civil Rights Act of 1991; the Americans with Disabilities Act of 1990, as amended; the Genetic Information and Discrimination Act; the Rehabilitation Act of 1973, as amended; the Age Discrimination in Employment Act of 1967 (“ADEA”), as amended by the Older Workers’ Benefit Protection Act of 1990 (“OWBPA”); the Rehabilitation Act of 1973, as amended; the National Labor Relations Act, as amended; the Labor-Management Relations Act, as amended; the Family and Medical Leave Act; the Employee Retirement Income Security Act; the Lily Ledbetter Fair Pay Act; the Pregnancy Discrimination Act; the Occupational Safety and Health Act; the Federal Worker Adjustment and Retraining Notification Act; the Fair Labor Standards Act (including the Equal Pay Act) or the Consolidated Omnibus Budget Reconciliation Act (COBRA), as amended; the Sarbanes-Oxley Act of 2002; the California Worker Adjustment and Retraining Notification Act; the California Business &amp; Professions Code; the California Family Rights Act; the California Labor Code; the California Industrial Welfare Commission Wage Orders; the California Fair Employment and Housing Act; the California and United States Constitutions; and any local ordinance or federal or state statute, regulation or constitution; and (e) any Claim for attorneys' fees, penalties, interest, costs or expenses. If any claim is not subject to release, to the extent permitted by law, you waive any right or ability to be a class or collective action representative or to otherwise participate or recover any damages, injunctive, declaratory, monetary, or other relief, in any putative or certified class, collective or multi-party action or proceeding based on such a claim in which the Company or any of the other Released Parties is a party. You represent that you are not an “aggrieved employee” for any purpose including under the California Private Attorneys’ General Act (“PAGA”), and therefore the Company is not liable for any penalties pursuant to PAGA for any conduct arising during or out of your employment with the Company. </w:t>
      </w:r>
      <w:r>
        <w:rPr>
          <w:rFonts w:ascii="Times New Roman;serif" w:hAnsi="Times New Roman;serif"/>
          <w:b/>
          <w:color w:val="000000"/>
          <w:sz w:val="24"/>
        </w:rPr>
        <w:t>You acknowledge that you have been advised, as required by California Government Code Section 12964.5(b)(4), that you have the right to consult an attorney regarding this Agreement and that you were given a reasonable time period of not less than five (5) business days in which to do so.</w:t>
      </w:r>
      <w:r>
        <w:rPr>
          <w:color w:val="000000"/>
        </w:rPr>
        <w:t xml:space="preserve"> </w:t>
      </w:r>
      <w:r>
        <w:rPr>
          <w:rFonts w:ascii="Times New Roman;serif" w:hAnsi="Times New Roman;serif"/>
          <w:b w:val="false"/>
          <w:color w:val="000000"/>
          <w:sz w:val="24"/>
        </w:rPr>
        <w:t>You further acknowledge and agree that, in the event you sign this Agreement 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The General Release in Section 5(a) of this Agreement is intended to be a full and final release covering all suspected, unknown, undisclosed and unanticipated Claims which may have arisen, or may arise, from any act or omission prior to the date that you sign this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Agreement, and which arise out of or are related, directly or indirectly, to the dealings between the Parties to this Agreement, or any matters described above. If you later discover facts different from or in addition to those facts you currently know or believe to be true, this Agreement, the waivers and releases will nevertheless remain effective in all respects. You and on behalf of anyone or any entity claiming through you, waive any and all rights or benefits which you may now have, or in the future may have, under the terms of Cal. Civ. Code § 1542 which provides as follows:</w:t>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Notwithstanding the provisions of § 1542, and for the purpose of implementing a full and complete release and discharge, you expressly acknowledge that (i) this Agreement is intended to and does include in its effect, without limitation, all Claims you do not know or suspect to exist in your favor against any of the Releasees, up to and including the date you sign this Agreement, and (ii) this Agreement expressly contemplates the extinguishment of such Claims.</w:t>
      </w:r>
    </w:p>
    <w:p>
      <w:pPr>
        <w:pStyle w:val="TextBody"/>
        <w:bidi w:val="0"/>
        <w:spacing w:lineRule="auto" w:line="288"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Older</w:t>
      </w:r>
      <w:r>
        <w:rPr>
          <w:color w:val="000000"/>
          <w:u w:val="single"/>
        </w:rPr>
        <w:t xml:space="preserve"> </w:t>
      </w:r>
      <w:r>
        <w:rPr>
          <w:rFonts w:ascii="Times New Roman;serif" w:hAnsi="Times New Roman;serif"/>
          <w:b w:val="false"/>
          <w:color w:val="000000"/>
          <w:sz w:val="24"/>
          <w:u w:val="single"/>
        </w:rPr>
        <w:t>Workers’ Benefit Protection Act Disclosures and Consideration/ Revocation Periods.</w:t>
      </w:r>
      <w:r>
        <w:rPr>
          <w:color w:val="000000"/>
        </w:rPr>
        <w:t xml:space="preserve"> </w:t>
      </w:r>
      <w:r>
        <w:rPr>
          <w:rFonts w:ascii="Times New Roman;serif" w:hAnsi="Times New Roman;serif"/>
          <w:b w:val="false"/>
          <w:color w:val="000000"/>
          <w:sz w:val="24"/>
        </w:rPr>
        <w:t>This Agreement constitutes a knowing and voluntary waiver of any and all rights or Claims that you have or may have under the Federal Age Discrimination in Employment Act, as amended by the OWBPA. You agree and acknowledge that this Section and this Agreement are written in a manner to be understood by you. You are hereby advised in writing to consult with an attorney of your choosing before signing this Agreement. You may take up to twenty-one (21) days to review and consider this Agreement (“Consideration Period”), after which time this Agreement to provide you the Separation Benefits will expire. The Parties agree that modification of this Agreement, whether material or immaterial, shall not restart the running of the Consideration Period. If you decide not to use the full Consideration Period, you knowingly and voluntarily waive any claims that you were not given or did not use the full Consideration Period before signing this Agreement and acknowledge that you have signed this Agreement knowingly and voluntarily. You may revoke this Agreement at any time within the 7-day period following the date you sign this Agreement (“Revocation Period”) by providing written notice of revocation via email to the Legal Department (</w:t>
      </w:r>
      <w:r>
        <w:rPr>
          <w:rFonts w:ascii="Times New Roman;serif" w:hAnsi="Times New Roman;serif"/>
          <w:b w:val="false"/>
          <w:color w:val="0000FF"/>
          <w:sz w:val="24"/>
          <w:u w:val="single"/>
        </w:rPr>
        <w:t>legal@thehonestcompany.com</w:t>
      </w:r>
      <w:r>
        <w:rPr>
          <w:rFonts w:ascii="Times New Roman;serif" w:hAnsi="Times New Roman;serif"/>
          <w:b w:val="false"/>
          <w:color w:val="000000"/>
          <w:sz w:val="24"/>
        </w:rPr>
        <w:t>), so that such written notice is received before the Revocation Period expires. Subject also to Section 3 of this Agreement, the Company’s obligation to provide any payment under this Agreement does not become final and binding until after the expiration of the Revocation Period and only if you have not revoked this Agreement during such time period. If you exercise your right to revoke the Agreement during the Revocation Period, the Company reserves the right to treat the Agreement as void, in whole or in part, at its sole discretion.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Your Protected Rights; Non-Interference</w:t>
      </w:r>
      <w:r>
        <w:rPr>
          <w:rFonts w:ascii="Times New Roman;serif" w:hAnsi="Times New Roman;serif"/>
          <w:b w:val="false"/>
          <w:color w:val="000000"/>
          <w:sz w:val="24"/>
        </w:rPr>
        <w:t xml:space="preserve">. Notwithstanding the above, the matters released in Section 5 do not include: (i) any rights to receive the Separation Benefits; (ii) any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claim for vested and accrued benefits under any benefit plan governed by the Employment Retirement income Security Act of 1974, as amended; (iii) any claim for unemployment or state disability insurance benefits or worker compensation benefits; (iv) any claim of breach of the terms of this Agreement; or (v) any other claims that cannot lawfully be released as a matter of law or public policy. Additionally, nothing in this Agreement restricts or prevents you from disclosing or discussing allegations of discrimination, harassment, retaliation, wage and hour violations, or sexual assault, or conduct that is recognized as against a clear mandate of public policy or disclosing or discussing the settlement of such a claim or waives your right to file a charge, cooperate or participate in an investigation or proceeding conducted by an administrative or regulatory agency, such as the Equal Employment Opportunity Commission (“EEOC”); to bring a suit to challenge the validity of this Agreement as it applies to the claims seeking to enforce the ADEA; to file an unfair labor practice charge under the National Labor Relations Act; to make disclosures that are required by law; or to testify truthfully, when required or requested to attend the proceeding pursuant to a court order, subpoena, or written request from an administrative agency or the legislature. However, to the maximum extent permitted by applicable law, the consideration provided to you in this Agreement shall be the sole relief provided to you by the Releasees for the matters released in Section 5 and you agree to waive any monetary or other personal relief against the Releasees in connection with any such claim, charge, or proceeding. Nothing in this Agreement shall be interpreted to prohibit or prevent you from receiving a bounty or similar award for providing information to a government agency (such as the U.S. Securities and Exchange Commission) or filing or participating in any whistleblower complaint filed with the U.S. Securities and Exchange Commission. </w:t>
      </w:r>
    </w:p>
    <w:p>
      <w:pPr>
        <w:pStyle w:val="TextBody"/>
        <w:bidi w:val="0"/>
        <w:spacing w:lineRule="auto" w:line="288" w:before="0" w:after="24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Covenant Not to Sue; Representations</w:t>
      </w:r>
      <w:r>
        <w:rPr>
          <w:rFonts w:ascii="Times New Roman;serif" w:hAnsi="Times New Roman;serif"/>
          <w:b w:val="false"/>
          <w:color w:val="000000"/>
          <w:sz w:val="24"/>
        </w:rPr>
        <w:t>. You acknowledge and agree that you have not and will not directly or indirectly institute or assist in any legal action against the Releasees based upon, arising out of, or related to any Claims released herein. You further acknowledge and agree that (a) you have not sustained any workplace injury of any kind during your employment with the Company, and accordingly, you do not intend to file any claim for or seek any workers’ compensation benefits; (b) you are aware of no facts or evidence that would give rise to any governmental action against any of the Releasees; and (c) you have not made any claims or allegations to the Company related to discrimination, harassment, retaliation, wage and hour violations, or sexual assault, and that none of the payments set forth in this Agreement are related to alleged discrimination, harassment, retaliation, wage and hour violations, or sexual assault. You agree that except for the Separation Benefits, you have been paid all wages and other compensation that you have earned or become entitled to during your employment with the Company, including but not limited to, all wages, salary, bonuses and commissions, vacation and paid time off, and reimbursable expenses.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Confidentiality and Non-Disparagement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You agree that the terms and conditions of this Agreement are confidential, including, but not limited to, the amounts paid to you under this Agreement. You will not disclose or publicize the existence of this Agreement or any of its terms to any person, or in any manner,</w:t>
      </w:r>
      <w:r>
        <w:rPr>
          <w:color w:val="000000"/>
        </w:rPr>
        <w:t xml:space="preserve"> </w:t>
      </w:r>
      <w:r>
        <w:rPr>
          <w:rFonts w:ascii="Times New Roman;serif" w:hAnsi="Times New Roman;serif"/>
          <w:b w:val="false"/>
          <w:color w:val="000000"/>
          <w:sz w:val="24"/>
        </w:rPr>
        <w:t xml:space="preserve">except to your spouse, legal counsel, or accounting advisors and then only after securing the agreement of each such individual to maintain the confidentiality of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Notwithstanding, this Agreement does not prohibit or restrict you from initiating communications directly with, or responding to any inquiry from, or providing testimony before, any self-regulatory organization or state or federal regulatory authority, regarding this Agreement or its underlying facts or circumstances.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You further acknowledge that, during the term of your employment by the Company, you have had access to and possession of Confidential Information (defined below), and that following the Separation Date, you must continue to comply with the terms of the CIIAA. For the purposes of this Agreement, “</w:t>
      </w:r>
      <w:r>
        <w:rPr>
          <w:rFonts w:ascii="Times New Roman;serif" w:hAnsi="Times New Roman;serif"/>
          <w:b w:val="false"/>
          <w:color w:val="000000"/>
          <w:sz w:val="24"/>
          <w:u w:val="single"/>
        </w:rPr>
        <w:t>Confidential Information</w:t>
      </w:r>
      <w:r>
        <w:rPr>
          <w:color w:val="000000"/>
        </w:rPr>
        <w:t xml:space="preserve">” </w:t>
      </w:r>
      <w:r>
        <w:rPr>
          <w:rFonts w:ascii="Times New Roman;serif" w:hAnsi="Times New Roman;serif"/>
          <w:b w:val="false"/>
          <w:color w:val="000000"/>
          <w:sz w:val="24"/>
        </w:rPr>
        <w:t xml:space="preserve">shall have the meaning ascribed to such term in the CIIAA. </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In addition, you agree that, at all times following the Separation Date you will not make any voluntary statements, written or oral, or cause or encourage others to make any such statements that defame, disparage or in any way criticize the personal and/or business reputations, practices or conduct of the Releasees. The Company shall direct its current officers not to make any voluntary statements, written or oral, or cause or encourage others to make any such statements that defame, disparage or in any way criticize your personal and/or business reputations, practices or conduct.</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Notwithstanding any of the foregoing, nothing in this Agreement prevents any person from (i) disclosing either (x) the underlying facts or circumstances regarding conduct that they reasonably believe to be illegal discrimination, harassment, retaliation, a wage and hour violation, or sexual assault, or that is recognized as against a clear mandate of public policy or (y) the existence of a settlement involving such conduct; (ii) testifying truthfully in any legal proceeding, including, but not limited to, responding to any inquiries made by the EEOC or any government agency; or (iii) engaging in activity protected by the National Labor Relations Act, including the right to discuss terms and conditions of employment with current or former co-workers.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10.</w:t>
      </w:r>
      <w:r>
        <w:rPr>
          <w:color w:val="000000"/>
        </w:rPr>
        <w:t xml:space="preserve"> </w:t>
      </w:r>
      <w:r>
        <w:rPr>
          <w:rFonts w:ascii="Times New Roman;serif" w:hAnsi="Times New Roman;serif"/>
          <w:b w:val="false"/>
          <w:color w:val="000000"/>
          <w:sz w:val="24"/>
          <w:u w:val="single"/>
        </w:rPr>
        <w:t>Surrender and Return of Company Property</w:t>
      </w:r>
      <w:r>
        <w:rPr>
          <w:rFonts w:ascii="Times New Roman;serif" w:hAnsi="Times New Roman;serif"/>
          <w:b w:val="false"/>
          <w:color w:val="000000"/>
          <w:sz w:val="24"/>
        </w:rPr>
        <w:t xml:space="preserve">. As a condition of your receipt of the Separation Benefits, you represent and warrant that proprietary items will be returned to an authorized officer of the Company, including but not limited to, any computer hardware or software, credit cards, key cards, cellular phones, any books or manuals issued by the Company and any other Confidential Information (including, without limitation, all copies or reproductions of such documents or materials, computer disks, backup copies, and other forms of electronic storage media) within thirty (30) days of the Separation Date, and that you will not retain any copies thereof. </w:t>
      </w:r>
    </w:p>
    <w:p>
      <w:pPr>
        <w:pStyle w:val="TextBody"/>
        <w:bidi w:val="0"/>
        <w:spacing w:lineRule="auto" w:line="288" w:before="0" w:after="240"/>
        <w:ind w:left="0" w:right="0" w:firstLine="720"/>
        <w:jc w:val="left"/>
        <w:rPr/>
      </w:pPr>
      <w:r>
        <w:rPr>
          <w:rFonts w:ascii="Times New Roman;serif" w:hAnsi="Times New Roman;serif"/>
          <w:b w:val="false"/>
          <w:color w:val="000000"/>
          <w:sz w:val="24"/>
        </w:rPr>
        <w:t>11.</w:t>
      </w:r>
      <w:r>
        <w:rPr>
          <w:rFonts w:ascii="Times New Roman;serif" w:hAnsi="Times New Roman;serif"/>
          <w:b w:val="false"/>
          <w:color w:val="000000"/>
          <w:sz w:val="24"/>
          <w:u w:val="single"/>
        </w:rPr>
        <w:t>Cooperation Agreement</w:t>
      </w:r>
      <w:r>
        <w:rPr>
          <w:rFonts w:ascii="Times New Roman;serif" w:hAnsi="Times New Roman;serif"/>
          <w:b w:val="false"/>
          <w:color w:val="000000"/>
          <w:sz w:val="24"/>
        </w:rPr>
        <w:t xml:space="preserve">. You agree to cooperate fully with the Company in connection with any and all pending or future litigation or administrative claims, investigations, or proceedings involving the Company, including without limitation your meeting with the Company's counsel and/or advisors at reasonable times, upon their request, and providing written statements or live testimony (in court or at depositions) that is truthful, and complete in accordance with information known to you. To the extent any obligations under this Section require you to travel and/or incur expenses, the Company agrees to pay for any and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travel and/or expenses, with such travel and/or expenses to be pre-approved by the Company before they are incurred.</w:t>
      </w:r>
    </w:p>
    <w:p>
      <w:pPr>
        <w:pStyle w:val="TextBody"/>
        <w:bidi w:val="0"/>
        <w:spacing w:lineRule="auto" w:line="288" w:before="0" w:after="240"/>
        <w:ind w:left="0" w:right="0" w:firstLine="720"/>
        <w:jc w:val="left"/>
        <w:rPr/>
      </w:pPr>
      <w:r>
        <w:rPr>
          <w:rFonts w:ascii="Times New Roman;serif" w:hAnsi="Times New Roman;serif"/>
          <w:b w:val="false"/>
          <w:color w:val="000000"/>
          <w:sz w:val="24"/>
        </w:rPr>
        <w:t>12.</w:t>
      </w:r>
      <w:r>
        <w:rPr>
          <w:rFonts w:ascii="Times New Roman;serif" w:hAnsi="Times New Roman;serif"/>
          <w:b w:val="false"/>
          <w:color w:val="000000"/>
          <w:sz w:val="24"/>
          <w:u w:val="single"/>
        </w:rPr>
        <w:t>Tax Matters</w:t>
      </w:r>
      <w:r>
        <w:rPr>
          <w:rFonts w:ascii="Times New Roman;serif" w:hAnsi="Times New Roman;serif"/>
          <w:b w:val="false"/>
          <w:color w:val="000000"/>
          <w:sz w:val="24"/>
        </w:rPr>
        <w:t>. This Agreement is intended to comply with Section 409A of the Internal Revenue Code of 1986, as amended (“Section 409A”), including the exceptions thereto, and shall be construed and administered in accordance with such intent.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as a short-term deferral, or as a settlement payment pursuant to a bona fide legal dispute shall be excluded from Section 409A to the maximum extent possible. For purposes of Section 409A, any installment payments provided under this Agreement shall each be treated as a separate payment. To the extent required under Section 409A, any payments to be made under this Agreement in connection with a termination of employment shall only be made if such termination constitutes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you on account of non-compliance with Section 409A. You acknowledge that any and all federal, state, or local tax liability that may be due or become due because of the Separation Benefits are your sole responsibility, and you further agree to hold the Company harmless and indemnify it for any and all liabilities, penalties, interest, costs, attorneys’ fees and expenses relating to any tax or contribution that may be incurred or demanded as a result of your receipt of the Separation Benefits.</w:t>
      </w:r>
    </w:p>
    <w:p>
      <w:pPr>
        <w:pStyle w:val="TextBody"/>
        <w:bidi w:val="0"/>
        <w:spacing w:lineRule="auto" w:line="288" w:before="0" w:after="240"/>
        <w:ind w:left="0" w:right="0" w:firstLine="720"/>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If any provision of this Agreement is held to be void, null or unenforceable, the remaining portions will remain in full force and effect. To the extent any provision of the general release of claims is deemed to be invalid or unenforceable, the Parties agree to enter into a full and general release of all claims by you that is not invalid. </w:t>
      </w:r>
    </w:p>
    <w:p>
      <w:pPr>
        <w:pStyle w:val="TextBody"/>
        <w:bidi w:val="0"/>
        <w:spacing w:lineRule="auto" w:line="288" w:before="0" w:after="240"/>
        <w:ind w:left="0" w:right="0" w:firstLine="72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Governing Law; Dispute Resolution</w:t>
      </w:r>
      <w:r>
        <w:rPr>
          <w:rFonts w:ascii="Times New Roman;serif" w:hAnsi="Times New Roman;serif"/>
          <w:b w:val="false"/>
          <w:color w:val="000000"/>
          <w:sz w:val="24"/>
        </w:rPr>
        <w:t xml:space="preserve">. This Agreement shall be deemed to have been executed and delivered within the State of California, and the rights and obligations of the parties hereunder shall be construed and enforced in accordance with, and governed by, the laws of the State of California, without regard to principles of conflict of laws. Any and all disputes arising out of or in connection with this Agreement, or the breach thereof, shall be construed, arbitrated and finally resolved by and in accordance with Section 11 of the Employment Agreement.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15.</w:t>
      </w:r>
      <w:r>
        <w:rPr>
          <w:rFonts w:ascii="Times New Roman;serif" w:hAnsi="Times New Roman;serif"/>
          <w:b w:val="false"/>
          <w:color w:val="000000"/>
          <w:sz w:val="24"/>
          <w:u w:val="single"/>
        </w:rPr>
        <w:t>No Admission</w:t>
      </w:r>
      <w:r>
        <w:rPr>
          <w:rFonts w:ascii="Times New Roman;serif" w:hAnsi="Times New Roman;serif"/>
          <w:b w:val="false"/>
          <w:color w:val="000000"/>
          <w:sz w:val="24"/>
        </w:rPr>
        <w:t xml:space="preserve">. Neither this Agreement nor the furnishing of the consideration for this Agreement will be deemed or construed as an admission of liability or wrongdoing on the part of the Releasees, nor will it be admissible as evidence in any proceeding other than for the enforcement of this Agreement. </w:t>
      </w:r>
    </w:p>
    <w:p>
      <w:pPr>
        <w:pStyle w:val="TextBody"/>
        <w:bidi w:val="0"/>
        <w:spacing w:lineRule="auto" w:line="288" w:before="0" w:after="240"/>
        <w:ind w:left="0" w:right="0" w:firstLine="720"/>
        <w:jc w:val="left"/>
        <w:rPr/>
      </w:pPr>
      <w:r>
        <w:rPr>
          <w:rFonts w:ascii="Times New Roman;serif" w:hAnsi="Times New Roman;serif"/>
          <w:b w:val="false"/>
          <w:color w:val="000000"/>
          <w:sz w:val="24"/>
        </w:rPr>
        <w:t>16.</w:t>
      </w:r>
      <w:r>
        <w:rPr>
          <w:rFonts w:ascii="Times New Roman;serif" w:hAnsi="Times New Roman;serif"/>
          <w:b w:val="false"/>
          <w:color w:val="000000"/>
          <w:sz w:val="24"/>
          <w:u w:val="single"/>
        </w:rPr>
        <w:t>Execution; Counterparts</w:t>
      </w:r>
      <w:r>
        <w:rPr>
          <w:rFonts w:ascii="Times New Roman;serif" w:hAnsi="Times New Roman;serif"/>
          <w:b w:val="false"/>
          <w:color w:val="000000"/>
          <w:sz w:val="24"/>
        </w:rPr>
        <w:t xml:space="preserve">. You shall not execute this Agreement before the Separation Date, and the Company has no obligation to countersign this Agreement you execute this Agreement before the Separation Date. This Agreement may be executed in counterparts,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and each counterpart, when executed, shall have the efficacy of a signed original. Photographic or facsimile copies of such signed counterparts may be used in lieu of the originals for any purpose.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17.</w:t>
      </w:r>
      <w:r>
        <w:rPr>
          <w:rFonts w:ascii="Times New Roman;serif" w:hAnsi="Times New Roman;serif"/>
          <w:b w:val="false"/>
          <w:color w:val="000000"/>
          <w:sz w:val="24"/>
          <w:u w:val="single"/>
        </w:rPr>
        <w:t>Acknowledgment</w:t>
      </w:r>
      <w:r>
        <w:rPr>
          <w:rFonts w:ascii="Times New Roman;serif" w:hAnsi="Times New Roman;serif"/>
          <w:b w:val="false"/>
          <w:color w:val="000000"/>
          <w:sz w:val="24"/>
        </w:rPr>
        <w:t xml:space="preserve">. You acknowledge that you have read this Agreement, fully understand the contents of this Agreement, freely, voluntarily and without coercion enter into this Agreement, and are signing it with full knowledge that it is intended, to the maximum extent permitted by law, as a complete release and waiver of any and all claims you may have against the Company. </w:t>
      </w:r>
    </w:p>
    <w:p>
      <w:pPr>
        <w:pStyle w:val="TextBody"/>
        <w:bidi w:val="0"/>
        <w:spacing w:lineRule="auto" w:line="288" w:before="0" w:after="240"/>
        <w:ind w:left="0" w:right="0" w:firstLine="720"/>
        <w:jc w:val="left"/>
        <w:rPr/>
      </w:pPr>
      <w:r>
        <w:rPr>
          <w:rFonts w:ascii="Times New Roman;serif" w:hAnsi="Times New Roman;serif"/>
          <w:b w:val="false"/>
          <w:color w:val="000000"/>
          <w:sz w:val="24"/>
        </w:rPr>
        <w:t>18.</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contains all of the terms, conditions, promises, representations and understandings between the Parties, and supersedes any previous written or oral agreements between the Parties, except that any provisions of the CIIAA, your previous indemnification agreement with the Company, and the Employment Agreement that survive the termination of your employment will remain in full force and effect. This Agreement cannot be modified except by a writing signed by you and an authorized officer of the Company. The Company’s failure to insist upon your strict adherence to any term or obligation of this Agreement shall neither be considered a waiver nor deprive the Company of the right to thereafter expect or insist upon strict adherence to that term or obligation, or any other term or obligation,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19.</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This Agreement shall not become effective until 12:01 a.m. on the 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day after you sign and date this Agreement and do not revoke it (referred to hereafter as the “Effective Date”). </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 xml:space="preserve">YOU ACKNOWLEDGE AND UNDERSTAND THAT THIS AGREEMENT INCLUDES A RELEASE OF ALL CLAIMS. YOU ACKNOWLEDGE THAT YOU HAVE READ THIS AGREEMENT CAREFULLY, UNDERSTAND ALL OF ITS TERMS AND AGREE TO THOSE TERMS KNOWINGLY, VOLUNTARILY, AND WITHOUT DURESS. YOU ARE ADVISED TO CONSULT WITH COUNSEL ABOUT THE TERMS AND LEGAL EFFECT OF THIS AGREEMENT. </w:t>
      </w:r>
    </w:p>
    <w:tbl>
      <w:tblPr>
        <w:tblW w:w="6581" w:type="dxa"/>
        <w:jc w:val="left"/>
        <w:tblInd w:w="0" w:type="dxa"/>
        <w:tblLayout w:type="fixed"/>
        <w:tblCellMar>
          <w:top w:w="28" w:type="dxa"/>
          <w:left w:w="28" w:type="dxa"/>
          <w:bottom w:w="28" w:type="dxa"/>
          <w:right w:w="28" w:type="dxa"/>
        </w:tblCellMar>
      </w:tblPr>
      <w:tblGrid>
        <w:gridCol w:w="641"/>
        <w:gridCol w:w="563"/>
        <w:gridCol w:w="565"/>
        <w:gridCol w:w="109"/>
        <w:gridCol w:w="109"/>
        <w:gridCol w:w="109"/>
        <w:gridCol w:w="1312"/>
        <w:gridCol w:w="1312"/>
        <w:gridCol w:w="186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EMPLOYEE</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6/16/2025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Dave Loretta</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Dave Loretta</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 xml:space="preserve">THE HONEST COMPANY, INC. </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 6/16/2025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/s/ Brendan Sheehey</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 General Counsel &amp; Corporate Secretary</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Carla Vernón, certify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p>
      <w:pPr>
        <w:pStyle w:val="TextBody"/>
        <w:bidi w:val="0"/>
        <w:spacing w:before="0" w:after="0"/>
        <w:jc w:val="left"/>
        <w:rPr/>
      </w:pPr>
      <w:r>
        <w:rPr/>
      </w:r>
    </w:p>
    <w:tbl>
      <w:tblPr>
        <w:tblW w:w="53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4"/>
        <w:gridCol w:w="914"/>
        <w:gridCol w:w="12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Curtiss Bruce, certify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tbl>
      <w:tblPr>
        <w:tblW w:w="7854" w:type="dxa"/>
        <w:jc w:val="left"/>
        <w:tblInd w:w="0" w:type="dxa"/>
        <w:tblLayout w:type="fixed"/>
        <w:tblCellMar>
          <w:top w:w="28" w:type="dxa"/>
          <w:left w:w="28" w:type="dxa"/>
          <w:bottom w:w="28" w:type="dxa"/>
          <w:right w:w="28" w:type="dxa"/>
        </w:tblCellMar>
      </w:tblPr>
      <w:tblGrid>
        <w:gridCol w:w="667"/>
        <w:gridCol w:w="587"/>
        <w:gridCol w:w="590"/>
        <w:gridCol w:w="267"/>
        <w:gridCol w:w="267"/>
        <w:gridCol w:w="272"/>
        <w:gridCol w:w="1517"/>
        <w:gridCol w:w="1517"/>
        <w:gridCol w:w="217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184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4"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54"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Honest Company, Inc. (the “Company”) for the period ended June 30, 2025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3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3"/>
        <w:gridCol w:w="913"/>
        <w:gridCol w:w="12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Carla Vernón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Carla Vernón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The Honest Company, Inc. (the “Company”) for the period ended June 30, 2025 as filed with the Securities and Exchange Commission on the date hereof (the “Report”), I, Curtiss Bruce,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73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307"/>
        <w:gridCol w:w="1307"/>
        <w:gridCol w:w="187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Curtiss Bruce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Curtiss Bruce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5000024/thehonestcompanyinc-arby.htm" TargetMode="External"/><Relationship Id="rId5" Type="http://schemas.openxmlformats.org/officeDocument/2006/relationships/hyperlink" Target="https://www.sec.gov/Archives/edgar/data/1530979/000153097925000047/exhibit101-executiveemplo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26211</Words>
  <Characters>145062</Characters>
  <CharactersWithSpaces>170178</CharactersWithSpaces>
  <Paragraphs>1948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