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jc w:val="center"/>
      </w:pPr>
      <w:r/>
    </w:p>
    <w:p>
      <w:pPr>
        <w:pStyle w:val="TextBody"/>
        <w:bidi w:val="0"/>
        <w:spacing w:lineRule="auto" w:line="326"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196"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pPr>
      <w:r>
        <w:rPr>
          <w:rFonts w:ascii="Times New Roman;serif" w:hAnsi="Times New Roman;serif"/>
          <w:b/>
          <w:color w:val="000000"/>
          <w:sz w:val="20"/>
        </w:rPr>
        <w:t>For the transition period from</w:t>
      </w:r>
      <w:r>
        <w:rPr>
          <w:color w:val="000000"/>
        </w:rPr>
        <w:t>    </w:t>
      </w:r>
      <w:r>
        <w:rPr>
          <w:rFonts w:ascii="Times New Roman;serif" w:hAnsi="Times New Roman;serif"/>
          <w:b/>
          <w:color w:val="000000"/>
          <w:sz w:val="20"/>
        </w:rPr>
        <w:t>to</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Commission File Number: 001-40378</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drawing>
          <wp:inline distT="0" distB="0" distL="0" distR="0">
            <wp:extent cx="18288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572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Honest Company, Inc.</w:t>
      </w:r>
    </w:p>
    <w:p>
      <w:pPr>
        <w:pStyle w:val="TextBody"/>
        <w:bidi w:val="0"/>
        <w:spacing w:before="0" w:after="0"/>
        <w:ind w:left="0" w:right="0" w:firstLine="720"/>
        <w:jc w:val="left"/>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tbl>
      <w:tblPr>
        <w:tblW w:w="650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90-0750205</w:t>
            </w:r>
          </w:p>
        </w:tc>
      </w:tr>
      <w:t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12130 Millennium Drive,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90094</w:t>
            </w:r>
          </w:p>
        </w:tc>
      </w:tr>
      <w:t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862-8818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bl>
    <w:tbl>
      <w:tblPr>
        <w:tblW w:w="9128"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Trading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p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11" w:before="0" w:after="0"/>
        <w:jc w:val="left"/>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before="0" w:after="0"/>
        <w:jc w:val="left"/>
      </w:p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p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pPr>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11"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pPr>
      <w:r/>
    </w:p>
    <w:p>
      <w:pPr>
        <w:pStyle w:val="TextBody"/>
        <w:bidi w:val="0"/>
        <w:spacing w:lineRule="auto" w:line="300"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As of October 30, 2026, the registrant had 109,084,717 shares of common stock, $0.0001 par value per share outstanding.</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pPr>
      <w:r/>
    </w:p>
    <w:p>
      <w:pPr>
        <w:pStyle w:val="TextBody"/>
        <w:bidi w:val="0"/>
        <w:spacing w:before="0" w:after="0"/>
        <w:jc w:val="center"/>
      </w:pPr>
      <w:r/>
    </w:p>
    <w:tbl>
      <w:tblPr>
        <w:tblW w:w="8863" w:type="dxa"/>
        <w:jc w:val="left"/>
        <w:tblInd w:w="0" w:type="dxa"/>
        <w:tblLayout w:type="fixed"/>
        <w:tblCellMar>
          <w:top w:w="28" w:type="dxa"/>
          <w:left w:w="28" w:type="dxa"/>
          <w:bottom w:w="28" w:type="dxa"/>
          <w:right w:w="28" w:type="dxa"/>
        </w:tblCellMar>
      </w:tblPr>
      <w:tblGrid>
        <w:gridCol w:w="320"/>
        <w:gridCol w:w="281"/>
        <w:gridCol w:w="283"/>
        <w:gridCol w:w="2453"/>
        <w:gridCol w:w="2453"/>
        <w:gridCol w:w="2458"/>
        <w:gridCol w:w="180"/>
        <w:gridCol w:w="180"/>
        <w:gridCol w:w="255"/>
      </w:tblGrid>
      <w:t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Page </w:t>
            </w:r>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3">
              <w:r>
                <w:rPr>
                  <w:rStyle w:val="InternetLink"/>
                  <w:rFonts w:ascii="Times New Roman;serif" w:hAnsi="Times New Roman;serif"/>
                  <w:b w:val="false"/>
                  <w:strike w:val="false"/>
                  <w:dstrike w:val="false"/>
                  <w:color w:val="000000"/>
                  <w:sz w:val="20"/>
                  <w:u w:val="none"/>
                  <w:effect w:val="none"/>
                </w:rPr>
                <w:t>FINANCIAL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3">
              <w:r>
                <w:rPr>
                  <w:rStyle w:val="InternetLink"/>
                  <w:rFonts w:ascii="Times New Roman;serif" w:hAnsi="Times New Roman;serif"/>
                  <w:b w:val="false"/>
                  <w:color w:val="0000FF"/>
                  <w:sz w:val="20"/>
                  <w:u w:val="single"/>
                </w:rPr>
                <w:t>1</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6">
              <w:r>
                <w:rPr>
                  <w:rStyle w:val="InternetLink"/>
                  <w:rFonts w:ascii="Times New Roman;serif" w:hAnsi="Times New Roman;serif"/>
                  <w:b w:val="false"/>
                  <w:strike w:val="false"/>
                  <w:dstrike w:val="false"/>
                  <w:color w:val="000000"/>
                  <w:sz w:val="20"/>
                  <w:u w:val="none"/>
                  <w:effect w:val="none"/>
                </w:rPr>
                <w:t>Condensed Consolidated Financial Statements (Unaudited)</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6">
              <w:r>
                <w:rPr>
                  <w:rStyle w:val="InternetLink"/>
                  <w:rFonts w:ascii="Times New Roman;serif" w:hAnsi="Times New Roman;serif"/>
                  <w:b w:val="false"/>
                  <w:color w:val="0000FF"/>
                  <w:sz w:val="20"/>
                  <w:u w:val="single"/>
                </w:rPr>
                <w:t>1</w:t>
              </w:r>
            </w:hyperlink>
          </w:p>
        </w:tc>
      </w:tr>
      <w:t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9">
              <w:r>
                <w:rPr>
                  <w:rStyle w:val="InternetLink"/>
                  <w:rFonts w:ascii="Times New Roman;serif" w:hAnsi="Times New Roman;serif"/>
                  <w:b w:val="false"/>
                  <w:strike w:val="false"/>
                  <w:dstrike w:val="false"/>
                  <w:color w:val="000000"/>
                  <w:sz w:val="20"/>
                  <w:u w:val="none"/>
                  <w:effect w:val="none"/>
                </w:rPr>
                <w:t xml:space="preserve">Condensed Consolidated Balance Sheets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9">
              <w:r>
                <w:rPr>
                  <w:rStyle w:val="InternetLink"/>
                  <w:rFonts w:ascii="Times New Roman;serif" w:hAnsi="Times New Roman;serif"/>
                  <w:b w:val="false"/>
                  <w:color w:val="0000FF"/>
                  <w:sz w:val="20"/>
                  <w:u w:val="single"/>
                </w:rPr>
                <w:t>1</w:t>
              </w:r>
            </w:hyperlink>
          </w:p>
        </w:tc>
      </w:tr>
      <w:t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22">
              <w:r>
                <w:rPr>
                  <w:rStyle w:val="InternetLink"/>
                  <w:rFonts w:ascii="Times New Roman;serif" w:hAnsi="Times New Roman;serif"/>
                  <w:b w:val="false"/>
                  <w:strike w:val="false"/>
                  <w:dstrike w:val="false"/>
                  <w:color w:val="000000"/>
                  <w:sz w:val="20"/>
                  <w:u w:val="none"/>
                  <w:effect w:val="none"/>
                </w:rPr>
                <w:t>Condensed Consolidated Statements of Comprehensive Income</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22">
              <w:r>
                <w:rPr>
                  <w:rStyle w:val="InternetLink"/>
                  <w:rFonts w:ascii="Times New Roman;serif" w:hAnsi="Times New Roman;serif"/>
                  <w:b w:val="false"/>
                  <w:color w:val="0000FF"/>
                  <w:sz w:val="20"/>
                  <w:u w:val="single"/>
                </w:rPr>
                <w:t>2</w:t>
              </w:r>
            </w:hyperlink>
          </w:p>
        </w:tc>
      </w:tr>
      <w:t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25">
              <w:r>
                <w:rPr>
                  <w:rStyle w:val="InternetLink"/>
                  <w:rFonts w:ascii="Times New Roman;serif" w:hAnsi="Times New Roman;serif"/>
                  <w:b w:val="false"/>
                  <w:strike w:val="false"/>
                  <w:dstrike w:val="false"/>
                  <w:color w:val="000080"/>
                  <w:sz w:val="20"/>
                  <w:u w:val="single"/>
                  <w:effect w:val="none"/>
                </w:rPr>
                <w:t xml:space="preserve">Condensed Consolidated Statements of Stockholders’ </w:t>
              </w:r>
            </w:hyperlink>
            <w:hyperlink w:anchor="ifc1ad7dcfe044900ae94024074d40236_25">
              <w:r>
                <w:rPr>
                  <w:rStyle w:val="InternetLink"/>
                  <w:rFonts w:ascii="Times New Roman;serif" w:hAnsi="Times New Roman;serif"/>
                  <w:b w:val="false"/>
                  <w:strike w:val="false"/>
                  <w:dstrike w:val="false"/>
                  <w:color w:val="000080"/>
                  <w:sz w:val="20"/>
                  <w:u w:val="single"/>
                  <w:effect w:val="none"/>
                </w:rPr>
                <w:t>Equity</w:t>
              </w:r>
            </w:hyperlink>
            <w:hyperlink w:anchor="ifc1ad7dcfe044900ae94024074d40236_25">
              <w:r>
                <w:rPr>
                  <w:rStyle w:val="InternetLink"/>
                  <w:rFonts w:ascii="Times New Roman;serif" w:hAnsi="Times New Roman;serif"/>
                  <w:b w:val="false"/>
                  <w:strike w:val="false"/>
                  <w:dstrike w:val="false"/>
                  <w:color w:val="000080"/>
                  <w:sz w:val="20"/>
                  <w:u w:val="single"/>
                  <w:effect w:val="none"/>
                </w:rPr>
                <w:t xml:space="preserve">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25">
              <w:r>
                <w:rPr>
                  <w:rStyle w:val="InternetLink"/>
                  <w:rFonts w:ascii="Times New Roman;serif" w:hAnsi="Times New Roman;serif"/>
                  <w:b w:val="false"/>
                  <w:color w:val="0000FF"/>
                  <w:sz w:val="20"/>
                  <w:u w:val="single"/>
                </w:rPr>
                <w:t>3</w:t>
              </w:r>
            </w:hyperlink>
          </w:p>
        </w:tc>
      </w:tr>
      <w:t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28">
              <w:r>
                <w:rPr>
                  <w:rStyle w:val="InternetLink"/>
                  <w:rFonts w:ascii="Times New Roman;serif" w:hAnsi="Times New Roman;serif"/>
                  <w:b w:val="false"/>
                  <w:strike w:val="false"/>
                  <w:dstrike w:val="false"/>
                  <w:color w:val="000000"/>
                  <w:sz w:val="20"/>
                  <w:u w:val="none"/>
                  <w:effect w:val="none"/>
                </w:rPr>
                <w:t xml:space="preserve">Condensed Consolidated Statements of Cash Flows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28">
              <w:r>
                <w:rPr>
                  <w:rStyle w:val="InternetLink"/>
                  <w:rFonts w:ascii="Times New Roman;serif" w:hAnsi="Times New Roman;serif"/>
                  <w:b w:val="false"/>
                  <w:color w:val="0000FF"/>
                  <w:sz w:val="20"/>
                  <w:u w:val="single"/>
                </w:rPr>
                <w:t>5</w:t>
              </w:r>
            </w:hyperlink>
          </w:p>
        </w:tc>
      </w:tr>
      <w:t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31">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31">
              <w:r>
                <w:rPr>
                  <w:rStyle w:val="InternetLink"/>
                  <w:rFonts w:ascii="Times New Roman;serif" w:hAnsi="Times New Roman;serif"/>
                  <w:b w:val="false"/>
                  <w:color w:val="0000FF"/>
                  <w:sz w:val="20"/>
                  <w:u w:val="single"/>
                </w:rPr>
                <w:t>6</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8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82">
              <w:r>
                <w:rPr>
                  <w:rStyle w:val="InternetLink"/>
                  <w:rFonts w:ascii="Times New Roman;serif" w:hAnsi="Times New Roman;serif"/>
                  <w:b w:val="false"/>
                  <w:color w:val="0000FF"/>
                  <w:sz w:val="20"/>
                  <w:u w:val="single"/>
                </w:rPr>
                <w:t>18</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8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88">
              <w:r>
                <w:rPr>
                  <w:rStyle w:val="InternetLink"/>
                  <w:rFonts w:ascii="Times New Roman;serif" w:hAnsi="Times New Roman;serif"/>
                  <w:b w:val="false"/>
                  <w:color w:val="0000FF"/>
                  <w:sz w:val="20"/>
                  <w:u w:val="single"/>
                </w:rPr>
                <w:t>33</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91">
              <w:r>
                <w:rPr>
                  <w:rStyle w:val="InternetLink"/>
                  <w:rFonts w:ascii="Times New Roman;serif" w:hAnsi="Times New Roman;serif"/>
                  <w:b w:val="false"/>
                  <w:strike w:val="false"/>
                  <w:dstrike w:val="false"/>
                  <w:color w:val="000000"/>
                  <w:sz w:val="20"/>
                  <w:u w:val="none"/>
                  <w:effect w:val="none"/>
                </w:rPr>
                <w:t>Controls and Procedures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91">
              <w:r>
                <w:rPr>
                  <w:rStyle w:val="InternetLink"/>
                  <w:rFonts w:ascii="Times New Roman;serif" w:hAnsi="Times New Roman;serif"/>
                  <w:b w:val="false"/>
                  <w:color w:val="0000FF"/>
                  <w:sz w:val="20"/>
                  <w:u w:val="single"/>
                </w:rPr>
                <w:t>34</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94">
              <w:r>
                <w:rPr>
                  <w:rStyle w:val="InternetLink"/>
                  <w:rFonts w:ascii="Times New Roman;serif" w:hAnsi="Times New Roman;serif"/>
                  <w:b w:val="false"/>
                  <w:strike w:val="false"/>
                  <w:dstrike w:val="false"/>
                  <w:color w:val="000000"/>
                  <w:sz w:val="20"/>
                  <w:u w:val="none"/>
                  <w:effect w:val="none"/>
                </w:rPr>
                <w:t>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97">
              <w:r>
                <w:rPr>
                  <w:rStyle w:val="InternetLink"/>
                  <w:rFonts w:ascii="Times New Roman;serif" w:hAnsi="Times New Roman;serif"/>
                  <w:b w:val="false"/>
                  <w:color w:val="0000FF"/>
                  <w:sz w:val="20"/>
                  <w:u w:val="single"/>
                </w:rPr>
                <w:t>35</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97">
              <w:r>
                <w:rPr>
                  <w:rStyle w:val="InternetLink"/>
                  <w:rFonts w:ascii="Times New Roman;serif" w:hAnsi="Times New Roman;serif"/>
                  <w:b w:val="false"/>
                  <w:strike w:val="false"/>
                  <w:dstrike w:val="false"/>
                  <w:color w:val="000000"/>
                  <w:sz w:val="20"/>
                  <w:u w:val="none"/>
                  <w:effect w:val="none"/>
                </w:rPr>
                <w:t>Legal Proceedings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97">
              <w:r>
                <w:rPr>
                  <w:rStyle w:val="InternetLink"/>
                  <w:rFonts w:ascii="Times New Roman;serif" w:hAnsi="Times New Roman;serif"/>
                  <w:b w:val="false"/>
                  <w:color w:val="0000FF"/>
                  <w:sz w:val="20"/>
                  <w:u w:val="single"/>
                </w:rPr>
                <w:t>35</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00">
              <w:r>
                <w:rPr>
                  <w:rStyle w:val="InternetLink"/>
                  <w:rFonts w:ascii="Times New Roman;serif" w:hAnsi="Times New Roman;serif"/>
                  <w:b w:val="false"/>
                  <w:strike w:val="false"/>
                  <w:dstrike w:val="false"/>
                  <w:color w:val="000000"/>
                  <w:sz w:val="20"/>
                  <w:u w:val="none"/>
                  <w:effect w:val="none"/>
                </w:rPr>
                <w:t>Risk Factors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00">
              <w:r>
                <w:rPr>
                  <w:rStyle w:val="InternetLink"/>
                  <w:rFonts w:ascii="Times New Roman;serif" w:hAnsi="Times New Roman;serif"/>
                  <w:b w:val="false"/>
                  <w:color w:val="0000FF"/>
                  <w:sz w:val="20"/>
                  <w:u w:val="single"/>
                </w:rPr>
                <w:t>35</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03">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03">
              <w:r>
                <w:rPr>
                  <w:rStyle w:val="InternetLink"/>
                  <w:rFonts w:ascii="Times New Roman;serif" w:hAnsi="Times New Roman;serif"/>
                  <w:b w:val="false"/>
                  <w:color w:val="0000FF"/>
                  <w:sz w:val="20"/>
                  <w:u w:val="single"/>
                </w:rPr>
                <w:t>37</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06">
              <w:r>
                <w:rPr>
                  <w:rStyle w:val="InternetLink"/>
                  <w:rFonts w:ascii="Times New Roman;serif" w:hAnsi="Times New Roman;serif"/>
                  <w:b w:val="false"/>
                  <w:strike w:val="false"/>
                  <w:dstrike w:val="false"/>
                  <w:color w:val="000000"/>
                  <w:sz w:val="20"/>
                  <w:u w:val="none"/>
                  <w:effect w:val="none"/>
                </w:rPr>
                <w:t>Defaults Under Senior Securities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06">
              <w:r>
                <w:rPr>
                  <w:rStyle w:val="InternetLink"/>
                  <w:rFonts w:ascii="Times New Roman;serif" w:hAnsi="Times New Roman;serif"/>
                  <w:b w:val="false"/>
                  <w:color w:val="0000FF"/>
                  <w:sz w:val="20"/>
                  <w:u w:val="single"/>
                </w:rPr>
                <w:t>37</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09">
              <w:r>
                <w:rPr>
                  <w:rStyle w:val="InternetLink"/>
                  <w:rFonts w:ascii="Times New Roman;serif" w:hAnsi="Times New Roman;serif"/>
                  <w:b w:val="false"/>
                  <w:strike w:val="false"/>
                  <w:dstrike w:val="false"/>
                  <w:color w:val="000000"/>
                  <w:sz w:val="20"/>
                  <w:u w:val="none"/>
                  <w:effect w:val="none"/>
                </w:rPr>
                <w:t>Mine Safety Disclosures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09">
              <w:r>
                <w:rPr>
                  <w:rStyle w:val="InternetLink"/>
                  <w:rFonts w:ascii="Times New Roman;serif" w:hAnsi="Times New Roman;serif"/>
                  <w:b w:val="false"/>
                  <w:color w:val="0000FF"/>
                  <w:sz w:val="20"/>
                  <w:u w:val="single"/>
                </w:rPr>
                <w:t>37</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12">
              <w:r>
                <w:rPr>
                  <w:rStyle w:val="InternetLink"/>
                  <w:rFonts w:ascii="Times New Roman;serif" w:hAnsi="Times New Roman;serif"/>
                  <w:b w:val="false"/>
                  <w:strike w:val="false"/>
                  <w:dstrike w:val="false"/>
                  <w:color w:val="000000"/>
                  <w:sz w:val="20"/>
                  <w:u w:val="none"/>
                  <w:effect w:val="none"/>
                </w:rPr>
                <w:t>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12">
              <w:r>
                <w:rPr>
                  <w:rStyle w:val="InternetLink"/>
                  <w:rFonts w:ascii="Times New Roman;serif" w:hAnsi="Times New Roman;serif"/>
                  <w:b w:val="false"/>
                  <w:color w:val="0000FF"/>
                  <w:sz w:val="20"/>
                  <w:u w:val="single"/>
                </w:rPr>
                <w:t>37</w:t>
              </w:r>
            </w:hyperlink>
          </w:p>
        </w:tc>
      </w:tr>
      <w:t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21">
              <w:r>
                <w:rPr>
                  <w:rStyle w:val="InternetLink"/>
                  <w:rFonts w:ascii="Times New Roman;serif" w:hAnsi="Times New Roman;serif"/>
                  <w:b w:val="false"/>
                  <w:strike w:val="false"/>
                  <w:dstrike w:val="false"/>
                  <w:color w:val="000000"/>
                  <w:sz w:val="20"/>
                  <w:u w:val="none"/>
                  <w:effect w:val="none"/>
                </w:rPr>
                <w:t>Exhibits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21">
              <w:r>
                <w:rPr>
                  <w:rStyle w:val="InternetLink"/>
                  <w:rFonts w:ascii="Times New Roman;serif" w:hAnsi="Times New Roman;serif"/>
                  <w:b w:val="false"/>
                  <w:color w:val="0000FF"/>
                  <w:sz w:val="20"/>
                  <w:u w:val="single"/>
                </w:rPr>
                <w:t>38</w:t>
              </w:r>
            </w:hyperlink>
          </w:p>
        </w:tc>
      </w:tr>
      <w:t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1ad7dcfe044900ae94024074d40236_124">
              <w:r>
                <w:rPr>
                  <w:rStyle w:val="InternetLink"/>
                  <w:rFonts w:ascii="Times New Roman;serif" w:hAnsi="Times New Roman;serif"/>
                  <w:b w:val="false"/>
                  <w:strike w:val="false"/>
                  <w:dstrike w:val="false"/>
                  <w:color w:val="000000"/>
                  <w:sz w:val="20"/>
                  <w:u w:val="none"/>
                  <w:effect w:val="none"/>
                </w:rPr>
                <w:t>Signatures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fc1ad7dcfe044900ae94024074d40236_124">
              <w:r>
                <w:rPr>
                  <w:rStyle w:val="InternetLink"/>
                  <w:rFonts w:ascii="Times New Roman;serif" w:hAnsi="Times New Roman;serif"/>
                  <w:b w:val="false"/>
                  <w:color w:val="0000FF"/>
                  <w:sz w:val="20"/>
                  <w:u w:val="single"/>
                </w:rPr>
                <w:t>39</w:t>
              </w:r>
            </w:hyperlink>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erif" w:hAnsi="Times New Roman;serif"/>
          <w:b w:val="false"/>
          <w:color w:val="000000"/>
          <w:sz w:val="20"/>
          <w:shd w:fill="FFFFFF" w:val="clear"/>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erif" w:hAnsi="Times New Roman;serif"/>
          <w:b w:val="false"/>
          <w:color w:val="000000"/>
          <w:sz w:val="20"/>
        </w:rPr>
        <w:t xml:space="preserve">, those set forth in Part II, Item 1A, “Risk Factors,” and other factors set forth in other parts of this Quarterly Report on Form 10-Q as well as in Part I, Item 1A, “Risk Factors” in our Annual Report on Form 10-K for the fiscal year ended December 31, 2025 (the “Annual Report”), filed with the Securities and Exchange Commission (“SEC”) on February 25, 2026. Furthermore, such forward-looking statements speak only as of the date of this report. Except as required by law, we undertake no obligation to update any forward-looking statements to reflect events or circumstances after the date of such statements. </w:t>
      </w:r>
      <w:r>
        <w:rPr>
          <w:rFonts w:ascii="Times New Roman;serif" w:hAnsi="Times New Roman;serif"/>
          <w:b w:val="false"/>
          <w:color w:val="000000"/>
          <w:sz w:val="20"/>
          <w:shd w:fill="FFFFFF" w:val="clear"/>
        </w:rPr>
        <w:t xml:space="preserve">These forward-looking statements include, but are not limited to, statements concerning our expectations regarding our future results of operations and financial condition, including our expectations regarding revenue growth, and our ability to achieve or maintain profitability; our ability to continue to launch new products; the implementation of our share repurchase program and share repurchases thereunder; our ability to attract and retain customers; our ability to execute on and to continue driving benefits from our Transformation Pillars of Brand Maximization, Margin Enhancement, and Operating Discipline; statements regarding the intended effect of Powering Honest Growth and our expectations regarding the estimated costs, benefits, timing of such costs and benefits and timing of completion of Powering Honest Growth; our pricing, marketing, and distribution strategies; our continued focus on research, development and innovation; our expectations regarding consumer demand or behavior and the timing and amount of orders from our largest customers; </w:t>
      </w:r>
      <w:r>
        <w:rPr>
          <w:rFonts w:ascii="Times New Roman;serif" w:hAnsi="Times New Roman;serif"/>
          <w:b w:val="false"/>
          <w:color w:val="000000"/>
          <w:sz w:val="20"/>
        </w:rPr>
        <w:t xml:space="preserve">our ability to accelerate or continue growth in the high-margin categories and to offset declines in other categories; </w:t>
      </w:r>
      <w:r>
        <w:rPr>
          <w:rFonts w:ascii="Times New Roman;serif" w:hAnsi="Times New Roman;serif"/>
          <w:b w:val="false"/>
          <w:color w:val="000000"/>
          <w:sz w:val="20"/>
          <w:shd w:fill="FFFFFF" w:val="clear"/>
        </w:rPr>
        <w:t>the effect of macroeconomic factors, including supply chain disruptions, tariffs, inflationary pressures, geopolitical uncertainty and any financial market instability; anticipated trends, growth rates, and challenges in our business and in the markets in which we operate; and our ability to execute on other business strategies, including strategic shift away from lower margin channels, plans and objectives of management for future operations.</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11"/>
        <w:gridCol w:w="2258"/>
        <w:gridCol w:w="2185"/>
        <w:gridCol w:w="247"/>
        <w:gridCol w:w="970"/>
        <w:gridCol w:w="127"/>
        <w:gridCol w:w="109"/>
        <w:gridCol w:w="109"/>
        <w:gridCol w:w="109"/>
        <w:gridCol w:w="243"/>
        <w:gridCol w:w="954"/>
        <w:gridCol w:w="183"/>
      </w:tblGrid>
      <w:tr>
        <w:tc>
          <w:tcPr>
            <w:tcW w:w="271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102,954 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89,581 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44,930 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52,501 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72,501 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205,949 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202,433 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89,426 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312,683 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225,407 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32,010 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35,685 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50,819 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liabilities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49,667 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55,738 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equity </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20,000,000 shares authorized at September 30, 2026 and December 31, 2025, none issued or outstanding as of September 30, 2026 and December 31, 2025</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1,000,000,000 shares authorized at September 30, 2026 and December 31, 2025; 116,694,683 and 112,809,637 shares issued and outstanding as of September 30, 2026 and December 31, 2025, respectively</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7,214,231 and 0 shares as of September 30, 2026 and December 31, 2025, respectively</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687,158 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670,536 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(398,914)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(500,878)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263,016 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169,669 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312,683 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225,407 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553"/>
        <w:gridCol w:w="1070"/>
        <w:gridCol w:w="979"/>
        <w:gridCol w:w="319"/>
        <w:gridCol w:w="931"/>
        <w:gridCol w:w="124"/>
        <w:gridCol w:w="124"/>
        <w:gridCol w:w="124"/>
        <w:gridCol w:w="124"/>
        <w:gridCol w:w="319"/>
        <w:gridCol w:w="931"/>
        <w:gridCol w:w="124"/>
        <w:gridCol w:w="109"/>
        <w:gridCol w:w="109"/>
        <w:gridCol w:w="109"/>
        <w:gridCol w:w="286"/>
        <w:gridCol w:w="963"/>
        <w:gridCol w:w="119"/>
        <w:gridCol w:w="119"/>
        <w:gridCol w:w="119"/>
        <w:gridCol w:w="119"/>
        <w:gridCol w:w="286"/>
        <w:gridCol w:w="963"/>
        <w:gridCol w:w="182"/>
      </w:tblGrid>
      <w:tr>
        <w:tc>
          <w:tcPr>
            <w:tcW w:w="155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84,613 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246,015 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283,280 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58,082 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134,314 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173,369 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111,701 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109,911 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49,055 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59,072 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46,193 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101,622 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104,203 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benefit (provision) for income taxes</w:t>
            </w:r>
          </w:p>
        </w:tc>
        <w:tc>
          <w:tcPr>
            <w:tcW w:w="1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89,284 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1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1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8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income per share attributable to common stockholders: </w:t>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108,820,109 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111,839,451 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110,776,950 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110,802,832 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112,478,599 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113,709,908 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113,052,167 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114,115,977 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101,964 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88" w:before="0" w:after="0"/>
        <w:ind w:left="0" w:right="0" w:firstLine="720"/>
        <w:jc w:val="center"/>
      </w:pPr>
      <w:r>
        <w:rPr>
          <w:rFonts w:ascii="Times New Roman;serif" w:hAnsi="Times New Roman;serif"/>
          <w:b w:val="false"/>
          <w:i/>
          <w:color w:val="000000"/>
          <w:sz w:val="18"/>
        </w:rPr>
        <w:t>(in thousands, except share amounts)</w:t>
      </w:r>
      <w:r>
        <w:rPr>
          <w:color w:val="000000"/>
        </w:rPr>
        <w:t xml:space="preserve"> </w:t>
      </w:r>
    </w:p>
    <w:tbl>
      <w:tblPr>
        <w:tblW w:w="13387"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126"/>
        <w:gridCol w:w="126"/>
        <w:gridCol w:w="126"/>
        <w:gridCol w:w="126"/>
        <w:gridCol w:w="593"/>
        <w:gridCol w:w="593"/>
        <w:gridCol w:w="232"/>
        <w:gridCol w:w="109"/>
        <w:gridCol w:w="109"/>
        <w:gridCol w:w="109"/>
        <w:gridCol w:w="260"/>
        <w:gridCol w:w="445"/>
        <w:gridCol w:w="136"/>
        <w:gridCol w:w="109"/>
        <w:gridCol w:w="109"/>
        <w:gridCol w:w="109"/>
        <w:gridCol w:w="225"/>
        <w:gridCol w:w="225"/>
        <w:gridCol w:w="226"/>
        <w:gridCol w:w="109"/>
        <w:gridCol w:w="109"/>
        <w:gridCol w:w="109"/>
        <w:gridCol w:w="292"/>
        <w:gridCol w:w="562"/>
        <w:gridCol w:w="152"/>
        <w:gridCol w:w="260"/>
        <w:gridCol w:w="260"/>
        <w:gridCol w:w="261"/>
        <w:gridCol w:w="223"/>
        <w:gridCol w:w="876"/>
        <w:gridCol w:w="117"/>
        <w:gridCol w:w="109"/>
        <w:gridCol w:w="109"/>
        <w:gridCol w:w="109"/>
        <w:gridCol w:w="211"/>
        <w:gridCol w:w="841"/>
        <w:gridCol w:w="109"/>
        <w:gridCol w:w="109"/>
        <w:gridCol w:w="109"/>
        <w:gridCol w:w="109"/>
        <w:gridCol w:w="1261"/>
        <w:gridCol w:w="109"/>
        <w:gridCol w:w="211"/>
        <w:gridCol w:w="826"/>
        <w:gridCol w:w="154"/>
      </w:tblGrid>
      <w:t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Paid-in Capital </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1300" w:type="dxa"/>
            <w:gridSpan w:val="4"/>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p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21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109,159,697 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659,488 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1,253,999 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110,488,696 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662,284 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(481,938)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180,357 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1,093,352 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111,600,237 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665,085 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(478,068)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523,520 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112,123,757 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667,484 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(477,310)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190,185 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88" w:before="0" w:after="0"/>
        <w:ind w:left="0" w:right="0" w:firstLine="720"/>
        <w:jc w:val="center"/>
      </w:pPr>
      <w:r>
        <w:rPr>
          <w:rFonts w:ascii="Times New Roman;serif" w:hAnsi="Times New Roman;serif"/>
          <w:b w:val="false"/>
          <w:i/>
          <w:color w:val="000000"/>
          <w:sz w:val="18"/>
        </w:rPr>
        <w:t>(in thousands, except share amounts)</w:t>
      </w:r>
      <w:r>
        <w:rPr>
          <w:color w:val="000000"/>
        </w:rPr>
        <w:t xml:space="preserve"> </w:t>
      </w:r>
    </w:p>
    <w:tbl>
      <w:tblPr>
        <w:tblW w:w="13963"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126"/>
        <w:gridCol w:w="126"/>
        <w:gridCol w:w="126"/>
        <w:gridCol w:w="126"/>
        <w:gridCol w:w="593"/>
        <w:gridCol w:w="593"/>
        <w:gridCol w:w="232"/>
        <w:gridCol w:w="109"/>
        <w:gridCol w:w="109"/>
        <w:gridCol w:w="109"/>
        <w:gridCol w:w="260"/>
        <w:gridCol w:w="445"/>
        <w:gridCol w:w="136"/>
        <w:gridCol w:w="109"/>
        <w:gridCol w:w="109"/>
        <w:gridCol w:w="109"/>
        <w:gridCol w:w="488"/>
        <w:gridCol w:w="488"/>
        <w:gridCol w:w="226"/>
        <w:gridCol w:w="109"/>
        <w:gridCol w:w="109"/>
        <w:gridCol w:w="109"/>
        <w:gridCol w:w="211"/>
        <w:gridCol w:w="736"/>
        <w:gridCol w:w="109"/>
        <w:gridCol w:w="260"/>
        <w:gridCol w:w="260"/>
        <w:gridCol w:w="261"/>
        <w:gridCol w:w="223"/>
        <w:gridCol w:w="876"/>
        <w:gridCol w:w="117"/>
        <w:gridCol w:w="109"/>
        <w:gridCol w:w="109"/>
        <w:gridCol w:w="109"/>
        <w:gridCol w:w="211"/>
        <w:gridCol w:w="841"/>
        <w:gridCol w:w="109"/>
        <w:gridCol w:w="109"/>
        <w:gridCol w:w="109"/>
        <w:gridCol w:w="109"/>
        <w:gridCol w:w="1261"/>
        <w:gridCol w:w="109"/>
        <w:gridCol w:w="211"/>
        <w:gridCol w:w="826"/>
        <w:gridCol w:w="154"/>
      </w:tblGrid>
      <w:t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Paid-in Capital </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1300" w:type="dxa"/>
            <w:gridSpan w:val="4"/>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p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21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112,809,637 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670,536 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(500,878)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Repurchase of common stock, </w:t>
            </w:r>
            <w:r>
              <w:rPr>
                <w:rFonts w:ascii="Times New Roman;serif" w:hAnsi="Times New Roman;serif"/>
                <w:b w:val="false"/>
                <w:color w:val="231F20"/>
                <w:sz w:val="20"/>
              </w:rPr>
              <w:t>net of excise taxes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1,052,672 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917,646 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113,727,283 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1,052,672 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673,001 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(500,920)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169,092 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Repurchase of common stock, </w:t>
            </w:r>
            <w:r>
              <w:rPr>
                <w:rFonts w:ascii="Times New Roman;serif" w:hAnsi="Times New Roman;serif"/>
                <w:b w:val="false"/>
                <w:color w:val="231F20"/>
                <w:sz w:val="20"/>
              </w:rPr>
              <w:t>net of excise taxes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4,522,911 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888,315 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114,663,122 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5,575,583 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676,124 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(490,233)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167,020 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Repurchase of common stock, </w:t>
            </w:r>
            <w:r>
              <w:rPr>
                <w:rFonts w:ascii="Times New Roman;serif" w:hAnsi="Times New Roman;serif"/>
                <w:b w:val="false"/>
                <w:color w:val="231F20"/>
                <w:sz w:val="20"/>
              </w:rPr>
              <w:t>net of excise taxes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1,638,648 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1,527,406 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504,155 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116,694,683 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7,214,231 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687,158 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(398,914)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263,016 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2454"/>
        <w:gridCol w:w="2125"/>
        <w:gridCol w:w="2139"/>
        <w:gridCol w:w="287"/>
        <w:gridCol w:w="1125"/>
        <w:gridCol w:w="148"/>
        <w:gridCol w:w="148"/>
        <w:gridCol w:w="148"/>
        <w:gridCol w:w="148"/>
        <w:gridCol w:w="287"/>
        <w:gridCol w:w="981"/>
        <w:gridCol w:w="215"/>
      </w:tblGrid>
      <w:tr>
        <w:tc>
          <w:tcPr>
            <w:tcW w:w="2454"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6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ROU assets</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(89,426)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(10,828)</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long-term liabilities</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(15,102)</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4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33,283 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4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2021 ESPP</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liabilities</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4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(17,143)</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and cash equivalents </w:t>
            </w:r>
          </w:p>
        </w:tc>
        <w:tc>
          <w:tcPr>
            <w:tcW w:w="14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(3,982)</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w:t>
            </w:r>
          </w:p>
        </w:tc>
        <w:tc>
          <w:tcPr>
            <w:tcW w:w="14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89,581 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75,435 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102,954 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71,453 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activities</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c>
          <w:tcPr>
            <w:tcW w:w="6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accounts payable and accrued expenses</w:t>
            </w:r>
          </w:p>
        </w:tc>
        <w:tc>
          <w:tcPr>
            <w:tcW w:w="28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 percentages and as otherwise indicated)</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Honest Company, Inc. (the “Company”) was incorporated in the State of California on July 19, 2011 and on May 23, 2012 was re-incorporated in the State of Delaware under the same name. The Company is a personal care company dedicated to creating cleanly-formulated and sustainably-designed products for everyone from babies to adults. The Honest Standard, the Company’s rigorous set of guiding principles that shape every step of product innovation and development, reflects Honest’s ongoing dedication to safety, transparency and integrity. As a leader in clean and sustainable products, Honest continues to set a new standard for clean formulations, bringing joy to a community that seeks authenticity, transparency and efficacy in everyday essentials.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p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2025.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2025 has been derived from the audited financial statements at that date but does not include all of the disclosures required by GAAP. The condensed consolidated financial statements include the accounts of the Company, and its wholly owned subsidiaries after elimination of intercompany transactions and balances.</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Restructuring </w:t>
      </w:r>
    </w:p>
    <w:p>
      <w:pPr>
        <w:pStyle w:val="TextBody"/>
        <w:bidi w:val="0"/>
        <w:spacing w:before="0" w:after="0"/>
        <w:jc w:val="left"/>
      </w:pPr>
      <w:r/>
    </w:p>
    <w:p>
      <w:pPr>
        <w:pStyle w:val="TextBody"/>
        <w:bidi w:val="0"/>
        <w:spacing w:lineRule="auto" w:line="276" w:before="0" w:after="0"/>
        <w:ind w:left="0" w:right="0" w:firstLine="720"/>
        <w:jc w:val="left"/>
      </w:pPr>
      <w:r>
        <w:rPr>
          <w:rFonts w:ascii="Times New Roman;serif" w:hAnsi="Times New Roman;serif"/>
          <w:b w:val="false"/>
          <w:color w:val="000000"/>
          <w:sz w:val="20"/>
        </w:rPr>
        <w:t>As further described in Note 12, “Restructuring” during 2025, the Company commenced a restructuring plan, Transformation 2.0: Powering Honest Growth (“Powering Honest Growth”). Powering Honest Growth is aimed at driving growth, improving simplicity, focus and profitability, which includes exiting certain lower margin, non-strategic categories and channels, including Honest.com fulfillment and the apparel category as a seller of merchandise, retail and online stores in Canada, as well as optimizing the Company's cost structure by rightsizing selling, general and administrative expenses and implementing supply chain efficiencies. Such restructuring costs include employee termination benefits (one-time arrangements), termination of contractual obligations, non-cash asset charges, primarily including technology taken out of service, and other direct incremental costs. The Company recorded employee termination liabilities once the Company committed to a plan and communicated such terminations to employees. Other costs associated with a restructuring initiative, such as consulting and professional fees, product or geographical exit costs, are recognized in the period in which the liability is incurred. Accrued restructuring costs as of September 30, 2026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0"/>
        </w:rPr>
        <w:t xml:space="preserve">December 31, 2025 are recorded within Accrued Expenses in the condensed consolidated balance sheets. Refer to Note 12, “Restructuring” included in these condensed consolidated financial statements for more information on the Company's restructuring initiatives.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Segment Reporting and Geographic Information</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principal business primarily focuses on creating cleanly-formulated and sustainably-designed products. The Company’s Chief Executive Officer (“CEO”), as the chief operating decision maker (“CODM”), organizes the Company, manages resource allocations, and measures performance on the basis of one operating segment.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performance based on consolidated net income (loss) to monitor budget versus actual results and period-over-period comparisons. The CODM additionally considers forecasted information on a quarterly basis for net income (loss) when making decisions regarding capital and personnel needs. The CODM reviews information at the consolidated entity level, and does not distinguish the principal business, or group the operations, by geographic locations or industry types for purposes of measuring performance or allocating resources. While the Company creates products that are sold across retail channels and, prior to December 31, 2025, direct-to-consumer (“DTC”), all products are managed as one brand of products under one operating and reportable segment. Furthermore, the Company notes that monitoring financial results as one reportable segment helps the CODM manage expenses on a consolidated basis, consistent with the Company’s operations.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regularly provide the CODM with more detailed segment expense information beyond what is included in the condensed consolidated statements of comprehensive income. The significant expense categories which are used to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manage operations are those reflected in the Company's condensed consolidated statements of comprehensive income. Refer to the condensed consolidated statements of comprehensive income included in the condensed consolidated financial statements included elsewhere in this Quarterly Report on Form 10-Q for more information.</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Company’s long-lived assets are located in the United States and substantially all of the Company’s revenue is from customers located in the United States.</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materially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goodwill impairment, incremental borrowing rates associated with leases, valuation allowances with respect to deferred tax assets, accruals and contingencies, recoverability of non-cash marketing credits,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assessed certain accounting matters and estimates that generally require consideration of forecasted information in context with the information reasonably available to the Company as of September 30, 2026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amortized cost. The Company considers factors in its allowance for credit losses such as historical analysis, credit quality of customers, the age of the accounts receivable balances and macroeconomic conditions that may have an impact on the Company's customers' ability to pay. As discussed further below, the Company elected the practical expedient to assume that current conditions as of the balance sheet date will not change for the remaining life of the accounts receivable. The allowance for credit losses was $0.2 million as of September 30, 2026 and December 31, 2025.</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bidi w:val="0"/>
        <w:spacing w:before="0" w:after="0"/>
        <w:ind w:left="0" w:right="0" w:hanging="81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6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bidi w:val="0"/>
        <w:spacing w:lineRule="auto" w:line="268" w:before="0" w:after="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jc w:val="left"/>
      </w:p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p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intangible assets are also subject to measurement at fair value on a non-recurring basis if they are deemed to be impaired as a result of an impairment review. The fair value of such assets is measured using Level 3 inputs in the fair value hierarchy.</w:t>
      </w:r>
    </w:p>
    <w:p>
      <w:pPr>
        <w:pStyle w:val="TextBody"/>
        <w:bidi w:val="0"/>
        <w:spacing w:lineRule="auto" w:line="268" w:before="0" w:after="0"/>
        <w:jc w:val="both"/>
      </w:pPr>
      <w:r>
        <w:rPr>
          <w:rFonts w:ascii="Times New Roman;serif" w:hAnsi="Times New Roman;serif"/>
          <w:b/>
          <w:color w:val="000000"/>
          <w:sz w:val="20"/>
        </w:rPr>
        <w:t>Recent Accounting Pronouncements</w:t>
      </w:r>
      <w:r>
        <w:rPr>
          <w:color w:val="000000"/>
        </w:rPr>
        <w:t xml:space="preserve"> </w:t>
      </w:r>
    </w:p>
    <w:p>
      <w:pPr>
        <w:pStyle w:val="TextBody"/>
        <w:bidi w:val="0"/>
        <w:spacing w:before="0" w:after="0"/>
        <w:jc w:val="both"/>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 Adopted </w:t>
      </w:r>
    </w:p>
    <w:p>
      <w:pPr>
        <w:pStyle w:val="TextBody"/>
        <w:bidi w:val="0"/>
        <w:spacing w:before="0" w:after="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In July 2025, the FASB issued ASU No. 2025-05,</w:t>
      </w:r>
      <w:r>
        <w:rPr>
          <w:color w:val="000000"/>
        </w:rPr>
        <w:t xml:space="preserve">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update creates a practical expedient for estimating expected credit losses on current accounts receivable and current contract assets arising from transactions under ASC 606 by assuming that current conditions at the balance sheet date will remain unchanged over the life of the asset. For public business entities, the amendments in this update are effective for annual periods beginning after December 15, 2025, and interim periods within those annual reporting periods. The adoption of ASU No. 2025-05 did not have a material impact on the Company's consolidated financial statements or related disclosures.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 Not Yet Adopted </w:t>
      </w:r>
    </w:p>
    <w:p>
      <w:pPr>
        <w:pStyle w:val="TextBody"/>
        <w:bidi w:val="0"/>
        <w:spacing w:before="0" w:after="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update is to improve the disclosures of components of certain income statement expense items. For public business entities, the amendments in this update are effective for annual periods beginning after December 15, 2026, and interim periods beginning after December 15, 2027, with early adoption permitted. The Company is currently evaluating the impact that ASU No. 2024-03 will have on its consolidated financial statements or related disclosures.</w:t>
      </w:r>
    </w:p>
    <w:p>
      <w:pPr>
        <w:pStyle w:val="TextBody"/>
        <w:bidi w:val="0"/>
        <w:spacing w:before="0" w:after="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Internal-Use Software (Subtopic 350-40): Targeted Improvements to the Accounting for Internal-Use Software</w:t>
      </w:r>
      <w:r>
        <w:rPr>
          <w:rFonts w:ascii="Times New Roman;serif" w:hAnsi="Times New Roman;serif"/>
          <w:b w:val="false"/>
          <w:color w:val="000000"/>
          <w:sz w:val="20"/>
        </w:rPr>
        <w:t>. This update is to modernize the accounting for software costs that are accounted for under Subtopic 350-40, Intangibles-Goodwill and Other-Internal-Use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The adoption of ASU No. 2025-06 is not expected to have a material impact on the Company's consolidated financial statements or related disclosures.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333333"/>
          <w:sz w:val="20"/>
        </w:rPr>
      </w:pPr>
      <w:r>
        <w:rPr>
          <w:rFonts w:ascii="Times New Roman;serif" w:hAnsi="Times New Roman;serif"/>
          <w:b/>
          <w:color w:val="333333"/>
          <w:sz w:val="20"/>
        </w:rPr>
        <w:t xml:space="preserve">3.Revenue </w:t>
      </w:r>
    </w:p>
    <w:p>
      <w:pPr>
        <w:pStyle w:val="TextBody"/>
        <w:bidi w:val="0"/>
        <w:spacing w:before="0" w:after="0"/>
        <w:ind w:left="0" w:right="0" w:hanging="36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Disaggregated Revenue</w:t>
      </w:r>
    </w:p>
    <w:tbl>
      <w:tblPr>
        <w:tblW w:w="10205" w:type="dxa"/>
        <w:jc w:val="left"/>
        <w:tblInd w:w="0" w:type="dxa"/>
        <w:tblLayout w:type="fixed"/>
        <w:tblCellMar>
          <w:top w:w="28" w:type="dxa"/>
          <w:left w:w="28" w:type="dxa"/>
          <w:bottom w:w="28" w:type="dxa"/>
          <w:right w:w="28" w:type="dxa"/>
        </w:tblCellMar>
      </w:tblPr>
      <w:tblGrid>
        <w:gridCol w:w="1041"/>
        <w:gridCol w:w="902"/>
        <w:gridCol w:w="905"/>
        <w:gridCol w:w="307"/>
        <w:gridCol w:w="1053"/>
        <w:gridCol w:w="158"/>
        <w:gridCol w:w="158"/>
        <w:gridCol w:w="158"/>
        <w:gridCol w:w="158"/>
        <w:gridCol w:w="307"/>
        <w:gridCol w:w="1053"/>
        <w:gridCol w:w="158"/>
        <w:gridCol w:w="109"/>
        <w:gridCol w:w="109"/>
        <w:gridCol w:w="109"/>
        <w:gridCol w:w="278"/>
        <w:gridCol w:w="1090"/>
        <w:gridCol w:w="143"/>
        <w:gridCol w:w="143"/>
        <w:gridCol w:w="143"/>
        <w:gridCol w:w="143"/>
        <w:gridCol w:w="278"/>
        <w:gridCol w:w="1090"/>
        <w:gridCol w:w="212"/>
      </w:tblGrid>
      <w:tr>
        <w:tc>
          <w:tcPr>
            <w:tcW w:w="104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2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Wipes</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38,607 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109,428 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86,798 </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8"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Personal Care and Other</w:t>
            </w:r>
            <w:r>
              <w:rPr>
                <w:rFonts w:ascii="Times New Roman;serif" w:hAnsi="Times New Roman;serif"/>
                <w:b w:val="false"/>
                <w:color w:val="000000"/>
                <w:sz w:val="13"/>
              </w:rPr>
              <w:t>(1)</w:t>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62,528 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Diapers</w:t>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22,177 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58,223 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73,531 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8"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Honest.com, Apparel and Canada</w:t>
            </w:r>
            <w:r>
              <w:rPr>
                <w:rFonts w:ascii="Times New Roman;serif" w:hAnsi="Times New Roman;serif"/>
                <w:b w:val="false"/>
                <w:color w:val="000000"/>
                <w:sz w:val="13"/>
              </w:rPr>
              <w:t>(2)</w:t>
            </w:r>
            <w:r>
              <w:rPr>
                <w:color w:val="000000"/>
              </w:rPr>
              <w:t xml:space="preserve"> </w:t>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60,424 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84,613 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92,571 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246,015 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283,280 </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(1) Includes $1.5 million reduction to revenue related to write-off of uncommitted marketing and transportation credits for the nine months ended September 30, 2026. See below under "Non-Monetary Transactions" for additional information for the three and nine months ended September 30, 2026.</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(2) For the three and nine months ended September 30, 2026, represents revenue related to the partial liquidation of the Company's remaining apparel inventory. See below under "Licensing and Inventory Purchase Agreement" for additional information.</w:t>
      </w:r>
    </w:p>
    <w:p>
      <w:pPr>
        <w:pStyle w:val="TextBody"/>
        <w:bidi w:val="0"/>
        <w:spacing w:before="0" w:after="0"/>
        <w:jc w:val="both"/>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Retail and Third-Party Ecommerce</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obligation, the Company has the right to consideration as outlined in the contract. Payment terms vary among the retail and third-party ecommerce customers although terms generally include a requirement of payment within 30 to 45 days of product shipment.</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Direct-to-Consumer</w:t>
      </w:r>
    </w:p>
    <w:p>
      <w:pPr>
        <w:pStyle w:val="TextBody"/>
        <w:bidi w:val="0"/>
        <w:spacing w:before="0" w:after="0"/>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December 31, 2025, the Company no longer sells direct-to-consumer through the Company’s website. For direct sales to the consumer through the Company's website, Honest.com, the Company's performance obligation consisted of the sale of finished goods to the consumer. Consumers may have purchased products at any time or entered into subscription arrangements. Consumers placed orders online in accordance with the Company's standard terms and conditions and authorized payment when the order was placed. Credit cards were charged at the time of shipment and payments were typically processed within two to three business days. For subscription arrangements, consumers signed up to receive products on a periodic basis. Subscriptions were cancellable at any time without penalty, and no amounts were collected from the consumer until products were shipped. Revenue was recognized when transfer of control to the consumer took place, which is when the product was delivered to the carrier. Sales taxes collected from consumers were accounted for on a net basis and were excluded from revenue. The Company did not generate any revenue from Honest.com for three and nine months ended September 30, 2026. Revenue generated from Honest.com was 10% of the Company's total revenue during both the three and nine months ended September 30, 2025.</w:t>
      </w:r>
    </w:p>
    <w:p>
      <w:pPr>
        <w:pStyle w:val="TextBody"/>
        <w:bidi w:val="0"/>
        <w:spacing w:before="0" w:after="0"/>
        <w:ind w:left="0" w:right="0" w:firstLine="720"/>
        <w:jc w:val="both"/>
      </w:p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Non-Monetary Transactions</w:t>
      </w:r>
    </w:p>
    <w:p>
      <w:pPr>
        <w:pStyle w:val="TextBody"/>
        <w:bidi w:val="0"/>
        <w:spacing w:before="0" w:after="0"/>
        <w:jc w:val="both"/>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 the past entered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nine months ended September 30, 2026 and 2025, the Company did not enter into any new trade agreements.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made the decision to discontinue further utilization of the uncommitted marketing and transportation credits. As a result, during the three months ended June 30, 2026, the Company recorded a $1.5 million reduction to revenue in the condensed consolidated statements of comprehensive income and a corresponding write-off of $1.5 million of remaining uncommitted marketing and transportation credit assets, consisting of a $0.8 million reduction to prepaid expenses and other current assets and a $0.7 million reduction to other assets in the condensed consolidated balance sheets. As of September 30, 2026, there are no remaining marketing and transportation credits to be utilized. </w:t>
      </w:r>
    </w:p>
    <w:p>
      <w:pPr>
        <w:pStyle w:val="TextBody"/>
        <w:bidi w:val="0"/>
        <w:spacing w:before="0" w:after="0"/>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above, the Company did not recognize any revenue or associated cost of revenue related to these credits during the three and nine months ended September 30, 2026 and 2025. For the nine months ended September 30, 2026 and 2025, the Company recorded no impairment losses related to these credits and used an aggregate of $0.5 million and $0.6 million of credits, respectively. </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Licensing and Inventory Purchase Agreement</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2026, the Company entered into a License Agreement (the “License Agreement”) and an accompanying Inventory Purchase Agreement with O5-MD, LLC and O5 North ULC (collectively, the “Licensee”). The License Agreement grants the Licensee an exclusive license to manufacture, distribute, promote, and sell certain apparel, accessories, bath and bedding products, and footwear under "The Honest Company" and "Honest Baby" trademarks. The primary territory for the License Agreement covers the United States, Canada, and Mexico, as well as specified international club and off-price accounts. Under the License Agreement, the Company will earn royalty revenue on the Licensee's net sales. The initial term of the License Agreement expires on December 31, 2030. The Licensee holds the option to renew the agreement for two additional successive five-year terms, provided it complies with all material terms, meets required notice periods, among other requirements. For the three and nine months ended September 30, 2026, the Company did not recognize any royalty revenue with respect to the License Agreement.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License Agreement, the Licensee agreed to purchase the Company's remaining on-hand inventory of licensed apparel products for a total purchase price of $10.0 million, subject to certain adjustments for inventory deficiencies or missing certifications. The purchase price is payable in installments, with four 25% payments tied to the delivery timeline. For each of the three and nine months ended September 30, 2026, the Company recognized $5.3 million and $8.5 million, respectively, in revenue and cost of revenue from the partial liquidation of the remaining apparel inventory. The inventory was delivered to the Licensee at its carrying value, resulting in no gross profit. These transactions increased accounts receivable and decreased inventory by $8.8 million, as of September 30, 2026.</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Fair Value Measurements </w:t>
      </w:r>
    </w:p>
    <w:p>
      <w:pPr>
        <w:pStyle w:val="TextBody"/>
        <w:bidi w:val="0"/>
        <w:spacing w:before="0" w:after="0"/>
        <w:ind w:left="0" w:right="0" w:firstLine="720"/>
        <w:jc w:val="left"/>
      </w:p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measured and recorded at fair value on a recurring basis consist of the following as of:</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left"/>
      </w:pPr>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82,586 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for the Company’s cash equivalents, accounts receivable, accounts payable, and accrued expenses approximate fair value due to their short maturities.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5.     Credit Facilities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2026, the Company entered into a First Amendment to Credit Agreement and First Amendment to Pledge and Security Agreement (the “Amendment”) with JPMorgan Chase Bank, N.A. (“JPMorgan”), as administrative agent and lender, and the other lenders party thereto (together with JPMorgan, the “Lenders”), which amended the terms of the then existing first lien credit agreement (the “2023 Credit Facility”), extended the maturity date of the senior secured revolving credit facility (the “2026 Credit Facility”) and modified the borrowing formula and modified the interest rate.</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Credit Facility provides a revolving credit facility in an aggregate principal amount of up to $35.0 million (the “Commitment Amount”) and includes a sub-facility that provides for the issuance of letters of credit in an amount of up to $15.0 million at any time outstanding. If more than 50% of the Commitment Amount is outstanding, availability of the 2026 Credit Facility will be based upon a borrowing base formula and periodic borrowing base certifications valuing certain of the Company’s accounts receivable and inventory as reduced by certain reserves, if any. The 2026 Credit Facility includes an uncommitted accordion feature that allows for increases in the Commitment Amount to as much as an additional $35.0 million, for up to $70.0 million in potential revolving commitments. The 2026 Credit Facility is subject to customary fees for loan facilities of this type, including a commitment fee based on the average daily undrawn portion of the 2026 Credit Facility. The Company recognizes the commitment fee as incurred in interest and other income (expense), net in the condensed consolidated statements of comprehensive income. For the three and nine months ended September 30, 2026, the commitment fee incurred was immaterial. As of September 30, 2026, there was $1.2 million of outstanding letters of credit. As of September 30, 2026, there was no outstanding borrowing under the 2026 Credit Facility, but the letters of credit reduce the amount available under the 2026 Credit Facility on a dollar-for-dollar basis.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2026 Credit Facility will be, at the Company’s option, either (a) the Adjusted Term SOFR Rate (subject to a 0.00% floor), plus a margin ranging from 1.75% to 2.25% or (b) the CB floating rate, (i) plus a margin of 0.00% or 0.25% or (ii) minus a margin of 0.25%. The margin will be based upon the Company’s leverage ratio. The CB floating rate is the higher of (a) the Wall Street Journal prime rate and (b) 2.50%.</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Credit Facility will terminate and borrowings thereunder, if any, will be due in full on March 31, 2029. Debt under the 2026 Credit Facility will be guaranteed by substantially all of the Company’s material domestic subsidiaries and will be secured by substantially all of the Company’s and such subsidiaries’ assets.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certain affirmative and negative covenants including financial covenants related to a minimum total fixed charge coverage ratio and a maximum total leverage ratio, each calculated on a trailing four fiscal quarter basis at the end of each fiscal quarter. The 2026 Credit Facility also includes customary events of default. The 2026 Credit Facility contains covenants that restrict, among other things, the Company’s ability to sell assets, make investments and acquisitions, incur indebtedness, grant liens, change the Company’s lines of business, pay dividends and make certain other restricted payments, each subject to customary exceptions. Failure to do so, unless waived by the Lenders under the 2026 Credit Facility pursuant to its terms would result in an event of default under the 2026 Credit Facility. As of September 30, 2026, the Company is in compliance with all covenants under the 2026 Credit Facility.</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0" w:after="0"/>
        <w:jc w:val="left"/>
      </w:pPr>
      <w: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 xml:space="preserve">6.     Accrued Expenses </w:t>
      </w:r>
    </w:p>
    <w:p>
      <w:pPr>
        <w:pStyle w:val="TextBody"/>
        <w:bidi w:val="0"/>
        <w:spacing w:before="0" w:after="0"/>
        <w:ind w:left="0" w:right="0" w:firstLine="720"/>
        <w:jc w:val="both"/>
      </w:p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7090" w:type="dxa"/>
        <w:jc w:val="left"/>
        <w:tblInd w:w="0" w:type="dxa"/>
        <w:tblLayout w:type="fixed"/>
        <w:tblCellMar>
          <w:top w:w="28" w:type="dxa"/>
          <w:left w:w="28" w:type="dxa"/>
          <w:bottom w:w="28" w:type="dxa"/>
          <w:right w:w="28" w:type="dxa"/>
        </w:tblCellMar>
      </w:tblPr>
      <w:tblGrid>
        <w:gridCol w:w="1167"/>
        <w:gridCol w:w="1027"/>
        <w:gridCol w:w="1030"/>
        <w:gridCol w:w="358"/>
        <w:gridCol w:w="1226"/>
        <w:gridCol w:w="185"/>
        <w:gridCol w:w="109"/>
        <w:gridCol w:w="109"/>
        <w:gridCol w:w="109"/>
        <w:gridCol w:w="344"/>
        <w:gridCol w:w="1175"/>
        <w:gridCol w:w="251"/>
      </w:tblGrid>
      <w:t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Payroll and payroll related expenses</w:t>
            </w:r>
            <w:r>
              <w:rPr>
                <w:rFonts w:ascii="Times New Roman;serif" w:hAnsi="Times New Roman;serif"/>
                <w:b w:val="false"/>
                <w:color w:val="000000"/>
                <w:sz w:val="13"/>
              </w:rPr>
              <w:t>(1)</w:t>
            </w:r>
          </w:p>
        </w:tc>
        <w:tc>
          <w:tcPr>
            <w:tcW w:w="3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 purchases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Accrued rent</w:t>
            </w:r>
            <w:r>
              <w:rPr>
                <w:rFonts w:ascii="Times New Roman;serif" w:hAnsi="Times New Roman;serif"/>
                <w:b w:val="false"/>
                <w:color w:val="000000"/>
                <w:sz w:val="13"/>
              </w:rPr>
              <w:t>(2)</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Accrued restructuring</w:t>
            </w:r>
            <w:r>
              <w:rPr>
                <w:rFonts w:ascii="Times New Roman;serif" w:hAnsi="Times New Roman;serif"/>
                <w:b w:val="false"/>
                <w:color w:val="000000"/>
                <w:sz w:val="13"/>
              </w:rPr>
              <w:t>(3)</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32,010 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35,685 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jc w:val="both"/>
      </w:pPr>
      <w:r/>
    </w:p>
    <w:p>
      <w:pPr>
        <w:pStyle w:val="TextBody"/>
        <w:bidi w:val="0"/>
        <w:spacing w:lineRule="auto" w:line="276" w:before="0" w:after="0"/>
        <w:jc w:val="left"/>
        <w:rPr>
          <w:rFonts w:ascii="Times New Roman;serif" w:hAnsi="Times New Roman;serif"/>
          <w:b w:val="false"/>
          <w:color w:val="000000"/>
          <w:sz w:val="12"/>
        </w:rPr>
      </w:pPr>
      <w:r>
        <w:rPr>
          <w:rFonts w:ascii="Times New Roman;serif" w:hAnsi="Times New Roman;serif"/>
          <w:b w:val="false"/>
          <w:color w:val="000000"/>
          <w:sz w:val="12"/>
        </w:rPr>
        <w:t xml:space="preserve">(1) Includes $0.2 million of executive transition related expenses as of December 31, 2025. </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(2) Represents short-term operating lease liabilities. Refer to Note 11, "Leases" included in these condensed consolidated financial statements for more information on leases.</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(3) Refer to Note 12, "Restructuring" included in these condensed consolidated financial statements for more information on the Company's restructuring.</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pPr>
      <w:r>
        <w:rPr>
          <w:rFonts w:ascii="Times New Roman;serif" w:hAnsi="Times New Roman;serif"/>
          <w:b/>
          <w:color w:val="000000"/>
          <w:sz w:val="20"/>
        </w:rPr>
        <w:t>7.    Commitments and Contingencies</w:t>
      </w:r>
      <w:r>
        <w:rPr>
          <w:color w:val="000000"/>
        </w:rPr>
        <w:t xml:space="preserve"> </w:t>
      </w:r>
    </w:p>
    <w:p>
      <w:pPr>
        <w:pStyle w:val="TextBody"/>
        <w:bidi w:val="0"/>
        <w:spacing w:before="0" w:after="0"/>
        <w:jc w:val="both"/>
      </w:p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Litigation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condensed consolidated financial statements.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complaint was filed by Hayato Ono derivatively on behalf of the Company on November 29, 2021, in the U.S. District Court for the Central District of California (“Central District of California”), alleging breach of fiduciary duties, unjust enrichment, waste, gross mismanagement, and federal securities law violations by the Company’s directors and certain officers (the “Ono Action”). On December 17, 2021, a second derivative complaint containing similar allegations against the Company’s directors and certain officers was filed by Mike Wang in the Central District of California and consolidated with the Ono Action (together, the “California Federal Derivative Action”). A third derivative complaint was filed by Leah Bisch and Raluca Corobana in California Superior Court for the County of Los Angeles on January 3, 2022 (the “California State Derivative Action”), with similar allegations. A fourth derivative complaint was filed by David Butler in the U.S. District Court for the District of Delaware (the “District of Delaware Action”) on October 19, 2022, with similar allegations. Each of these federal and state court derivative cases have been stayed. On December 18, 2025, the parties to all derivative cases reached an agreement in principle to settle the matters. On March 26, 2026, a motion for preliminary approval of the settlement was filed in the California Federal Derivative Action. A hearing on the motion for preliminary approval was held on April 29, 2026 and the final approval hearing was held on July 13, 2026. The settlement received final approval from the Central District of California on July 13, 2026. The Company recorded the settlement amount of $1.2 million within accrued expenses and a corresponding insurance recovery of $1.2 million within prepaids and other current assets related to the legal settlement on the consolidated balance sheet as of June 30, 2026, and December 31, 2025. The determination that the recorded insurance recovery receivable was probable of collection was based on the terms of the applicable insurance policies, settlement agreement, and communications with the insurers. Pursuant to the final approval of settlement in the California Federal Derivative Action, on July 17, 2026, the parties in the District of Delaware Action filed a stipulation to voluntarily dismiss the action with prejudice, which the court granted on July 20, 2026. On July 28, 2026, the parties in the California State Derivative Action filed a stipulation to voluntarily dismiss the action with prejudice. On July 30, 2026, the court granted the stipulation and entered a final order approving the settlement and judgment thereby resolving the California State Derivative Action. The settlement was fully funded by the insurance carriers into plaintiff’s escrow in July 2026.</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2025, the Company filed a complaint in the Central District of California alleging that Butterblu, LLC (“Butterblu”) breached the supplier services agreement, as amended, that the Company and Butterblu had entered into as of August 15, 2022 (the "Supplier Services Agreement") pursuant to which Butterblu provides certain design, manufacturing, sales and marketing services to the Company in connection with the Company's apparel products. The Company voluntarily dismissed the complaint on November 21, 2025 related to a temporary extension of the Supplier Services Agreement. Following the conclusion of the temporary extension of the Supplier Services Agreement in December 2025, the Company filed an updated complaint on January 2, 2026 (the "Federal Court Action"). The Company has requested monetary damages and declaratory relief as determined by the Central District of California. On February 11, 2026, Butterblu filed a complaint against the Company in the California Superior Court for the County of Los Angeles alleging breach of contract, breach of implied contract, breach of implied covenant of good faith and fair dealing, quantum meruit, promissory estoppel, intentional interference with contract,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intentional interference with prospective economic relations related to the parties' obligations under the Supplier Services Agreement. On May 8, 2026, Butterblu filed a motion to dismiss the Federal Court Action. On July 29, 2026, the Central District of California granted in part and denied in part Butterblu's motion to dismiss the Federal Court Action. On September 18, 2026, Butterblu filed a counterclaim in the Federal Court Action alleging breach of contract, breach of implied contract, breach of implied covenant of good faith and fair dealing, quantum meruit, promissory estoppel, intentional interference with contract, intentional interference with prospective economic relations, trade libel, conversion, unjust enrichment, and misappropriation of trade secrets related to the parties' obligations under the Supplier Services Agreement. On October 16, 2026, the Company filed a motion to dismiss Butterblu's counterclaim. These matters are in the preliminary stages of litigation with uncertain outcomes at this time. Therefore, the Company cannot estimate the probability of gain or loss, or make an estimate of the gain or loss or range of gain or loss in these matters.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29, 2026, Kenya Winston filed a putative class action complaint in the U.S. District Court for the Northern District of California alleging breach of express warranty, violations of California’s Unfair Competition Law, False Advertising Law, and Consumers Legal Remedies Act, in each case related to hypoallergenic claims on certain of the Company’s personal care products and seeking declaratory relief, injunctive relief, equitable relief, monetary damages, punitive damages and statutory penalties, and attorneys’ fees and costs. This matter is in the preliminary stages of litigation with uncertain outcomes at this time. Therefore, the Company cannot estimate the probability of gain or loss, or make an estimate of the gain or loss or range of gain or loss in this matter.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the Company was not subject to any other currently pending legal matters or claims that based on its current evaluation are expected to have a material adverse effect on its financial position, results of operations, or cash flows should such matters be resolved unfavorably.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Tariffs</w:t>
      </w:r>
    </w:p>
    <w:p>
      <w:pPr>
        <w:pStyle w:val="TextBody"/>
        <w:bidi w:val="0"/>
        <w:spacing w:before="0" w:after="0"/>
        <w:jc w:val="left"/>
      </w:pPr>
      <w:r/>
    </w:p>
    <w:p>
      <w:pPr>
        <w:pStyle w:val="TextBody"/>
        <w:bidi w:val="0"/>
        <w:spacing w:lineRule="auto" w:line="288" w:before="0" w:after="0"/>
        <w:ind w:left="0" w:right="0" w:firstLine="720"/>
        <w:jc w:val="left"/>
      </w:pPr>
      <w:r>
        <w:rPr>
          <w:rFonts w:ascii="Times New Roman;serif" w:hAnsi="Times New Roman;serif"/>
          <w:b w:val="false"/>
          <w:color w:val="000000"/>
          <w:sz w:val="20"/>
        </w:rPr>
        <w:t>Following the February 2026 U.S. Supreme Court ruling that invalidated specific tariffs under the International Emergency Economic Powers Act (“IEEPA”), the Company is evaluating its eligibility for refunds of previously paid import duties. Beginning in April 2026, the Company began filing refund claims with U.S. Customs and Border Protection related to eligible IEEPA tariff payments made. During the nine months ended September 30, 2026, the Company received IEEPA tariff refunds totaling $11.9 million, which were recognized as a $6.6 million</w:t>
      </w:r>
      <w:r>
        <w:rPr>
          <w:color w:val="000000"/>
        </w:rPr>
        <w:t xml:space="preserve"> </w:t>
      </w:r>
      <w:r>
        <w:rPr>
          <w:rFonts w:ascii="Times New Roman;serif" w:hAnsi="Times New Roman;serif"/>
          <w:b w:val="false"/>
          <w:color w:val="000000"/>
          <w:sz w:val="20"/>
        </w:rPr>
        <w:t xml:space="preserve">reduction in cost of revenue and a $0.5 million increase in interest income on the condensed consolidated statements of comprehensive income, and as a $0.6 million reduction in inventory on the condensed consolidated balance sheets. During the three months ended September 30, 2026, the Company paid $4.2 million in tariff refund obligations to a third-party manufacturer, resulting in a corresponding reduction in cash and the related liability. The Company does not anticipate any further tariff refund obligations to third-party manufacturers. Due to the inherent uncertainty surrounding the timing and recoverability of additional refunds, no receivable or corresponding offset to expense or asset was recognized for future refunds as of September 30, 2026.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Indemnifications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September 30, 2026 and December 31, 2025,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w:t>
      </w:r>
    </w:p>
    <w:p>
      <w:pPr>
        <w:pStyle w:val="TextBody"/>
        <w:bidi w:val="0"/>
        <w:spacing w:before="0" w:after="0"/>
        <w:jc w:val="left"/>
      </w:pPr>
      <w:r/>
    </w:p>
    <w:tbl>
      <w:tblPr>
        <w:tblW w:w="8109" w:type="dxa"/>
        <w:jc w:val="left"/>
        <w:tblInd w:w="0" w:type="dxa"/>
        <w:tblLayout w:type="fixed"/>
        <w:tblCellMar>
          <w:top w:w="28" w:type="dxa"/>
          <w:left w:w="28" w:type="dxa"/>
          <w:bottom w:w="28" w:type="dxa"/>
          <w:right w:w="28" w:type="dxa"/>
        </w:tblCellMar>
      </w:tblPr>
      <w:tblGrid>
        <w:gridCol w:w="1113"/>
        <w:gridCol w:w="978"/>
        <w:gridCol w:w="983"/>
        <w:gridCol w:w="569"/>
        <w:gridCol w:w="569"/>
        <w:gridCol w:w="571"/>
        <w:gridCol w:w="109"/>
        <w:gridCol w:w="109"/>
        <w:gridCol w:w="109"/>
        <w:gridCol w:w="721"/>
        <w:gridCol w:w="1748"/>
        <w:gridCol w:w="530"/>
      </w:tblGrid>
      <w:t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4,252,490 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(1,527,406)</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(95,917)</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September 30, 2026</w:t>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2,629,167 </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Equity Incentive Plan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board of directors adopted the Company’s 2021 Equity Incentive Plan (the “2021 Plan”). The 2021 Plan provides for grants of incentive stock options (“ISOs”) within the meaning of Section 422 of the Internal Revenue Code of 1986, as amended (the “Code”), to the Company’s employees and its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2026, 4,498,671 additional shares were reserved for issuance pursuant to this provision. The maximum number of shares of the Company’s common stock that may be issued on the exercise of ISOs under its 2021 Plan is 75,100,000 shares. </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 Stock Units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20, 2026, the Company granted performance stock units (“PSUs”) to the Chief Executive Officer under the 2021 Plan. The PSUs vest over a four-year performance period based on the Company's achievement of specified stock price performance hurdles and the Chief Executive Officer's continued service over such period. The number of shares that can be earned ranges from 0% to 200% of the 362,068 target PSUs granted, or a maximum of 724,136 shares. The grant date fair value of the PSUs was approximately $3.1 million and is recognized as stock-based compensation expense over the requisite service period, regardless of whether the stock price performance hurdles are achieved.</w:t>
      </w:r>
    </w:p>
    <w:p>
      <w:pPr>
        <w:pStyle w:val="TextBody"/>
        <w:bidi w:val="0"/>
        <w:spacing w:before="0" w:after="0"/>
        <w:ind w:left="0" w:right="0" w:firstLine="720"/>
        <w:jc w:val="left"/>
      </w:pPr>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2023 Inducement Plan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2023, the Company's Compensation Committee adopted the 2023 Inducement Plan (the “2023 Inducement Plan”). The 2023 Inducement Plan reserved 4,000,000 shares of the Company’s common stock for issuance under the 2023 Inducement Plan to individuals who satisfy the standards for inducement grants under the relevant Nasdaq Stock Market rules. As of September 30, 2026, there were 738,806 shares available for future grant under the 2023 Inducement Plan.</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and PSU activity under the 2021 Equity Incentive Plan and the 2023 Inducement Plan:</w:t>
      </w:r>
    </w:p>
    <w:tbl>
      <w:tblPr>
        <w:tblW w:w="10205" w:type="dxa"/>
        <w:jc w:val="left"/>
        <w:tblInd w:w="0" w:type="dxa"/>
        <w:tblLayout w:type="fixed"/>
        <w:tblCellMar>
          <w:top w:w="28" w:type="dxa"/>
          <w:left w:w="28" w:type="dxa"/>
          <w:bottom w:w="28" w:type="dxa"/>
          <w:right w:w="28" w:type="dxa"/>
        </w:tblCellMar>
      </w:tblPr>
      <w:tblGrid>
        <w:gridCol w:w="841"/>
        <w:gridCol w:w="600"/>
        <w:gridCol w:w="603"/>
        <w:gridCol w:w="549"/>
        <w:gridCol w:w="549"/>
        <w:gridCol w:w="551"/>
        <w:gridCol w:w="133"/>
        <w:gridCol w:w="133"/>
        <w:gridCol w:w="133"/>
        <w:gridCol w:w="771"/>
        <w:gridCol w:w="572"/>
        <w:gridCol w:w="574"/>
        <w:gridCol w:w="109"/>
        <w:gridCol w:w="109"/>
        <w:gridCol w:w="109"/>
        <w:gridCol w:w="502"/>
        <w:gridCol w:w="978"/>
        <w:gridCol w:w="170"/>
        <w:gridCol w:w="154"/>
        <w:gridCol w:w="154"/>
        <w:gridCol w:w="154"/>
        <w:gridCol w:w="523"/>
        <w:gridCol w:w="941"/>
        <w:gridCol w:w="293"/>
      </w:tblGrid>
      <w:tr>
        <w:tc>
          <w:tcPr>
            <w:tcW w:w="84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Directors, Officers and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Directors, Officers and Employees</w:t>
            </w:r>
          </w:p>
        </w:tc>
      </w:tr>
      <w:t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at December 31, 2025</w:t>
            </w:r>
          </w:p>
        </w:tc>
        <w:tc>
          <w:tcPr>
            <w:tcW w:w="10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418,924 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5,266,468 </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c>
          <w:tcPr>
            <w:tcW w:w="2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447,917 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6,901,685 </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(390,133)</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(1,919,983)</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(1,080,643)</w:t>
            </w:r>
          </w:p>
        </w:tc>
        <w:tc>
          <w:tcPr>
            <w:tcW w:w="5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color w:val="000000"/>
                <w:sz w:val="20"/>
              </w:rPr>
              <w:t xml:space="preserve">Unvested at </w:t>
            </w:r>
            <w:r>
              <w:rPr>
                <w:rFonts w:ascii="Times New Roman;serif" w:hAnsi="Times New Roman;serif"/>
                <w:b/>
                <w:color w:val="000000"/>
                <w:sz w:val="22"/>
              </w:rPr>
              <w:t>September 30, 2026</w:t>
            </w:r>
          </w:p>
        </w:tc>
        <w:tc>
          <w:tcPr>
            <w:tcW w:w="10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476,708 </w:t>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9,167,527 </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was $30.7 million of unrecognized stock-based compensation expense related to unvested RSUs and PSUs, which is expected to be recognized over a weighted-average period of 2.7 years.</w:t>
      </w:r>
    </w:p>
    <w:p>
      <w:pPr>
        <w:pStyle w:val="TextBody"/>
        <w:bidi w:val="0"/>
        <w:spacing w:before="0" w:after="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Employee Stock Purchase Plan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board of directors adopted the Company’s 2021 Employee Stock Purchase Plan (the “2021 ESPP”). The Company initially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2026, 1,124,667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nine months ended September 30, 2026, 47,524 shares were purchased under the 2021 ESPP. As of September 30, 2026, the Company had 5,735,492 remaining authorized shares available for purchase.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input assumptions used in the Black-Scholes option-pricing model to estimate the grant-date fair value of the 2021 ESPP:</w:t>
      </w:r>
    </w:p>
    <w:tbl>
      <w:tblPr>
        <w:tblW w:w="4897" w:type="dxa"/>
        <w:jc w:val="left"/>
        <w:tblInd w:w="0" w:type="dxa"/>
        <w:tblLayout w:type="fixed"/>
        <w:tblCellMar>
          <w:top w:w="28" w:type="dxa"/>
          <w:left w:w="28" w:type="dxa"/>
          <w:bottom w:w="28" w:type="dxa"/>
          <w:right w:w="28" w:type="dxa"/>
        </w:tblCellMar>
      </w:tblPr>
      <w:tblGrid>
        <w:gridCol w:w="1038"/>
        <w:gridCol w:w="912"/>
        <w:gridCol w:w="915"/>
        <w:gridCol w:w="589"/>
        <w:gridCol w:w="589"/>
        <w:gridCol w:w="591"/>
        <w:gridCol w:w="109"/>
        <w:gridCol w:w="154"/>
      </w:tblGrid>
      <w:t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263" w:type="dxa"/>
            <w:gridSpan w:val="2"/>
            <w:tcBorders/>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of options (in years)</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56.53%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Grant-date fair value per share </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before="0" w:after="0"/>
        <w:jc w:val="left"/>
      </w:pPr>
      <w:r/>
    </w:p>
    <w:p>
      <w:pPr>
        <w:pStyle w:val="TextBody"/>
        <w:bidi w:val="0"/>
        <w:spacing w:lineRule="auto" w:line="268" w:before="0" w:after="0"/>
        <w:ind w:left="0" w:right="0" w:firstLine="720"/>
        <w:jc w:val="left"/>
      </w:pPr>
      <w:r>
        <w:rPr>
          <w:rFonts w:ascii="Times New Roman;serif" w:hAnsi="Times New Roman;serif"/>
          <w:b w:val="false"/>
          <w:color w:val="231F20"/>
          <w:sz w:val="20"/>
        </w:rPr>
        <w:t xml:space="preserve">On February 20, 2026, the Company’s Board of Directors approved the Company’s first share repurchase program for up to </w:t>
      </w:r>
      <w:r>
        <w:rPr>
          <w:rFonts w:ascii="Times New Roman;serif" w:hAnsi="Times New Roman;serif"/>
          <w:b w:val="false"/>
          <w:color w:val="000000"/>
          <w:sz w:val="20"/>
        </w:rPr>
        <w:t>$25 million</w:t>
      </w:r>
      <w:r>
        <w:rPr>
          <w:color w:val="231F20"/>
        </w:rPr>
        <w:t xml:space="preserve"> </w:t>
      </w:r>
      <w:r>
        <w:rPr>
          <w:rFonts w:ascii="Times New Roman;serif" w:hAnsi="Times New Roman;serif"/>
          <w:b w:val="false"/>
          <w:color w:val="231F20"/>
          <w:sz w:val="20"/>
        </w:rPr>
        <w:t>of its outstanding common stock. As of August 6, 2026, the Company had completed the program. Under the program, share repurchases were made at the Company’s discretion from time to time in open market or privately negotiated transactions, or by other means, including through Rule 10b5-1 trading plans. The timing and number of shares repurchased under the new program depended on a variety of factors, including, without limitation, stock price, trading volume, and general business and market conditions. The repurchase program did not obligate the Company to purchase any shares, had no expiration date and could be modified, suspended or terminated at any time. The Company funded repurchases with a combination of existing cash and cash equivalents and cash flows from operations. The Company repurchased approximately 7.2 million</w:t>
      </w:r>
      <w:r>
        <w:rPr>
          <w:color w:val="000000"/>
        </w:rPr>
        <w:t xml:space="preserve"> </w:t>
      </w:r>
      <w:r>
        <w:rPr>
          <w:rFonts w:ascii="Times New Roman;serif" w:hAnsi="Times New Roman;serif"/>
          <w:b w:val="false"/>
          <w:color w:val="231F20"/>
          <w:sz w:val="20"/>
        </w:rPr>
        <w:t xml:space="preserve">shares of common stock, at a weighted average share price of </w:t>
      </w:r>
      <w:r>
        <w:rPr>
          <w:rFonts w:ascii="Times New Roman;serif" w:hAnsi="Times New Roman;serif"/>
          <w:b w:val="false"/>
          <w:color w:val="000000"/>
          <w:sz w:val="20"/>
        </w:rPr>
        <w:t>$3.47</w:t>
      </w:r>
      <w:r>
        <w:rPr>
          <w:color w:val="231F20"/>
        </w:rPr>
        <w:t xml:space="preserve"> </w:t>
      </w:r>
      <w:r>
        <w:rPr>
          <w:rFonts w:ascii="Times New Roman;serif" w:hAnsi="Times New Roman;serif"/>
          <w:b w:val="false"/>
          <w:color w:val="231F20"/>
          <w:sz w:val="20"/>
        </w:rPr>
        <w:t xml:space="preserve">per share, for an aggregate amount equal to the </w:t>
      </w:r>
      <w:r>
        <w:rPr>
          <w:rFonts w:ascii="Times New Roman;serif" w:hAnsi="Times New Roman;serif"/>
          <w:b w:val="false"/>
          <w:color w:val="000000"/>
          <w:sz w:val="20"/>
        </w:rPr>
        <w:t>$25.0 million limit</w:t>
      </w:r>
      <w:r>
        <w:rPr>
          <w:rFonts w:ascii="Times New Roman;serif" w:hAnsi="Times New Roman;serif"/>
          <w:b w:val="false"/>
          <w:color w:val="231F20"/>
          <w:sz w:val="20"/>
        </w:rPr>
        <w:t xml:space="preserve">, during the </w:t>
      </w:r>
      <w:r>
        <w:rPr>
          <w:rFonts w:ascii="Times New Roman;serif" w:hAnsi="Times New Roman;serif"/>
          <w:b w:val="false"/>
          <w:color w:val="000000"/>
          <w:sz w:val="20"/>
        </w:rPr>
        <w:t>nine months ended September 30, 2026</w:t>
      </w:r>
      <w:r>
        <w:rPr>
          <w:rFonts w:ascii="Times New Roman;serif" w:hAnsi="Times New Roman;serif"/>
          <w:b w:val="false"/>
          <w:color w:val="231F20"/>
          <w:sz w:val="20"/>
        </w:rPr>
        <w:t xml:space="preserve">. Refer to Note 13, "Subsequent Events" included in these condensed consolidated financial statements for information on the announcement of a new </w:t>
      </w:r>
      <w:r>
        <w:rPr>
          <w:rFonts w:ascii="Times New Roman;serif" w:hAnsi="Times New Roman;serif"/>
          <w:b w:val="false"/>
          <w:color w:val="000000"/>
          <w:sz w:val="20"/>
        </w:rPr>
        <w:t>$30.0 million</w:t>
      </w:r>
      <w:r>
        <w:rPr>
          <w:color w:val="231F20"/>
        </w:rPr>
        <w:t xml:space="preserve"> </w:t>
      </w:r>
      <w:r>
        <w:rPr>
          <w:rFonts w:ascii="Times New Roman;serif" w:hAnsi="Times New Roman;serif"/>
          <w:b w:val="false"/>
          <w:color w:val="231F20"/>
          <w:sz w:val="20"/>
        </w:rPr>
        <w:t>share repurchase program.</w:t>
      </w:r>
    </w:p>
    <w:p>
      <w:pPr>
        <w:pStyle w:val="TextBody"/>
        <w:bidi w:val="0"/>
        <w:spacing w:before="0" w:after="0"/>
        <w:ind w:left="0" w:right="0" w:firstLine="720"/>
        <w:jc w:val="left"/>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before="0" w:after="0"/>
        <w:jc w:val="both"/>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RSU and PSU awards under the 2021 Equity Incentive Plan and the 2023 Inducement Plan, 2021 ESPP purchases and stock options, as applicable, are as follows: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118"/>
        <w:gridCol w:w="984"/>
        <w:gridCol w:w="988"/>
        <w:gridCol w:w="326"/>
        <w:gridCol w:w="953"/>
        <w:gridCol w:w="168"/>
        <w:gridCol w:w="168"/>
        <w:gridCol w:w="168"/>
        <w:gridCol w:w="168"/>
        <w:gridCol w:w="326"/>
        <w:gridCol w:w="953"/>
        <w:gridCol w:w="168"/>
        <w:gridCol w:w="109"/>
        <w:gridCol w:w="109"/>
        <w:gridCol w:w="109"/>
        <w:gridCol w:w="318"/>
        <w:gridCol w:w="929"/>
        <w:gridCol w:w="164"/>
        <w:gridCol w:w="164"/>
        <w:gridCol w:w="164"/>
        <w:gridCol w:w="164"/>
        <w:gridCol w:w="318"/>
        <w:gridCol w:w="929"/>
        <w:gridCol w:w="240"/>
      </w:tblGrid>
      <w:t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9.     Net Income (Loss) per Share Attributable to Common Stockholders</w:t>
      </w:r>
    </w:p>
    <w:p>
      <w:pPr>
        <w:pStyle w:val="TextBody"/>
        <w:bidi w:val="0"/>
        <w:spacing w:before="0" w:after="0"/>
        <w:ind w:left="0" w:right="0" w:hanging="470"/>
        <w:jc w:val="left"/>
      </w:p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(loss) per share under a two-class method where income is reallocated between common stock,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0" w:after="0"/>
        <w:jc w:val="left"/>
      </w:p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potential common stock and participating securities, if any.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income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273"/>
        <w:gridCol w:w="1014"/>
        <w:gridCol w:w="1020"/>
        <w:gridCol w:w="349"/>
        <w:gridCol w:w="1017"/>
        <w:gridCol w:w="144"/>
        <w:gridCol w:w="144"/>
        <w:gridCol w:w="144"/>
        <w:gridCol w:w="144"/>
        <w:gridCol w:w="349"/>
        <w:gridCol w:w="842"/>
        <w:gridCol w:w="144"/>
        <w:gridCol w:w="109"/>
        <w:gridCol w:w="109"/>
        <w:gridCol w:w="109"/>
        <w:gridCol w:w="310"/>
        <w:gridCol w:w="1047"/>
        <w:gridCol w:w="134"/>
        <w:gridCol w:w="134"/>
        <w:gridCol w:w="134"/>
        <w:gridCol w:w="134"/>
        <w:gridCol w:w="310"/>
        <w:gridCol w:w="891"/>
        <w:gridCol w:w="200"/>
      </w:tblGrid>
      <w:tr>
        <w:tc>
          <w:tcPr>
            <w:tcW w:w="127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share and per share values)</w:t>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 basic </w:t>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101,964 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 diluted</w:t>
            </w:r>
          </w:p>
        </w:tc>
        <w:tc>
          <w:tcPr>
            <w:tcW w:w="34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4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4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101,964 </w:t>
            </w:r>
          </w:p>
        </w:tc>
        <w:tc>
          <w:tcPr>
            <w:tcW w:w="13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0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of common stock outstanding — basic </w:t>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108,820,109 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111,839,451 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110,776,950 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110,802,832 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2021 ESPP</w:t>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 effect of dilutive RSUs </w:t>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3,640,657 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1,870,457 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2,266,651 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3,215,974 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stock options</w:t>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97,171 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112,478,599 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113,709,908 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113,052,167 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114,115,977 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shareholders:</w:t>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4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4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3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0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shares were excluded from the computation of diluted net income per share because including them would have been antidilutive: </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951"/>
        <w:gridCol w:w="805"/>
        <w:gridCol w:w="808"/>
        <w:gridCol w:w="714"/>
        <w:gridCol w:w="352"/>
        <w:gridCol w:w="299"/>
        <w:gridCol w:w="299"/>
        <w:gridCol w:w="299"/>
        <w:gridCol w:w="299"/>
        <w:gridCol w:w="710"/>
        <w:gridCol w:w="354"/>
        <w:gridCol w:w="317"/>
        <w:gridCol w:w="109"/>
        <w:gridCol w:w="109"/>
        <w:gridCol w:w="109"/>
        <w:gridCol w:w="714"/>
        <w:gridCol w:w="339"/>
        <w:gridCol w:w="285"/>
        <w:gridCol w:w="285"/>
        <w:gridCol w:w="285"/>
        <w:gridCol w:w="285"/>
        <w:gridCol w:w="710"/>
        <w:gridCol w:w="340"/>
        <w:gridCol w:w="428"/>
      </w:tblGrid>
      <w:tr>
        <w:tc>
          <w:tcPr>
            <w:tcW w:w="9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6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3,374,873 </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3,557,343 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3,953,943 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2,430,453 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and PSUs</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983,993 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2,599,830 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2,365,091 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1,127,705 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26,681 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23,663 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4,358,866 </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6,183,854 </w:t>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6,344,220 </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3,581,821 </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quarterly provisions for income taxes, the Company uses the annual estimated effective tax rate applied to the actual year-to-date income or loss, adjusted for discrete items arising in that quarter. The Company’s annual estimated effective tax rate of 1.15% differs from the U.S. federal statutory rate of 21% primarily as a result of the change in the valuation allowance, nondeductible executive compensation, state taxes and other permanent differences.</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maintained a full valuation allowance on its deferred tax assets of $97.2 million. As of September 30, 2026, the Company concluded that it was appropriate to release substantially all of the valuation allowance against the deferred tax assets based on the conclusion that it is more likely than not that substantially all of deferred tax assets will be realized. Based on sustained profitability, including generating three-year cumulative income before taxes, adjusted for permanent differences, and the projections of future taxable income sufficient to utilize substantially all of the Company's federal and state net operating losses, the positive evidence supporting the release of substantially all of the valuation allowance outweighed the negative evidence supporting a full valuation allowance. During the three months ended September 30, 2026, the Company recognized a discrete income tax benefit of $89.4 million, primarily related to the release of substantially all of the Company's valuation allowance. The portion of the valuation allowance release attributable to 2026 income is recognized through the annual estimated effective tax rate. As of September 30, 2026, the Company maintains a valuation allowance of $4.0 million related to state net operating losses that are expected to expire prior to realization.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2026, the Company recognized income tax benefits of $89.4 million and $89.3 million, respectively, substantially all of which represented deferred income tax benefits related to the release of substantially of the valuation allowance.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the Company has not recorded any uncertain tax positions and has not recognized interest or penalties in the condensed consolidated statements of comprehensive income.</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less than one to less than five years.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14, 2026, the Company entered into a corporate office lease agreement (the “Lease”) which will commence on the later of (i) March 1, 2027, and (ii) the date of “substantial completion” of the “tenant improvements” (each as defined in the Lease) (the “Contractual Lease Commencement Date”). As of September 30, 2026, the Company has not reached the lease commencement date under ASC 842, which could be earlier than the Contractual Lease Commencement Date. The initial term of the Lease is ten years from the Contractual Lease Commencement Date (the “Initial Term”) with one five-year renewal option. The Company will receive a ten-month rent abatement applied to the first ten months of the third lease year. During the Initial Term, the total base rent over the Initial Term, net of rent abatement, is expected to be approximately $30.7 million. In addition to base rent, the Company will be required to pay certain additional amounts for taxes, insurance, maintenance and other operating expenses. The Landlord will provide the Company with a one-time tenant improvement allowance totaling approximately $6.9 million. To secure its obligations under the Lease, the Company was required to provide to the Landlord an irrevocable $1.2 million letter of credit. </w:t>
      </w:r>
    </w:p>
    <w:p>
      <w:pPr>
        <w:pStyle w:val="TextBody"/>
        <w:bidi w:val="0"/>
        <w:spacing w:before="0" w:after="0"/>
        <w:ind w:left="0" w:right="0" w:firstLine="720"/>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9829" w:type="dxa"/>
        <w:jc w:val="left"/>
        <w:tblInd w:w="0" w:type="dxa"/>
        <w:tblLayout w:type="fixed"/>
        <w:tblCellMar>
          <w:top w:w="28" w:type="dxa"/>
          <w:left w:w="28" w:type="dxa"/>
          <w:bottom w:w="28" w:type="dxa"/>
          <w:right w:w="28" w:type="dxa"/>
        </w:tblCellMar>
      </w:tblPr>
      <w:tblGrid>
        <w:gridCol w:w="814"/>
        <w:gridCol w:w="716"/>
        <w:gridCol w:w="720"/>
        <w:gridCol w:w="349"/>
        <w:gridCol w:w="1021"/>
        <w:gridCol w:w="180"/>
        <w:gridCol w:w="180"/>
        <w:gridCol w:w="180"/>
        <w:gridCol w:w="180"/>
        <w:gridCol w:w="349"/>
        <w:gridCol w:w="1021"/>
        <w:gridCol w:w="180"/>
        <w:gridCol w:w="109"/>
        <w:gridCol w:w="109"/>
        <w:gridCol w:w="109"/>
        <w:gridCol w:w="340"/>
        <w:gridCol w:w="992"/>
        <w:gridCol w:w="175"/>
        <w:gridCol w:w="175"/>
        <w:gridCol w:w="175"/>
        <w:gridCol w:w="175"/>
        <w:gridCol w:w="340"/>
        <w:gridCol w:w="992"/>
        <w:gridCol w:w="248"/>
      </w:tblGrid>
      <w:t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 net</w:t>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before="1" w:after="1"/>
        <w:ind w:left="0" w:right="0" w:hanging="720"/>
        <w:jc w:val="left"/>
      </w:pPr>
      <w:r/>
    </w:p>
    <w:p>
      <w:pPr>
        <w:pStyle w:val="TextBody"/>
        <w:bidi w:val="0"/>
        <w:spacing w:lineRule="auto" w:line="268" w:before="0" w:after="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 xml:space="preserve">(1)     Represents the straight-line lease expense of operating leases, inclusive of amortization of ROU assets and the interest component of operating lease liabilities. </w:t>
      </w:r>
    </w:p>
    <w:p>
      <w:pPr>
        <w:pStyle w:val="TextBody"/>
        <w:bidi w:val="0"/>
        <w:spacing w:before="0" w:after="0"/>
        <w:ind w:left="0" w:right="0" w:firstLine="720"/>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nature of the Right-Of-Use (“ROU”) assets,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income.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amount of lease assets and lease liabilities included in the Company’s condensed consolidated balance sheets (in thousands):</w:t>
      </w:r>
    </w:p>
    <w:p>
      <w:pPr>
        <w:pStyle w:val="TextBody"/>
        <w:bidi w:val="0"/>
        <w:spacing w:before="0" w:after="0"/>
        <w:ind w:left="0" w:right="0" w:firstLine="720"/>
        <w:jc w:val="left"/>
      </w:pPr>
      <w:r/>
    </w:p>
    <w:tbl>
      <w:tblPr>
        <w:tblW w:w="8677" w:type="dxa"/>
        <w:jc w:val="left"/>
        <w:tblInd w:w="0" w:type="dxa"/>
        <w:tblLayout w:type="fixed"/>
        <w:tblCellMar>
          <w:top w:w="28" w:type="dxa"/>
          <w:left w:w="28" w:type="dxa"/>
          <w:bottom w:w="28" w:type="dxa"/>
          <w:right w:w="28" w:type="dxa"/>
        </w:tblCellMar>
      </w:tblPr>
      <w:tblGrid>
        <w:gridCol w:w="796"/>
        <w:gridCol w:w="701"/>
        <w:gridCol w:w="708"/>
        <w:gridCol w:w="109"/>
        <w:gridCol w:w="109"/>
        <w:gridCol w:w="109"/>
        <w:gridCol w:w="1333"/>
        <w:gridCol w:w="1333"/>
        <w:gridCol w:w="1338"/>
        <w:gridCol w:w="109"/>
        <w:gridCol w:w="109"/>
        <w:gridCol w:w="109"/>
        <w:gridCol w:w="390"/>
        <w:gridCol w:w="1138"/>
        <w:gridCol w:w="286"/>
      </w:tblGrid>
      <w:t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3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7,224 </w:t>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0" w:after="0"/>
        <w:jc w:val="left"/>
      </w:p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the Company’s leases for the nine months ended September 30, 2026 was as follows:</w:t>
      </w:r>
    </w:p>
    <w:p>
      <w:pPr>
        <w:pStyle w:val="TextBody"/>
        <w:bidi w:val="0"/>
        <w:spacing w:before="0" w:after="0"/>
        <w:ind w:left="0" w:right="0" w:firstLine="720"/>
        <w:jc w:val="left"/>
      </w:pPr>
      <w:r/>
    </w:p>
    <w:tbl>
      <w:tblPr>
        <w:tblW w:w="8523" w:type="dxa"/>
        <w:jc w:val="left"/>
        <w:tblInd w:w="0" w:type="dxa"/>
        <w:tblLayout w:type="fixed"/>
        <w:tblCellMar>
          <w:top w:w="28" w:type="dxa"/>
          <w:left w:w="28" w:type="dxa"/>
          <w:bottom w:w="28" w:type="dxa"/>
          <w:right w:w="28" w:type="dxa"/>
        </w:tblCellMar>
      </w:tblPr>
      <w:tblGrid>
        <w:gridCol w:w="2614"/>
        <w:gridCol w:w="2296"/>
        <w:gridCol w:w="2305"/>
        <w:gridCol w:w="211"/>
        <w:gridCol w:w="616"/>
        <w:gridCol w:w="109"/>
        <w:gridCol w:w="109"/>
        <w:gridCol w:w="109"/>
        <w:gridCol w:w="154"/>
      </w:tblGrid>
      <w:t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 (in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cash flows used in operating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non-cash ROU assets obtained in exchange for lease liabilities during the nine months ended September 30, 2026 for either finance or operating leases.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12.     Restructuring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Transformation 2.0: Powering Honest Growth</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Company's Board of Directors approved Transformation 2.0: Powering Honest Growth (“Powering Honest Growth”) which builds upon the Company's original Transformation Pillars of Brand Maximization, Margin Enhancement and Operating Discipline. Powering Honest Growth is aimed at driving growth, improving simplicity, focus and profitability, which includes exiting certain lower margin, non-strategic categories and channels, including Honest.com fulfillment and the apparel category as a seller of merchandise, retail and online stores in Canada, as well as optimizing our cost structure by rightsizing selling, general and administrative expenses and implementing supply chain efficiencies.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costs are one of the elements of Powering Honest Growth and are included in Restructuring on the condensed consolidated statements of comprehensive income:</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Contract and External Obligation Costs — includes expense to terminate contracts prior to expiration, litigation and professional fees, and other costs associated with external obligations arising from restructuring.</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Employee and Personnel-Related Costs — primarily severance and other post-employment benefit costs, calculated based on salary levels, prior service, statutory minimum benefits, and other personnel-related expenses incurred as a result of restructuring.</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Asset and Other Restructuring-Related Costs — consist primarily of technology taken out of service.</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costs associated with the restructuring once the relevant accounting criteria have been met.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associated with Powering Honest Growth were as follows (in thousands):</w:t>
      </w:r>
    </w:p>
    <w:p>
      <w:pPr>
        <w:pStyle w:val="TextBody"/>
        <w:bidi w:val="0"/>
        <w:spacing w:before="0" w:after="0"/>
        <w:ind w:left="0" w:right="0" w:firstLine="720"/>
        <w:jc w:val="left"/>
      </w:pPr>
      <w:r/>
    </w:p>
    <w:tbl>
      <w:tblPr>
        <w:tblW w:w="10073"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805"/>
        <w:gridCol w:w="2359"/>
        <w:gridCol w:w="420"/>
        <w:gridCol w:w="109"/>
        <w:gridCol w:w="109"/>
        <w:gridCol w:w="109"/>
        <w:gridCol w:w="778"/>
        <w:gridCol w:w="2280"/>
        <w:gridCol w:w="406"/>
        <w:gridCol w:w="109"/>
        <w:gridCol w:w="109"/>
        <w:gridCol w:w="109"/>
        <w:gridCol w:w="154"/>
      </w:tblGrid>
      <w:t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4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(1) Represents costs in connection with a warehouse closure which is included in cost of revenue on the condensed consolidated statements of comprehensive income.</w:t>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(2) Includes an adjustment related to contract and external obligation costs for the nine months ended September 30, 2026. Refer to the restructuring table below for additional details of the costs included in restructuring costs for the nine months ended September 30, 2026.</w:t>
      </w:r>
    </w:p>
    <w:p>
      <w:pPr>
        <w:pStyle w:val="TextBody"/>
        <w:bidi w:val="0"/>
        <w:spacing w:before="1" w:after="1"/>
        <w:ind w:left="0" w:right="0" w:firstLine="720"/>
        <w:jc w:val="left"/>
      </w:pPr>
      <w:r/>
    </w:p>
    <w:p>
      <w:pPr>
        <w:pStyle w:val="TextBody"/>
        <w:bidi w:val="0"/>
        <w:spacing w:before="1" w:after="1"/>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Charges incurred to restructuring costs for the nine months ended September 30, 2026 were:</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597"/>
        <w:gridCol w:w="524"/>
        <w:gridCol w:w="529"/>
        <w:gridCol w:w="530"/>
        <w:gridCol w:w="1171"/>
        <w:gridCol w:w="275"/>
        <w:gridCol w:w="268"/>
        <w:gridCol w:w="268"/>
        <w:gridCol w:w="270"/>
        <w:gridCol w:w="624"/>
        <w:gridCol w:w="1380"/>
        <w:gridCol w:w="324"/>
        <w:gridCol w:w="268"/>
        <w:gridCol w:w="268"/>
        <w:gridCol w:w="270"/>
        <w:gridCol w:w="387"/>
        <w:gridCol w:w="886"/>
        <w:gridCol w:w="202"/>
        <w:gridCol w:w="109"/>
        <w:gridCol w:w="109"/>
        <w:gridCol w:w="109"/>
        <w:gridCol w:w="211"/>
        <w:gridCol w:w="466"/>
        <w:gridCol w:w="160"/>
      </w:tblGrid>
      <w:t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Restructuring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Employee and Personnel-Related Costs</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Asset and Other Restructuring-Related Costs</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Contract and External Obligation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1650"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Charges for the nine months ended September 30, 2026</w:t>
            </w:r>
          </w:p>
        </w:tc>
        <w:tc>
          <w:tcPr>
            <w:tcW w:w="5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ind w:left="0" w:right="0" w:firstLine="9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accrued expenses as of September 30, 2026 were: </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636"/>
        <w:gridCol w:w="531"/>
        <w:gridCol w:w="533"/>
        <w:gridCol w:w="577"/>
        <w:gridCol w:w="1686"/>
        <w:gridCol w:w="300"/>
        <w:gridCol w:w="109"/>
        <w:gridCol w:w="109"/>
        <w:gridCol w:w="109"/>
        <w:gridCol w:w="401"/>
        <w:gridCol w:w="1170"/>
        <w:gridCol w:w="209"/>
        <w:gridCol w:w="109"/>
        <w:gridCol w:w="109"/>
        <w:gridCol w:w="109"/>
        <w:gridCol w:w="589"/>
        <w:gridCol w:w="1301"/>
        <w:gridCol w:w="305"/>
        <w:gridCol w:w="109"/>
        <w:gridCol w:w="109"/>
        <w:gridCol w:w="109"/>
        <w:gridCol w:w="211"/>
        <w:gridCol w:w="616"/>
        <w:gridCol w:w="159"/>
      </w:tblGrid>
      <w:tr>
        <w:tc>
          <w:tcPr>
            <w:tcW w:w="63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21"/>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20"/>
              </w:rPr>
              <w:t>Accrued Restructuring-Related Costs</w:t>
            </w:r>
            <w:r>
              <w:rPr>
                <w:rFonts w:ascii="Times New Roman;serif" w:hAnsi="Times New Roman;serif"/>
                <w:b/>
                <w:color w:val="000000"/>
                <w:sz w:val="13"/>
              </w:rPr>
              <w:t>(1)</w:t>
            </w:r>
          </w:p>
        </w:tc>
      </w:tr>
      <w:t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Asset and Other Restructuring-Related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Contract and External Obligation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Employee and Personnel-Related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1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Charges </w:t>
            </w:r>
          </w:p>
        </w:tc>
        <w:tc>
          <w:tcPr>
            <w:tcW w:w="22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2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22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00"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5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Included in accrued expenses as of September 30, 2026. Refer to Note 6, "Accrued Expenses" included elsewhere in these condensed consolidated financial statements. </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2026, the Company’s Board of Directors approved a new share repurchase program for up to $30.0 million of its outstanding common stock. As of August 6, 2026, the Company had completed its prior $25.0 million share repurchase program.</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program, share repurchases may be made at the Company’s discretion from time to time in open market or privately negotiated transactions, or by other means, including through Rule 10b5-1 trading plans. The timing and number of shares repurchased under the new program will depend on a variety of factors, including, without limitation, stock price, trading volume, and general business and market conditions. The share repurchase program does not obligate the Company to purchase any shares, has no expiration date and may be modified, suspended or terminated at any time. The Company expects to fund repurchases with a combination of existing cash and cash equivalents and cash flows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2025 (the “Annual Report”), filed with the Securities and Exchange Commission (“SEC”) on February 25, 2026.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 </w:t>
      </w:r>
    </w:p>
    <w:p>
      <w:pPr>
        <w:pStyle w:val="TextBody"/>
        <w:bidi w:val="0"/>
        <w:spacing w:before="0" w:after="0"/>
        <w:jc w:val="left"/>
      </w:pPr>
      <w:r/>
    </w:p>
    <w:p>
      <w:pPr>
        <w:pStyle w:val="TextBody"/>
        <w:bidi w:val="0"/>
        <w:spacing w:lineRule="auto" w:line="268" w:before="1" w:after="1"/>
        <w:jc w:val="left"/>
      </w:pPr>
      <w:r>
        <w:rPr>
          <w:color w:val="000000"/>
        </w:rPr>
        <w:t> </w:t>
      </w:r>
      <w:r>
        <w:rPr>
          <w:rFonts w:ascii="Times New Roman;serif" w:hAnsi="Times New Roman;serif"/>
          <w:b/>
          <w:color w:val="000000"/>
          <w:sz w:val="20"/>
        </w:rPr>
        <w:t xml:space="preserve">Overview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Founded in 2012, The Honest Company (the “Company,” or “Honest,” which may also be referred to as “we,” “us” or “our”) is a personal care company dedicated to creating cleanly-formulated and sustainably-designed products for everyone from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babies to adults. By combining thoughtful design with science-based innovation, we deliver personal care products for everyone from babies to adults, spanning categories across wipes, personal care, diapers, and beauty. Our commitment to our core values, continual innovation and engaging our community has differentiated and elevated our brand and our products. Since our launch, we have cultivated deep trust around what matters most to our consumers: their health, their families and their homes. We seek to meet consumers wherever they want to shop, balancing deep consumer connection with broad convenience and availability. We believe our distribution strategy positions us for continued growth through our trusted brand and award-winning multi-category product offerings.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Honest Standard, the Company’s rigorous set of guiding principles that shape every step of product innovation and development, reflects Honest’s ongoing dedication to safety, transparency and integrity. As a leader in clean and sustainable products, Honest continues to set a new standard for clean formulations, bringing joy to a community that seeks authenticity, transparency and efficacy in everyday essentials. Honest products are available nationwide at major retailers, including Amazon, Target and Walmart.</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December 31, 2025, we have transitioned away from Honest.com as a shipping and fulfillment channel, while maintaining Honest.com as a resource for educating consumers, showcasing our complete product portfolio, and driving consumers to purchase through our leading retailers and their websites, and third-party ecommerce sites. </w:t>
      </w:r>
    </w:p>
    <w:p>
      <w:pPr>
        <w:pStyle w:val="TextBody"/>
        <w:bidi w:val="0"/>
        <w:spacing w:before="1" w:after="1"/>
        <w:jc w:val="left"/>
      </w:p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Transformation 2.0: Powering Honest Growth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our Board of Directors approved Transformation 2.0: Powering Honest Growth (“Powering Honest Growth”), which builds upon our original Transformation Pillars of Brand Maximization, Margin Enhancement and Operating Discipline. Powering Honest Growth is aimed at driving growth, improving simplicity, focus and profitability, which includes exiting certain lower margin, non-strategic categories and channels, including Honest.com fulfillment and the apparel category as a seller of merchandise, as well as retail and online stores in Canada, optimizing our cost structure by rightsizing selling, general and administrative expenses and implementing supply chain efficiencies.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Powering Honest Growth is projected to result in the following: </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Costs associated with Powering Honest Growth, including restructuring costs, are expected to be approximately $28.0 million to $31.0 million to be recognized through the first quarter of 2027. Of this range, we expect approximately $5.0 million to $7.0 million to be related to restructuring costs, primarily comprising contractual and external obligation costs, employee and personnel-related costs and asset and other restructuring-related costs, and approximately $23.0 million to $24.0 million to be related to other costs included in cost of revenue, primarily related to a discrete inventory write-down related to exiting apparel category as a seller of merchandise, fixed asset impairments, and costs associated with a warehouse closure, some of which have already been incurred.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During the three and nine months ended September 30, 2026, we have recognized $1.1 million</w:t>
      </w:r>
      <w:r>
        <w:rPr>
          <w:color w:val="000000"/>
        </w:rPr>
        <w:t xml:space="preserve"> </w:t>
      </w:r>
      <w:r>
        <w:rPr>
          <w:rFonts w:ascii="Times New Roman;serif" w:hAnsi="Times New Roman;serif"/>
          <w:b w:val="false"/>
          <w:color w:val="000000"/>
          <w:sz w:val="20"/>
        </w:rPr>
        <w:t xml:space="preserve">and $3.4 million, respectively, of costs related to Powering Honest Growth, for a total of approximately $27.4 million recognized to date. See table below for additional details of the costs recognized in the three and nine months ended September 30, 2026.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Powering Honest Growth is expected to result in annualized benefits in the range of approximately $14.0 million to $17.0 million, and the Company has begun seeing benefits in 2026. These benefits include reduction in costs of revenue and reduction in operating expenses, offset by a decrease in revenue related to the exit of lower margin non-strategic portfolios.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The cash impact of costs related to Powering Honest Growth is expected to be in the range of approximately $10.0 million to $13.0 million for the full years 2026 and 2027, with $8.9 million cash paid through September 30, 2026 and the remainder to be in the fourth quarter of 2026 and in 2027.</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We expect the restructuring element of Powering Honest Growth to be substantially completed by December 31, 2026. We may incur other costs or cash expenditures not currently contemplated as a result of or in connection with Powering Honest Growth.</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continue driving benefits from the three Transformation Pillars of Brand Maximization, Margin Enhancement, and Operating Discipline:</w:t>
      </w:r>
    </w:p>
    <w:p>
      <w:pPr>
        <w:pStyle w:val="TextBody"/>
        <w:bidi w:val="0"/>
        <w:spacing w:before="0" w:after="0"/>
        <w:jc w:val="left"/>
      </w:p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Brand Maximization</w:t>
      </w:r>
    </w:p>
    <w:p>
      <w:pPr>
        <w:pStyle w:val="TextBody"/>
        <w:bidi w:val="0"/>
        <w:spacing w:before="0" w:after="0"/>
        <w:ind w:left="0" w:right="0" w:hanging="270"/>
        <w:jc w:val="left"/>
      </w:pPr>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Leveraging the strength of the Honest brand to drive growth through greater availability, expanded household penetration, product innovation, margin-accretive products, and marketing effectiveness.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Pricing strategy as a driver of revenue is also a component of Brand Maximization. </w:t>
      </w:r>
    </w:p>
    <w:p>
      <w:pPr>
        <w:pStyle w:val="TextBody"/>
        <w:bidi w:val="0"/>
        <w:spacing w:before="0" w:after="0"/>
        <w:ind w:left="0" w:right="0" w:hanging="270"/>
        <w:jc w:val="left"/>
      </w:p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Margin Enhancement</w:t>
      </w:r>
    </w:p>
    <w:p>
      <w:pPr>
        <w:pStyle w:val="TextBody"/>
        <w:bidi w:val="0"/>
        <w:spacing w:before="0" w:after="0"/>
        <w:ind w:left="0" w:right="0" w:hanging="270"/>
        <w:jc w:val="left"/>
      </w:pPr>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Focusing our resources on the United States, which included the exit of our low-margin products in Europe and Asia in 2023 and, most recently, Canada in 2025.</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Exiting low-margin elements of cleaning and sanitization products in 2023 and apparel in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before="0" w:after="0"/>
        <w:jc w:val="left"/>
      </w:pPr>
      <w:r/>
    </w:p>
    <w:p>
      <w:pPr>
        <w:pStyle w:val="TextBody"/>
        <w:bidi w:val="0"/>
        <w:spacing w:lineRule="auto" w:line="268" w:before="0" w:after="0"/>
        <w:ind w:left="0" w:right="0" w:hanging="360"/>
        <w:jc w:val="left"/>
      </w:pPr>
      <w:r>
        <w:rPr>
          <w:color w:val="1D1C1D"/>
        </w:rPr>
        <w:t>•</w:t>
      </w:r>
      <w:r>
        <w:rPr>
          <w:rFonts w:ascii="Times New Roman;serif" w:hAnsi="Times New Roman;serif"/>
          <w:b w:val="false"/>
          <w:color w:val="000000"/>
          <w:sz w:val="20"/>
        </w:rPr>
        <w:t>Executing an inventory, or stock-keeping unit (“SKU”), rationalization program in 2023.</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Re-directing resources to accelerate cost savings, including optimization of our contract manufacturing strategies, optimization of our supply chain footprint and inventory management, along with leveraging technology to improve systems, reduced shipping and logistic costs, and product costs.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Realigning resources to reflect the prioritization of higher-margin opportunities, including strategic shift away from our lower margin channels, including exiting our </w:t>
      </w:r>
      <w:r>
        <w:rPr>
          <w:rFonts w:ascii="Times New Roman;serif" w:hAnsi="Times New Roman;serif"/>
          <w:b w:val="false"/>
          <w:color w:val="231F20"/>
          <w:sz w:val="20"/>
        </w:rPr>
        <w:t>direct-to-consumer (“DTC”) channel in 2025</w:t>
      </w:r>
      <w:r>
        <w:rPr>
          <w:rFonts w:ascii="Times New Roman;serif" w:hAnsi="Times New Roman;serif"/>
          <w:b w:val="false"/>
          <w:color w:val="000000"/>
          <w:sz w:val="20"/>
        </w:rPr>
        <w:t>.</w:t>
      </w:r>
    </w:p>
    <w:p>
      <w:pPr>
        <w:pStyle w:val="TextBody"/>
        <w:bidi w:val="0"/>
        <w:spacing w:before="0" w:after="0"/>
        <w:ind w:left="0" w:right="0" w:hanging="270"/>
        <w:jc w:val="left"/>
      </w:p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Operating Discipline</w:t>
      </w:r>
    </w:p>
    <w:p>
      <w:pPr>
        <w:pStyle w:val="TextBody"/>
        <w:bidi w:val="0"/>
        <w:spacing w:before="0" w:after="0"/>
        <w:ind w:left="0" w:right="0" w:hanging="270"/>
        <w:jc w:val="left"/>
      </w:pPr>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Focusing on improving our executional excellence in how we operate as an enterprise.</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Building a culture that emphasizes returns across growth drivers, including marketing, trade promotion, and innovation.</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Managing working capital including the reduction of inventory.</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Rightsizing selling, general and administrative costs.    </w:t>
      </w:r>
    </w:p>
    <w:p>
      <w:pPr>
        <w:pStyle w:val="TextBody"/>
        <w:bidi w:val="0"/>
        <w:spacing w:before="0" w:after="0"/>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associated with Powering Honest Growth were as follows (in thousands):</w:t>
      </w:r>
    </w:p>
    <w:p>
      <w:pPr>
        <w:pStyle w:val="TextBody"/>
        <w:bidi w:val="0"/>
        <w:spacing w:before="0" w:after="0"/>
        <w:ind w:left="0" w:right="0" w:firstLine="720"/>
        <w:jc w:val="left"/>
      </w:pPr>
      <w:r/>
    </w:p>
    <w:tbl>
      <w:tblPr>
        <w:tblW w:w="9637"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805"/>
        <w:gridCol w:w="2359"/>
        <w:gridCol w:w="420"/>
        <w:gridCol w:w="109"/>
        <w:gridCol w:w="109"/>
        <w:gridCol w:w="109"/>
        <w:gridCol w:w="754"/>
        <w:gridCol w:w="2201"/>
        <w:gridCol w:w="554"/>
      </w:tblGrid>
      <w:t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r>
      <w:t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4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5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(1) Represents costs in connection with a warehouse closure which is included in cost of revenue on the condensed consolidated statements of comprehensive income.</w:t>
      </w:r>
    </w:p>
    <w:p>
      <w:pPr>
        <w:pStyle w:val="TextBody"/>
        <w:bidi w:val="0"/>
        <w:spacing w:lineRule="auto" w:line="268" w:before="0" w:after="0"/>
        <w:jc w:val="left"/>
      </w:pPr>
      <w:r>
        <w:rPr>
          <w:rFonts w:ascii="Times New Roman;serif" w:hAnsi="Times New Roman;serif"/>
          <w:b w:val="false"/>
          <w:color w:val="000000"/>
          <w:sz w:val="13"/>
        </w:rPr>
        <w:t>(2) Includes an adjustment related to contract and external obligation costs for the nine months ended September 30, 2026. For further details on the restructuring element of Powering Honest Growth, refer to Note 12, “Restructuring</w:t>
      </w:r>
      <w:r>
        <w:rPr>
          <w:color w:val="231F20"/>
        </w:rPr>
        <w:t>”</w:t>
      </w:r>
      <w:r>
        <w:rPr>
          <w:color w:val="000000"/>
        </w:rPr>
        <w:t xml:space="preserve"> </w:t>
      </w:r>
      <w:r>
        <w:rPr>
          <w:rFonts w:ascii="Times New Roman;serif" w:hAnsi="Times New Roman;serif"/>
          <w:b w:val="false"/>
          <w:color w:val="000000"/>
          <w:sz w:val="13"/>
        </w:rPr>
        <w:t xml:space="preserve">included in our condensed consolidated financial statements included elsewhere in this Quarterly Report on Form 10-Q.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before="0" w:after="0"/>
        <w:ind w:left="0" w:right="0" w:firstLine="49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titled “Risk Factors” in this Quarterly Report on Form 10-Q and in our Annual Report.</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Operational and Marketing Efficiency</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grow our business, we intend to continue to improve our operational and marketing efficiency, which includes attracting new consumers, increasing community engagement and connection with our brand, and improving fulfillment and distribution operations. Our marketing model is inclusive of a best-in-class modern approach across paid, owned, and earned marketing channels.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proprietary consumer insights and best-in-class analytics to guide our distribution strategy and inform our marketing spend optimization. Our future success depends in part on our ability to effectively attract consumers on a cost-efficient basis and achieve efficiencies in our operations. In addition, we believe we have been able to achieve some operational and marketing efficiency as part of cost savings in connection with our Brand Maximization Transformation Pillar.</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Ability to Execute Increasing Physical and Digital Availability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core component of our growth strategy centers around increasing physical availability through expanded stores, doors, aisles, shelves and facings and increasing digital availability of our products in retail customers’ websites, and third-party ecommerce sites. While we have made significant progress in our distribution gains, we are still under indexed compared to competition. Our partnerships with leading third-party retail platforms and national retailers have broadened our consumer reach, raised our brand awareness and enhanced our margins through operating leverage.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For example, we experienced distribution losses with two of our largest customers on certain diaper SKUs mainly related to these retailers' footprint changes for certain product categories overall and a shift to more exclusive non-gendered prints with one of these retailers, which has impacted our revenue since 2025, and we expect will continue to negatively impact our diaper revenue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Product offerings in the diaper category remain competitive and retailer decisions related to the sale or promotion of competitive diaper products have negatively impacted our diaper revenue in 2026, which we expect to continue in the future.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higher costs of shipping and fulfillment activities related to our DTC channel and other related costs, we no longer utilize Honest.com as a shipping and fulfillment channel or sell products through this channel as of December 31, 2025 and instead have shifted our focus and investments towards more efficient and scalable distribution models with our retail and digital customers. The Honest.com website remains a resource for educating consumers, showcasing our complete product portfolio, and driving consumers to purchase offsite. Our discontinuation of Honest.com as a direct shipping and fulfillment channel negatively impacted our revenue for the year ended December 31, 2025 and nine months ended September 30, 2026; however, we also expect that it will enable improved gross margin in future years.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mix is a driver of our financial performance and growth given our focus on attractive margin products. Even though our growth strategy aims to boost sales across products by increasing total distribution, we intend to prioritize growth in products with attractive margin characteristics, including wipes and personal care, and leverage our brand equity and consumer insights to extend into new products. </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Ability to Grow Our Brand Awareness</w:t>
      </w:r>
    </w:p>
    <w:p>
      <w:pPr>
        <w:pStyle w:val="TextBody"/>
        <w:bidi w:val="0"/>
        <w:spacing w:before="0" w:after="0"/>
        <w:ind w:left="0" w:right="0" w:firstLine="49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brand is integral to the growth of our business and is essential to our ability to engage and stay connected with the growing clean products consumer market. In order to increase the share of wallet of our existing consumers and to attract new consumers, our brand has to maintain its trustworthiness and authenticity. Our ability to attract new consumers will depend on, among other things, the efficacy of our marketing efforts, our ability to successfully produce products that are free of defects, our ability to communicate the value of those products as cleanly-formulated, sustainably-designed and effective,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Continued Innovation</w:t>
      </w:r>
    </w:p>
    <w:p>
      <w:pPr>
        <w:pStyle w:val="TextBody"/>
        <w:bidi w:val="0"/>
        <w:spacing w:before="0" w:after="0"/>
        <w:ind w:left="0" w:right="0" w:firstLine="49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development and innovation are core elements underpinning our growth strategy. Through our in-house research and development laboratories, we are able to access the latest advancements in clean ingredients. Based in Los Angeles, California, our research and development team, including experts in chemistry and toxicology, develop innovative cleanly-formulated products. At Honest, product innovation is top of mind, including wipes pack size expansion and kids personal care.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naturally-derived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We are also committed to bringing our Honest Standard to new products where we believe there is a need for a higher standard for clean personal care.</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Overall Macro Trends</w:t>
      </w:r>
    </w:p>
    <w:p>
      <w:pPr>
        <w:pStyle w:val="TextBody"/>
        <w:bidi w:val="0"/>
        <w:spacing w:before="0" w:after="0"/>
        <w:ind w:left="0" w:right="0" w:firstLine="49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consumers’ increasing interest in cleanly-designed products and purpose-driven companies has contributed to higher demand for certain products, which we believe we are strategically positioned to benefit from. At the same time, changes in macro-level trends, including as a result of changing consumer attitudes or behaviors or other macroeconomic conditions (such as inflation, tariffs, supply chain disruptions, trade disputes, foreign exchange volatility, ongoing military conflicts and geopolitical uncertainty, financial market instability and any resulting recession or slowed economic growth), have resulted and could in the future result in fluctuations in our operating results.</w:t>
      </w:r>
    </w:p>
    <w:p>
      <w:pPr>
        <w:pStyle w:val="TextBody"/>
        <w:bidi w:val="0"/>
        <w:spacing w:before="1" w:after="1"/>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Business Operations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uncertainty has increased due to the impact of continued inflationary pressures, adverse impact on confidence in financial markets and geopolitical events, including tariffs imposed on certain foreign goods, the possibility of expanding the tariffs to capture other types of goods, and related legal challenges. Additionally, the extent of the impact of macroeconomic trends on our operational and financial performance in the future will depend on future developments. Prolonged unfavorable economic conditions, including as a result of changing consumer attitudes or behaviors or other macroeconomic conditions (such as inflation, tariffs, supply chain disruptions, trade disputes, foreign exchange volatility, ongoing military conflicts and geopolitical uncertainty, financial market instability and any resulting recession or slowed economic growth) have had and may continue to have an adverse effect on our sales, margins and profitability. All of these factors are difficult to predict considering the rapidly evolving landscape as we continue to expect a variable operating environment going forward. </w:t>
      </w:r>
    </w:p>
    <w:p>
      <w:pPr>
        <w:pStyle w:val="TextBody"/>
        <w:bidi w:val="0"/>
        <w:spacing w:before="0" w:after="0"/>
        <w:ind w:left="0" w:right="0" w:firstLine="72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Supply Chain Disruptions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and continues to be an adverse impact on global economic conditions, specifically tariffs and inflationary pressures, which has adversely affected our supply chain in regards to cost of revenue and operating expenses. We have experienced and anticipate continued increases in product costs due to inflationary pressures, which has in the past and could continue to hamper our ability to drive margin expansion. In addition, the ongoing military conflicts have increased our global shipping costs and may in the future negatively impact the cost of petrochemicals which are used in the raw materials and packaging in our personal care products.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notwithstanding legal challenges, we expect tariffs to continue to negatively impact the cost of raw materials, components and finished goods, which has adversely impacted our operational expenses, and may negatively impact our ability to source our finished goods and components. We have taken measures to bolster key aspects of our supply chain and mitigate the impact of tariffs, such as creating an agile supply chain, ensuring sufficient inventory to support our continued growth, minimizing lead times for raw materials, and implementing a robust cost-savings program, as part of our tariff mitigation strategy. In addition, in early 2025 we hired a Senior Vice President of Supply Chain, a newly created role, which has enabled us to accelerate some of the cost savings opportunities we have developed. If we are not successful in our attempts to bolster our supply chain and mitigate the impact of tariffs, our product and fulfillment costs may increase and our business, financial condition, results of operations and prospects could be adversely affected. For example, the fluctuation in tariff rates since 2025, and the ongoing uncertainty of those rates have primarily impacted our wipes product costs, and has impacted and may in the future impact our ability to forecast the tariff impacts on our cost of revenue.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February 2026 U.S. Supreme Court ruling that invalidated specific tariffs under the International Emergency Economic Powers Act (“IEEPA”), we are evaluating our eligibility for refunds of previously paid import duties. Beginning in April 2026, we began filing refund claims with U.S. Customs and Border Protection related to eligible IEEPA tariff payments made. During the nine months ended September 30, 2026, we received IEEPA tariff refunds of $11.9 million, which were recognized as a $6.6 million reduction in cost of revenue and a $0.5 million increase in interest income on the condensed consolidated statements of comprehensive income, and as a $0.6 million reduction in inventory on the condensed consolidated balance sheets. Due to the inherent uncertainty surrounding the timing and recoverability of additional refunds, no receivable or corresponding offset to expense or asset was recognized as of September 30, 2026. For more details on tariff refunds received, refer to Note 7, “Commitments and Contingencies” included in our condensed consolidated financial statements included elsewhere in this Quarterly Report on Form 10-Q. </w:t>
      </w:r>
    </w:p>
    <w:p>
      <w:pPr>
        <w:pStyle w:val="TextBody"/>
        <w:bidi w:val="0"/>
        <w:spacing w:before="0" w:after="0"/>
        <w:ind w:left="0" w:right="0" w:firstLine="72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We are also taking action to optimize our supply chain footprint and inventory management, along with leveraging technology to improve systems. Effective June 30, 2026, w</w:t>
      </w:r>
      <w:r>
        <w:rPr>
          <w:rFonts w:ascii="Times New Roman;serif" w:hAnsi="Times New Roman;serif"/>
          <w:b w:val="false"/>
          <w:color w:val="231F20"/>
          <w:sz w:val="20"/>
        </w:rPr>
        <w:t>e</w:t>
      </w:r>
      <w:r>
        <w:rPr>
          <w:color w:val="000000"/>
        </w:rPr>
        <w:t xml:space="preserve"> </w:t>
      </w:r>
      <w:r>
        <w:rPr>
          <w:rFonts w:ascii="Times New Roman;serif" w:hAnsi="Times New Roman;serif"/>
          <w:b w:val="false"/>
          <w:color w:val="000000"/>
          <w:sz w:val="20"/>
        </w:rPr>
        <w:t xml:space="preserve">terminated our agreement with GEODIS Logistics LLC for the use and services of a Pennsylvania warehouse that was previously part of our distribution network, which resulted in favorable supply chain rates due to lower fulfillment costs during the three months ended September 30, 2026. As a result, we now operate exclusively in the Nevada warehouse, a state-of-the-art facility leased by us with a focus on automated large scale retail fulfillment.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experienced purchase price increases from our third-party manufacturers, including our diaper manufacturer, in the past, have received requests to renegotiate purchase costs from other third-party manufacturers, and could face escalation of purchase costs and cost of revenue in the future. We have implemented price increases in the past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Consumer Preferences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 Given changing macroeconomic conditions, we also believe that consumers have changed their shopping behaviors and have become more price sensitive when purchasing products in some of our product categories, including diapers.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is reflected at the lower of cost or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have in the past and expect to incur in the future additional inventory write-downs, customer returns or incur donation expense or disposal costs as we reduce excess inventory. As part of our Transformation Pillar of Operating Discipline, we have reduced inventory since December 31, 2025 as part of managing working capital efficiently, including inventory management. </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Supplier Services Agreement</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2022, we entered into a supplier services agreement with Butterblu, LLC (“Butterblu”) pursuant to which Butterblu provided certain design, manufacturing, sales and marketing services to us (the “Supplier Services Agreement”). As part of the Supplier Services Agreement, we agreed to purchase and own inventory for the term of the agreement, which was originally until December 31, 2026, unless terminated sooner. On November 5, 2025, we sent a Notice of Termination to Butterblu and sued the company for alleged breaches of the Supplier Services Agreement. Through agreement of the parties following our Notice of Termination, Honest and Butterblu extended the Supplier Services Agreement on a temporary basis through December 26, 2025. The Supplier Services Agreement was formally terminated on December 26, 2025. Upon termination, Butterblu was required to discontinue using Honest’s trademarks and prints and to consummate all pending purchase orders received in writing as of the November 5, 2025 termination date, and Honest has the right to sell off all products sourced by Butterblu until and through December 26, 2026 and shall pay Butterblu the Base Service Fee, defined as 22% of Honest's net revenue for product sales and adjusted to ensure that the Base Service Fee does not exceed Honest's gross profit for product sales in the applicable quarter, for product sales through December 26, 2026. The parties are in litigation, which is described in Note 7, "Commitments and Contingencies," included in our condensed consolidated financial statements included elsewhere in this Quarterly Report on Form 10-Q. Litigation related to our respective obligations under the Supplier Services Agreement, the termination of this Supplier Services Agreement, any disputes over the terms of the termination, and costs related to the apparel inventory we own have negatively impacted revenue and gross profit, partially offset by lower operating costs since the fourth quarter ended December 31, 2025, and are expected to continue to adversely impact our results of operations. In addition, the loss of the relationship with Butterblu negatively impacted apparel revenue and will negatively impact apparel revenue in the future, which may adversely affect our results of operations.</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Licensing and Inventory Purchase Agreement</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2026, we entered into a License Agreement (the “License Agreement”) and an accompanying Inventory Purchase Agreement with O5-MD, LLC and O5 North ULC (collectively, the “Licensee”). The License Agreement grants the Licensee an exclusive license to manufacture, distribute, promote, and sell certain apparel, accessories, bath and bedding products, and footwear under "The Honest Company" and "Honest Baby" trademarks. The primary territory for the License Agreement covers the United States, Canada, and Mexico, as well as specified international club and off-price accounts. Under the License Agreement, we will earn royalty revenue on the Licensee's net sales. The initial term of the License Agreement expires on December 31, 2030. The Licensee holds the option to renew the agreement for two additional successive five-year terms, provided it complies with all material terms, meets required notice periods, among other requirements. For the three and nine months ended September 30, 2026, we did not recognize any royalty revenue with respect to the License Agreement.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License Agreement, the Licensee agreed to purchase our remaining on-hand inventory of licensed apparel products for a total purchase price of $10.0 million, subject to certain adjustments for inventory deficiencies or missing certifications. The purchase price is payable in installments, with four 25% payments tied to the delivery timeline. For the three and nine months ended September 30, 2026, we recognized $5.3 million and $8.5 million, respectively, in revenue and cost of revenue from the partial liquidation of the remaining apparel inventory. The inventory was delivered to the Licensee at its carrying value, resulting in no gross profit. These transactions increased accounts receivable and decreased inventory by $8.8 million, as of September 30, 2026.</w:t>
      </w:r>
    </w:p>
    <w:p>
      <w:pPr>
        <w:pStyle w:val="TextBody"/>
        <w:bidi w:val="0"/>
        <w:spacing w:before="0" w:after="0"/>
        <w:jc w:val="left"/>
      </w:p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before="0" w:after="0"/>
        <w:jc w:val="left"/>
      </w:p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before="1" w:after="1"/>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the sale of our products through our leading retailers and their websites, third-party ecommerce sites and, prior to December 31, 2025, Honest.com, as well as through royalty revenue under the License Agreement. Our revenue is recognized net of allowances for returns, trade and other discounts, retailer violations and credits, and any taxes collected from consumers. </w:t>
      </w:r>
    </w:p>
    <w:p>
      <w:pPr>
        <w:pStyle w:val="TextBody"/>
        <w:bidi w:val="0"/>
        <w:spacing w:before="0" w:after="0"/>
        <w:jc w:val="left"/>
      </w:p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includes the purchase price of merchandise sold to customers, inbound and outbound shipping and handling costs, freight, tariffs and duties, shipping and packaging supplies, credit card processing fees related to Honest.com,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 </w:t>
      </w:r>
    </w:p>
    <w:p>
      <w:pPr>
        <w:pStyle w:val="TextBody"/>
        <w:bidi w:val="0"/>
        <w:spacing w:before="0" w:after="0"/>
        <w:jc w:val="left"/>
      </w:p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Gross Profit and Gross Margin </w:t>
      </w:r>
    </w:p>
    <w:p>
      <w:pPr>
        <w:pStyle w:val="TextBody"/>
        <w:bidi w:val="0"/>
        <w:spacing w:before="1" w:after="1"/>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represents revenue less cost of revenue. Gross margin is gross profit expressed as a percentage of revenue. Our gross margin may in the future fluctuate from period to period based on a number of factors, including commodity costs,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before="0" w:after="0"/>
        <w:jc w:val="left"/>
      </w:pPr>
      <w:r/>
    </w:p>
    <w:p>
      <w:pPr>
        <w:pStyle w:val="TextBody"/>
        <w:bidi w:val="0"/>
        <w:spacing w:lineRule="auto" w:line="268"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manufacturing costs, warehousing and transportation rates, the promotional environment in the marketplace, the mix of products we sell, the channel through which we sell our products, and innovation initiatives we undertake in each product category, among other factors. </w:t>
      </w:r>
    </w:p>
    <w:p>
      <w:pPr>
        <w:pStyle w:val="TextBody"/>
        <w:bidi w:val="0"/>
        <w:spacing w:before="0" w:after="0"/>
        <w:jc w:val="left"/>
      </w:p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selling, general and administrative, marketing, restructuring and research and development expenses. </w:t>
      </w:r>
    </w:p>
    <w:p>
      <w:pPr>
        <w:pStyle w:val="TextBody"/>
        <w:bidi w:val="0"/>
        <w:spacing w:before="1" w:after="1"/>
        <w:jc w:val="left"/>
      </w:pPr>
      <w:r/>
    </w:p>
    <w:p>
      <w:pPr>
        <w:pStyle w:val="TextBody"/>
        <w:bidi w:val="0"/>
        <w:spacing w:lineRule="auto" w:line="28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our exited apparel products and agency commissions, and depreciation and amortization expenses. We expect our selling, general and administrative expenses to decrease as a percentage of revenue as we continue to grow our business and organizational capabilities and efficiencies. We have incurred and expect in the future to continue to incur additional third-party professional fees related to compliance obligations as a public company. </w:t>
      </w:r>
    </w:p>
    <w:p>
      <w:pPr>
        <w:pStyle w:val="TextBody"/>
        <w:bidi w:val="0"/>
        <w:spacing w:before="0" w:after="0"/>
        <w:ind w:left="0" w:right="0" w:firstLine="720"/>
        <w:jc w:val="left"/>
      </w:p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Marketing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consumer insights research, and other public relations and promotional initiatives. Given the dynamic macro-environment, higher costs in digital marketing and increased retail distribution, we will continue to optimize our marketing activities for impact and efficiency. We will continue to prioritize investment in marketing initiatives around our most strategic and profitable categories, through strategic key retailers activities, as well as brand building campaigns and initiatives. As we launch new products, we expect to make marketing investments to support growth at key retailers, build brand awareness, encourage first-time use and set the foundation for future revenue growth.</w:t>
      </w:r>
    </w:p>
    <w:p>
      <w:pPr>
        <w:pStyle w:val="TextBody"/>
        <w:bidi w:val="0"/>
        <w:spacing w:before="1" w:after="1"/>
        <w:jc w:val="left"/>
      </w:pPr>
      <w:r/>
    </w:p>
    <w:p>
      <w:pPr>
        <w:pStyle w:val="TextBody"/>
        <w:bidi w:val="0"/>
        <w:spacing w:lineRule="auto" w:line="28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Restructuring </w:t>
      </w:r>
    </w:p>
    <w:p>
      <w:pPr>
        <w:pStyle w:val="TextBody"/>
        <w:bidi w:val="0"/>
        <w:spacing w:before="1" w:after="1"/>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Restructuring costs are one of the elements of Powering Honest Growth and are included in Restructuring on the condensed consolidated statements of comprehensive income. Restructuring costs include contract and external obligation costs, employee and personnel-related costs, and asset and other restructuring-related costs. For further details on the restructuring element of Powering Honest Growth, refer to Note 12, “Restructuring</w:t>
      </w:r>
      <w:r>
        <w:rPr>
          <w:color w:val="231F20"/>
        </w:rPr>
        <w:t>”</w:t>
      </w:r>
      <w:r>
        <w:rPr>
          <w:color w:val="000000"/>
        </w:rPr>
        <w:t xml:space="preserve"> </w:t>
      </w:r>
      <w:r>
        <w:rPr>
          <w:rFonts w:ascii="Times New Roman;serif" w:hAnsi="Times New Roman;serif"/>
          <w:b w:val="false"/>
          <w:color w:val="000000"/>
          <w:sz w:val="20"/>
        </w:rPr>
        <w:t xml:space="preserve">included in our condensed consolidated financial statements included elsewhere in this Quarterly Report on Form 10-Q. </w:t>
      </w:r>
    </w:p>
    <w:p>
      <w:pPr>
        <w:pStyle w:val="TextBody"/>
        <w:bidi w:val="0"/>
        <w:spacing w:before="0" w:after="0"/>
        <w:ind w:left="0" w:right="0" w:firstLine="720"/>
        <w:jc w:val="left"/>
      </w:p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before="0" w:after="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erif" w:hAnsi="Times New Roman;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bidi w:val="0"/>
        <w:spacing w:before="1" w:after="1"/>
        <w:jc w:val="left"/>
      </w:p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Interest and Other Income (Expense), Net </w:t>
      </w:r>
    </w:p>
    <w:p>
      <w:pPr>
        <w:pStyle w:val="TextBody"/>
        <w:bidi w:val="0"/>
        <w:spacing w:before="0" w:after="0"/>
        <w:ind w:left="0" w:right="0" w:firstLine="720"/>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consists primarily of interest income earned on our short-term investments and our cash and cash equivalents balances. Interest expense includes fees incurred under our 2026 Credit Facility, including commitment fees and debt issuance costs. </w:t>
      </w:r>
    </w:p>
    <w:p>
      <w:pPr>
        <w:pStyle w:val="TextBody"/>
        <w:bidi w:val="0"/>
        <w:spacing w:before="0" w:after="0"/>
        <w:ind w:left="0" w:right="0" w:firstLine="720"/>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 </w:t>
      </w:r>
    </w:p>
    <w:p>
      <w:pPr>
        <w:pStyle w:val="TextBody"/>
        <w:bidi w:val="0"/>
        <w:spacing w:before="1" w:after="1"/>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before="0" w:after="0"/>
        <w:jc w:val="left"/>
      </w:pPr>
      <w:r/>
    </w:p>
    <w:p>
      <w:pPr>
        <w:pStyle w:val="TextBody"/>
        <w:bidi w:val="0"/>
        <w:spacing w:lineRule="auto" w:line="268" w:before="0" w:after="0"/>
        <w:ind w:left="0" w:right="0" w:hanging="450"/>
        <w:jc w:val="left"/>
        <w:rPr>
          <w:rFonts w:ascii="Times New Roman;serif" w:hAnsi="Times New Roman;serif"/>
          <w:b/>
          <w:i/>
          <w:color w:val="000000"/>
          <w:sz w:val="20"/>
        </w:rPr>
      </w:pPr>
      <w:r>
        <w:rPr>
          <w:rFonts w:ascii="Times New Roman;serif" w:hAnsi="Times New Roman;serif"/>
          <w:b/>
          <w:i/>
          <w:color w:val="000000"/>
          <w:sz w:val="20"/>
        </w:rPr>
        <w:t xml:space="preserve">Income Tax Benefit (Provision)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During the three months ended September 30, 2026, we determined that the positive evidence supporting the release of substantially all of the valuation allowance outweighed the negative evidence supporting a full valuation allowance; therefore, it is more likely than not that substantially all of the deferred tax assets will be realized. As a result, during the three months ended September 30, 2026, we recognized a discrete income tax benefit of $89.4 million, primarily related to the release of substantially all of the valuation allowance. As of September 30, 2026, we maintain a valuation allowance of $4.0 million related to state net operating losses that are expected to expire prior to realization. See Note 10, “Income Taxes” included in these condensed consolidated financial statements for more information.</w:t>
      </w:r>
    </w:p>
    <w:p>
      <w:pPr>
        <w:pStyle w:val="TextBody"/>
        <w:bidi w:val="0"/>
        <w:spacing w:before="1" w:after="1"/>
        <w:jc w:val="left"/>
      </w:pPr>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condensed consolidated statements of comprehensive income data for each of the periods indicated: </w:t>
      </w:r>
    </w:p>
    <w:tbl>
      <w:tblPr>
        <w:tblW w:w="10205" w:type="dxa"/>
        <w:jc w:val="left"/>
        <w:tblInd w:w="0" w:type="dxa"/>
        <w:tblLayout w:type="fixed"/>
        <w:tblCellMar>
          <w:top w:w="28" w:type="dxa"/>
          <w:left w:w="28" w:type="dxa"/>
          <w:bottom w:w="28" w:type="dxa"/>
          <w:right w:w="28" w:type="dxa"/>
        </w:tblCellMar>
      </w:tblPr>
      <w:tblGrid>
        <w:gridCol w:w="1241"/>
        <w:gridCol w:w="1048"/>
        <w:gridCol w:w="1020"/>
        <w:gridCol w:w="285"/>
        <w:gridCol w:w="974"/>
        <w:gridCol w:w="146"/>
        <w:gridCol w:w="146"/>
        <w:gridCol w:w="146"/>
        <w:gridCol w:w="146"/>
        <w:gridCol w:w="285"/>
        <w:gridCol w:w="974"/>
        <w:gridCol w:w="146"/>
        <w:gridCol w:w="109"/>
        <w:gridCol w:w="109"/>
        <w:gridCol w:w="109"/>
        <w:gridCol w:w="262"/>
        <w:gridCol w:w="1028"/>
        <w:gridCol w:w="135"/>
        <w:gridCol w:w="135"/>
        <w:gridCol w:w="135"/>
        <w:gridCol w:w="135"/>
        <w:gridCol w:w="262"/>
        <w:gridCol w:w="1028"/>
        <w:gridCol w:w="201"/>
      </w:tblGrid>
      <w:tr>
        <w:tc>
          <w:tcPr>
            <w:tcW w:w="124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3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84,613 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246,015 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283,280 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58,082 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134,314 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173,369 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38,070 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34,489 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111,701 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109,911 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(1)</w:t>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49,055 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59,072 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46,193 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39,617 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36,910 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101,622 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104,203 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benefit (provision) for income taxes</w:t>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89,284 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101,964 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13"/>
        </w:rPr>
      </w:pPr>
      <w:r>
        <w:rPr>
          <w:rFonts w:ascii="Times New Roman;serif" w:hAnsi="Times New Roman;serif"/>
          <w:b w:val="false"/>
          <w:color w:val="000000"/>
          <w:sz w:val="13"/>
        </w:rPr>
        <w:t>__________________________</w:t>
      </w:r>
    </w:p>
    <w:p>
      <w:pPr>
        <w:pStyle w:val="TextBody"/>
        <w:bidi w:val="0"/>
        <w:spacing w:lineRule="auto" w:line="268" w:before="1" w:after="1"/>
        <w:jc w:val="both"/>
      </w:pPr>
      <w:r>
        <w:rPr>
          <w:rFonts w:ascii="Times New Roman;serif" w:hAnsi="Times New Roman;serif"/>
          <w:b w:val="false"/>
          <w:color w:val="000000"/>
          <w:sz w:val="12"/>
        </w:rPr>
        <w:t>(1)    </w:t>
      </w:r>
      <w:r>
        <w:rPr>
          <w:rFonts w:ascii="Times New Roman;serif" w:hAnsi="Times New Roman;serif"/>
          <w:b w:val="false"/>
          <w:color w:val="000000"/>
          <w:sz w:val="18"/>
        </w:rPr>
        <w:t xml:space="preserve">Includes stock-based compensation expense as follows: </w:t>
      </w:r>
    </w:p>
    <w:tbl>
      <w:tblPr>
        <w:tblW w:w="10205" w:type="dxa"/>
        <w:jc w:val="left"/>
        <w:tblInd w:w="0" w:type="dxa"/>
        <w:tblLayout w:type="fixed"/>
        <w:tblCellMar>
          <w:top w:w="28" w:type="dxa"/>
          <w:left w:w="28" w:type="dxa"/>
          <w:bottom w:w="28" w:type="dxa"/>
          <w:right w:w="28" w:type="dxa"/>
        </w:tblCellMar>
      </w:tblPr>
      <w:tblGrid>
        <w:gridCol w:w="1033"/>
        <w:gridCol w:w="909"/>
        <w:gridCol w:w="914"/>
        <w:gridCol w:w="337"/>
        <w:gridCol w:w="987"/>
        <w:gridCol w:w="174"/>
        <w:gridCol w:w="174"/>
        <w:gridCol w:w="174"/>
        <w:gridCol w:w="174"/>
        <w:gridCol w:w="337"/>
        <w:gridCol w:w="987"/>
        <w:gridCol w:w="174"/>
        <w:gridCol w:w="109"/>
        <w:gridCol w:w="109"/>
        <w:gridCol w:w="109"/>
        <w:gridCol w:w="329"/>
        <w:gridCol w:w="960"/>
        <w:gridCol w:w="169"/>
        <w:gridCol w:w="169"/>
        <w:gridCol w:w="169"/>
        <w:gridCol w:w="169"/>
        <w:gridCol w:w="329"/>
        <w:gridCol w:w="960"/>
        <w:gridCol w:w="250"/>
      </w:tblGrid>
      <w:tr>
        <w:tc>
          <w:tcPr>
            <w:tcW w:w="103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3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3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comprehensive income data expressed as a percentage of revenue*:</w:t>
      </w:r>
    </w:p>
    <w:p>
      <w:pPr>
        <w:pStyle w:val="TextBody"/>
        <w:bidi w:val="0"/>
        <w:spacing w:before="1" w:after="1"/>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281"/>
        <w:gridCol w:w="1090"/>
        <w:gridCol w:w="1060"/>
        <w:gridCol w:w="387"/>
        <w:gridCol w:w="324"/>
        <w:gridCol w:w="324"/>
        <w:gridCol w:w="324"/>
        <w:gridCol w:w="324"/>
        <w:gridCol w:w="324"/>
        <w:gridCol w:w="385"/>
        <w:gridCol w:w="324"/>
        <w:gridCol w:w="344"/>
        <w:gridCol w:w="109"/>
        <w:gridCol w:w="109"/>
        <w:gridCol w:w="109"/>
        <w:gridCol w:w="381"/>
        <w:gridCol w:w="318"/>
        <w:gridCol w:w="318"/>
        <w:gridCol w:w="318"/>
        <w:gridCol w:w="318"/>
        <w:gridCol w:w="318"/>
        <w:gridCol w:w="380"/>
        <w:gridCol w:w="318"/>
        <w:gridCol w:w="337"/>
        <w:gridCol w:w="109"/>
        <w:gridCol w:w="109"/>
        <w:gridCol w:w="163"/>
      </w:tblGrid>
      <w:tr>
        <w:tc>
          <w:tcPr>
            <w:tcW w:w="128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a percentage of revenue)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benefit (provision) for income taxes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1" w:after="1"/>
        <w:jc w:val="left"/>
      </w:pPr>
      <w:r/>
    </w:p>
    <w:p>
      <w:pPr>
        <w:pStyle w:val="TextBody"/>
        <w:bidi w:val="0"/>
        <w:spacing w:lineRule="auto" w:line="268" w:before="0" w:after="0"/>
        <w:jc w:val="left"/>
      </w:pPr>
      <w:r>
        <w:rPr>
          <w:rFonts w:ascii="Times New Roman;serif" w:hAnsi="Times New Roman;serif"/>
          <w:b w:val="false"/>
          <w:color w:val="231F20"/>
          <w:sz w:val="13"/>
        </w:rPr>
        <w:t>*</w:t>
      </w:r>
      <w:r>
        <w:rPr>
          <w:color w:val="231F20"/>
        </w:rPr>
        <w:t xml:space="preserve"> </w:t>
      </w:r>
      <w:r>
        <w:rPr>
          <w:rFonts w:ascii="Times New Roman;serif" w:hAnsi="Times New Roman;serif"/>
          <w:b w:val="false"/>
          <w:color w:val="231F20"/>
          <w:sz w:val="13"/>
        </w:rPr>
        <w:t>Amounts</w:t>
      </w:r>
      <w:r>
        <w:rPr>
          <w:color w:val="231F20"/>
        </w:rPr>
        <w:t xml:space="preserve"> </w:t>
      </w:r>
      <w:r>
        <w:rPr>
          <w:rFonts w:ascii="Times New Roman;serif" w:hAnsi="Times New Roman;serif"/>
          <w:b w:val="false"/>
          <w:color w:val="231F20"/>
          <w:sz w:val="13"/>
        </w:rPr>
        <w:t>may</w:t>
      </w:r>
      <w:r>
        <w:rPr>
          <w:color w:val="231F20"/>
        </w:rPr>
        <w:t xml:space="preserve"> </w:t>
      </w:r>
      <w:r>
        <w:rPr>
          <w:rFonts w:ascii="Times New Roman;serif" w:hAnsi="Times New Roman;serif"/>
          <w:b w:val="false"/>
          <w:color w:val="231F20"/>
          <w:sz w:val="13"/>
        </w:rPr>
        <w:t>not sum</w:t>
      </w:r>
      <w:r>
        <w:rPr>
          <w:color w:val="231F20"/>
        </w:rPr>
        <w:t xml:space="preserve"> </w:t>
      </w:r>
      <w:r>
        <w:rPr>
          <w:rFonts w:ascii="Times New Roman;serif" w:hAnsi="Times New Roman;serif"/>
          <w:b w:val="false"/>
          <w:color w:val="231F20"/>
          <w:sz w:val="13"/>
        </w:rPr>
        <w:t>due to rounding.</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Comparison of the Three and Nine Months Ended September 30, 2026 and 2025</w:t>
      </w:r>
    </w:p>
    <w:p>
      <w:pPr>
        <w:pStyle w:val="TextBody"/>
        <w:bidi w:val="0"/>
        <w:spacing w:before="1" w:after="1"/>
        <w:jc w:val="left"/>
      </w:pPr>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1775" w:type="dxa"/>
        <w:jc w:val="left"/>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315"/>
        <w:gridCol w:w="315"/>
        <w:gridCol w:w="316"/>
        <w:gridCol w:w="109"/>
        <w:gridCol w:w="109"/>
        <w:gridCol w:w="154"/>
      </w:tblGrid>
      <w:t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was $84.6 million for the three months ended September 30, 2026, as compared to $92.6 million for the three months ended September 30, 2025. The decrease of $8.0 million, or 8.6%, was primarily due to the net impact of strategic exits related to Powering Honest Growth and a decline in diaper revenue, partially offset by an increase in revenue within wipes and personal care products.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was $246.0 million for the nine months ended September 30, 2026, as compared to $283.3 million for the nine months ended September 30, 2025. The decrease of $37.3 million, or 13.2%, was primarily due to the net impact of strategic exits related to Powering Honest Growth and a decline in diaper revenue, partially offset by an increase in revenue within wipes and personal care products.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the Organic Revenue table under “Non-GAAP Financial Measures” below for further details of revenue excluding the revenue associated with the discrete exits related to Powering Honest Growth.</w:t>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before="0" w:after="0"/>
        <w:jc w:val="left"/>
      </w:p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before="1" w:after="1"/>
        <w:jc w:val="left"/>
      </w:pPr>
      <w:r/>
    </w:p>
    <w:tbl>
      <w:tblPr>
        <w:tblW w:w="11805" w:type="dxa"/>
        <w:jc w:val="left"/>
        <w:tblInd w:w="0" w:type="dxa"/>
        <w:tblLayout w:type="fixed"/>
        <w:tblCellMar>
          <w:top w:w="28" w:type="dxa"/>
          <w:left w:w="28" w:type="dxa"/>
          <w:bottom w:w="28" w:type="dxa"/>
          <w:right w:w="28" w:type="dxa"/>
        </w:tblCellMar>
      </w:tblPr>
      <w:tblGrid>
        <w:gridCol w:w="277"/>
        <w:gridCol w:w="244"/>
        <w:gridCol w:w="245"/>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315"/>
        <w:gridCol w:w="315"/>
        <w:gridCol w:w="316"/>
        <w:gridCol w:w="109"/>
        <w:gridCol w:w="109"/>
        <w:gridCol w:w="154"/>
      </w:tblGrid>
      <w:t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was $46.5 million for the three months ended September 30, 2026, as compared to $58.1 million for the three months ended September 30, 2025. The decrease of $11.5 million, or 19.9%, was primarily driven by fewer units sold due to strategic exits under Powering Honest Growth and lower fulfillment and tariff costs. Cost of revenue as a percentage of revenue decreased by 774 basis points compared to the three months ended September 30, 2025.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$38.1 million for the three months ended September 30, 2026, as compared to $34.5 million for the three months ended September 30, 2025. The increase of $3.6 million, or 10.4%, was primarily related to favorable supply chain rates due to lower fulfillment costs and tariff rates, partially offset by sales volume declines due to Powering Honest Growth. </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was $134.3 million for the nine months ended September 30, 2026, as compared to $173.4 million for the nine months ended September 30, 2025. The decrease of $39.1 million, or 22.5%, was primarily driven by fewer units sold due to strategic exits under Powering Honest Growth, lower fulfillment and tariff costs, including refunds. Cost of revenue as a percentage of revenue decreased by 660 basis points compared to the nine months ended September 30, 2025.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$111.7 million for the nine months ended September 30, 2026, as compared to $109.9 million for the nine months ended September 30, 2025. The increase of $1.8 million, or 1.6%, was primarily related to favorable supply chain rates and tariff refunds, partially offset by sales volume declines due to Powering Honest Growth. </w:t>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tbl>
      <w:tblPr>
        <w:tblW w:w="12015" w:type="dxa"/>
        <w:jc w:val="left"/>
        <w:tblInd w:w="0" w:type="dxa"/>
        <w:tblLayout w:type="fixed"/>
        <w:tblCellMar>
          <w:top w:w="28" w:type="dxa"/>
          <w:left w:w="28" w:type="dxa"/>
          <w:bottom w:w="28" w:type="dxa"/>
          <w:right w:w="28" w:type="dxa"/>
        </w:tblCellMar>
      </w:tblPr>
      <w:tblGrid>
        <w:gridCol w:w="468"/>
        <w:gridCol w:w="411"/>
        <w:gridCol w:w="412"/>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315"/>
        <w:gridCol w:w="315"/>
        <w:gridCol w:w="316"/>
        <w:gridCol w:w="109"/>
        <w:gridCol w:w="109"/>
        <w:gridCol w:w="154"/>
      </w:tblGrid>
      <w:t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$16.6 million for the three months ended September 30, 2026, as compared to $17.7 million for the three months ended September 30, 2025. The decrease of $1.1 million, or 6.0%, was primarily due to a $2.3 million decline in third-party service fees, partially offset by a $1.0 million increase in employee-related expenses. Selling, general and administrative expenses as a percentage of revenue increased 50 bps as compared to the three months ended September 30, 2025.</w:t>
      </w:r>
    </w:p>
    <w:p>
      <w:pPr>
        <w:pStyle w:val="TextBody"/>
        <w:bidi w:val="0"/>
        <w:spacing w:before="0" w:after="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Selling, general and administrative expenses were $49.1 million for the nine months ended September 30, 2026, as compared to $59.1 million for the nine months ended September 30, 2025. The decrease of $10.0 million, or 17.0%, was primarily due to a $7.5 million decline in third-party service fees, a $1.1 million decrease in legal expenses and a $0.9 million decrease in donation expense. Selling, general and administrative expenses as a percentage of revenue decreased 90</w:t>
      </w:r>
      <w:r>
        <w:rPr>
          <w:color w:val="000000"/>
        </w:rPr>
        <w:t xml:space="preserve"> </w:t>
      </w:r>
      <w:r>
        <w:rPr>
          <w:rFonts w:ascii="Times New Roman;serif" w:hAnsi="Times New Roman;serif"/>
          <w:b w:val="false"/>
          <w:color w:val="000000"/>
          <w:sz w:val="22"/>
        </w:rPr>
        <w:t>bps</w:t>
      </w:r>
      <w:r>
        <w:rPr>
          <w:color w:val="000000"/>
        </w:rPr>
        <w:t xml:space="preserve"> </w:t>
      </w:r>
      <w:r>
        <w:rPr>
          <w:rFonts w:ascii="Times New Roman;serif" w:hAnsi="Times New Roman;serif"/>
          <w:b w:val="false"/>
          <w:color w:val="000000"/>
          <w:sz w:val="20"/>
        </w:rPr>
        <w:t>as compared to the nine months ended September 30, 2025.</w:t>
      </w:r>
    </w:p>
    <w:p>
      <w:pPr>
        <w:pStyle w:val="TextBody"/>
        <w:bidi w:val="0"/>
        <w:spacing w:before="0" w:after="0"/>
        <w:ind w:left="0" w:right="0" w:firstLine="720"/>
        <w:jc w:val="left"/>
      </w:p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Marketing Expenses </w:t>
      </w:r>
    </w:p>
    <w:tbl>
      <w:tblPr>
        <w:tblW w:w="11565" w:type="dxa"/>
        <w:jc w:val="left"/>
        <w:tblInd w:w="0" w:type="dxa"/>
        <w:tblLayout w:type="fixed"/>
        <w:tblCellMar>
          <w:top w:w="28" w:type="dxa"/>
          <w:left w:w="28" w:type="dxa"/>
          <w:bottom w:w="28" w:type="dxa"/>
          <w:right w:w="28" w:type="dxa"/>
        </w:tblCellMar>
      </w:tblPr>
      <w:tblGrid>
        <w:gridCol w:w="353"/>
        <w:gridCol w:w="311"/>
        <w:gridCol w:w="31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54"/>
      </w:tblGrid>
      <w:t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bookmarkStart w:id="1" w:name="ie619bedac3314a33bd4043dcf1516301_56766"/>
      <w:bookmarkEnd w:id="1"/>
      <w:r>
        <w:rPr>
          <w:rFonts w:ascii="Times New Roman;serif" w:hAnsi="Times New Roman;serif"/>
          <w:b w:val="false"/>
          <w:color w:val="000000"/>
          <w:sz w:val="20"/>
        </w:rPr>
        <w:t xml:space="preserve">Marketing expenses were $17.7 million for the three months ended September 30, 2026, as compared to $14.8 million for the three months ended September 30, 2025. The increase of $2.9 million, or 19.8%, was primarily due to increased marketing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to support our higher growth, higher margin wipes and personal care platforms. Marketing expenses as a percentage of revenue increased 490 bps as compared to the three months ended September 30, 2025.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Marketing expenses were $46.2 million for the nine months ended September 30, 2026, as compared to $39.6 million for the nine months ended September 30, 2025. The increase of $6.6 million, or 16.6%, was primarily due to increased marketing investment to support our higher growth, higher margin wipes and personal care platforms. Marketing expenses as a percentage of revenue increased 480 bps as compared to the nine months ended September 30, 2025.</w:t>
      </w:r>
    </w:p>
    <w:p>
      <w:pPr>
        <w:pStyle w:val="TextBody"/>
        <w:bidi w:val="0"/>
        <w:spacing w:before="0" w:after="0"/>
        <w:ind w:left="0" w:right="0" w:firstLine="450"/>
        <w:jc w:val="left"/>
      </w:pPr>
      <w:r/>
    </w:p>
    <w:p>
      <w:pPr>
        <w:pStyle w:val="TextBody"/>
        <w:bidi w:val="0"/>
        <w:spacing w:lineRule="auto" w:line="28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Restructuring Expenses</w:t>
      </w:r>
    </w:p>
    <w:tbl>
      <w:tblPr>
        <w:tblW w:w="10959" w:type="dxa"/>
        <w:jc w:val="left"/>
        <w:tblInd w:w="0" w:type="dxa"/>
        <w:tblLayout w:type="fixed"/>
        <w:tblCellMar>
          <w:top w:w="28" w:type="dxa"/>
          <w:left w:w="28" w:type="dxa"/>
          <w:bottom w:w="28" w:type="dxa"/>
          <w:right w:w="28" w:type="dxa"/>
        </w:tblCellMar>
      </w:tblPr>
      <w:tblGrid>
        <w:gridCol w:w="446"/>
        <w:gridCol w:w="392"/>
        <w:gridCol w:w="393"/>
        <w:gridCol w:w="211"/>
        <w:gridCol w:w="466"/>
        <w:gridCol w:w="109"/>
        <w:gridCol w:w="109"/>
        <w:gridCol w:w="109"/>
        <w:gridCol w:w="109"/>
        <w:gridCol w:w="211"/>
        <w:gridCol w:w="406"/>
        <w:gridCol w:w="109"/>
        <w:gridCol w:w="109"/>
        <w:gridCol w:w="109"/>
        <w:gridCol w:w="109"/>
        <w:gridCol w:w="229"/>
        <w:gridCol w:w="507"/>
        <w:gridCol w:w="120"/>
        <w:gridCol w:w="109"/>
        <w:gridCol w:w="109"/>
        <w:gridCol w:w="109"/>
        <w:gridCol w:w="315"/>
        <w:gridCol w:w="315"/>
        <w:gridCol w:w="316"/>
        <w:gridCol w:w="109"/>
        <w:gridCol w:w="109"/>
        <w:gridCol w:w="109"/>
        <w:gridCol w:w="211"/>
        <w:gridCol w:w="466"/>
        <w:gridCol w:w="109"/>
        <w:gridCol w:w="109"/>
        <w:gridCol w:w="109"/>
        <w:gridCol w:w="109"/>
        <w:gridCol w:w="211"/>
        <w:gridCol w:w="406"/>
        <w:gridCol w:w="109"/>
        <w:gridCol w:w="255"/>
        <w:gridCol w:w="255"/>
        <w:gridCol w:w="256"/>
        <w:gridCol w:w="229"/>
        <w:gridCol w:w="507"/>
        <w:gridCol w:w="120"/>
        <w:gridCol w:w="109"/>
        <w:gridCol w:w="109"/>
        <w:gridCol w:w="109"/>
        <w:gridCol w:w="315"/>
        <w:gridCol w:w="315"/>
        <w:gridCol w:w="316"/>
        <w:gridCol w:w="109"/>
        <w:gridCol w:w="109"/>
        <w:gridCol w:w="154"/>
      </w:tblGrid>
      <w:t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87" w:type="dxa"/>
            <w:gridSpan w:val="4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increase</w:t>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expenses primarily included asset and other restructuring-related costs for the three months ended September 30, 2026.</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expenses included asset and other restructuring-related costs of $1.0 million, employee and personnel-related costs of $0.3 million, and an adjustment to contract and external obligation costs of $0.7 million for the nine months ended September 30, 2026.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further details on Powering Honest Growth, refer to “Transformation 2.0: Powering Honest Growth” above and Note 12, “Restructuring” in the condensed consolidated financial statements included elsewhere in this Quarterly Report on Form 10-Q. For the three and nine months ended September 30, 2025, we did not incur any restructuring expenses. </w:t>
      </w:r>
    </w:p>
    <w:p>
      <w:pPr>
        <w:pStyle w:val="TextBody"/>
        <w:bidi w:val="0"/>
        <w:spacing w:before="1" w:after="1"/>
        <w:jc w:val="left"/>
      </w:p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before="1" w:after="1"/>
        <w:jc w:val="left"/>
      </w:pPr>
      <w:r/>
    </w:p>
    <w:tbl>
      <w:tblPr>
        <w:tblW w:w="11195" w:type="dxa"/>
        <w:jc w:val="left"/>
        <w:tblInd w:w="0" w:type="dxa"/>
        <w:tblLayout w:type="fixed"/>
        <w:tblCellMar>
          <w:top w:w="28" w:type="dxa"/>
          <w:left w:w="28" w:type="dxa"/>
          <w:bottom w:w="28" w:type="dxa"/>
          <w:right w:w="28" w:type="dxa"/>
        </w:tblCellMar>
      </w:tblPr>
      <w:tblGrid>
        <w:gridCol w:w="430"/>
        <w:gridCol w:w="377"/>
        <w:gridCol w:w="379"/>
        <w:gridCol w:w="211"/>
        <w:gridCol w:w="616"/>
        <w:gridCol w:w="109"/>
        <w:gridCol w:w="109"/>
        <w:gridCol w:w="109"/>
        <w:gridCol w:w="109"/>
        <w:gridCol w:w="211"/>
        <w:gridCol w:w="616"/>
        <w:gridCol w:w="109"/>
        <w:gridCol w:w="109"/>
        <w:gridCol w:w="109"/>
        <w:gridCol w:w="109"/>
        <w:gridCol w:w="229"/>
        <w:gridCol w:w="507"/>
        <w:gridCol w:w="120"/>
        <w:gridCol w:w="109"/>
        <w:gridCol w:w="109"/>
        <w:gridCol w:w="109"/>
        <w:gridCol w:w="315"/>
        <w:gridCol w:w="315"/>
        <w:gridCol w:w="316"/>
        <w:gridCol w:w="109"/>
        <w:gridCol w:w="109"/>
        <w:gridCol w:w="109"/>
        <w:gridCol w:w="211"/>
        <w:gridCol w:w="616"/>
        <w:gridCol w:w="109"/>
        <w:gridCol w:w="109"/>
        <w:gridCol w:w="109"/>
        <w:gridCol w:w="109"/>
        <w:gridCol w:w="211"/>
        <w:gridCol w:w="616"/>
        <w:gridCol w:w="109"/>
        <w:gridCol w:w="109"/>
        <w:gridCol w:w="109"/>
        <w:gridCol w:w="109"/>
        <w:gridCol w:w="229"/>
        <w:gridCol w:w="507"/>
        <w:gridCol w:w="120"/>
        <w:gridCol w:w="109"/>
        <w:gridCol w:w="109"/>
        <w:gridCol w:w="109"/>
        <w:gridCol w:w="315"/>
        <w:gridCol w:w="315"/>
        <w:gridCol w:w="316"/>
        <w:gridCol w:w="109"/>
        <w:gridCol w:w="109"/>
        <w:gridCol w:w="154"/>
      </w:tblGrid>
      <w:t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9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$2.1 million for the three months ended September 30, 2026, as compared to $1.7 million for three months ended September 30, 2025.</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were $5.7 million for the nine months ended September 30, 2026, as compared to $5.5 million for the nine months ended September 30, 2025. </w:t>
      </w:r>
    </w:p>
    <w:p>
      <w:pPr>
        <w:pStyle w:val="TextBody"/>
        <w:bidi w:val="0"/>
        <w:spacing w:before="1" w:after="1"/>
        <w:ind w:left="0" w:right="0" w:firstLine="720"/>
        <w:jc w:val="left"/>
      </w:p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Interest and Other Income (Expense), Net</w:t>
      </w:r>
    </w:p>
    <w:p>
      <w:pPr>
        <w:pStyle w:val="TextBody"/>
        <w:bidi w:val="0"/>
        <w:spacing w:before="1" w:after="1"/>
        <w:jc w:val="left"/>
      </w:pPr>
      <w:r/>
    </w:p>
    <w:tbl>
      <w:tblPr>
        <w:tblW w:w="10205" w:type="dxa"/>
        <w:jc w:val="left"/>
        <w:tblInd w:w="0" w:type="dxa"/>
        <w:tblLayout w:type="fixed"/>
        <w:tblCellMar>
          <w:top w:w="28" w:type="dxa"/>
          <w:left w:w="28" w:type="dxa"/>
          <w:bottom w:w="28" w:type="dxa"/>
          <w:right w:w="28" w:type="dxa"/>
        </w:tblCellMar>
      </w:tblPr>
      <w:tblGrid>
        <w:gridCol w:w="983"/>
        <w:gridCol w:w="865"/>
        <w:gridCol w:w="868"/>
        <w:gridCol w:w="262"/>
        <w:gridCol w:w="579"/>
        <w:gridCol w:w="135"/>
        <w:gridCol w:w="135"/>
        <w:gridCol w:w="135"/>
        <w:gridCol w:w="135"/>
        <w:gridCol w:w="262"/>
        <w:gridCol w:w="579"/>
        <w:gridCol w:w="135"/>
        <w:gridCol w:w="116"/>
        <w:gridCol w:w="116"/>
        <w:gridCol w:w="116"/>
        <w:gridCol w:w="230"/>
        <w:gridCol w:w="508"/>
        <w:gridCol w:w="118"/>
        <w:gridCol w:w="116"/>
        <w:gridCol w:w="116"/>
        <w:gridCol w:w="116"/>
        <w:gridCol w:w="222"/>
        <w:gridCol w:w="650"/>
        <w:gridCol w:w="114"/>
        <w:gridCol w:w="114"/>
        <w:gridCol w:w="114"/>
        <w:gridCol w:w="114"/>
        <w:gridCol w:w="222"/>
        <w:gridCol w:w="650"/>
        <w:gridCol w:w="114"/>
        <w:gridCol w:w="114"/>
        <w:gridCol w:w="114"/>
        <w:gridCol w:w="114"/>
        <w:gridCol w:w="228"/>
        <w:gridCol w:w="505"/>
        <w:gridCol w:w="191"/>
      </w:tblGrid>
      <w:t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58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507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2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was net income of $0.8 million for the three months ended September 30, 2026, as compared to net income of $0.6 million for the three months ended September 30, 2025.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 was net income of $2.6 million for the nine months ended September 30, 2026, as compared to net income of $2.4 million for the nine months ended September 30, 2025.</w:t>
      </w:r>
    </w:p>
    <w:p>
      <w:pPr>
        <w:pStyle w:val="TextBody"/>
        <w:bidi w:val="0"/>
        <w:spacing w:before="0" w:after="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 Benefit (Provision)</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579"/>
        <w:gridCol w:w="509"/>
        <w:gridCol w:w="511"/>
        <w:gridCol w:w="222"/>
        <w:gridCol w:w="761"/>
        <w:gridCol w:w="114"/>
        <w:gridCol w:w="114"/>
        <w:gridCol w:w="114"/>
        <w:gridCol w:w="114"/>
        <w:gridCol w:w="222"/>
        <w:gridCol w:w="535"/>
        <w:gridCol w:w="114"/>
        <w:gridCol w:w="109"/>
        <w:gridCol w:w="109"/>
        <w:gridCol w:w="109"/>
        <w:gridCol w:w="211"/>
        <w:gridCol w:w="721"/>
        <w:gridCol w:w="109"/>
        <w:gridCol w:w="109"/>
        <w:gridCol w:w="109"/>
        <w:gridCol w:w="109"/>
        <w:gridCol w:w="128"/>
        <w:gridCol w:w="128"/>
        <w:gridCol w:w="248"/>
        <w:gridCol w:w="851"/>
        <w:gridCol w:w="128"/>
        <w:gridCol w:w="128"/>
        <w:gridCol w:w="128"/>
        <w:gridCol w:w="128"/>
        <w:gridCol w:w="248"/>
        <w:gridCol w:w="602"/>
        <w:gridCol w:w="128"/>
        <w:gridCol w:w="109"/>
        <w:gridCol w:w="109"/>
        <w:gridCol w:w="109"/>
        <w:gridCol w:w="211"/>
        <w:gridCol w:w="721"/>
        <w:gridCol w:w="109"/>
        <w:gridCol w:w="109"/>
        <w:gridCol w:w="109"/>
        <w:gridCol w:w="170"/>
      </w:tblGrid>
      <w:tr>
        <w:tc>
          <w:tcPr>
            <w:tcW w:w="5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2845"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6"/>
            <w:tcBorders/>
          </w:tcPr>
          <w:p>
            <w:pPr>
              <w:pStyle w:val="TableContents"/>
              <w:bidi w:val="0"/>
              <w:spacing w:before="0" w:after="283"/>
              <w:jc w:val="left"/>
              <w:rPr>
                <w:sz w:val="4"/>
                <w:szCs w:val="4"/>
              </w:rPr>
            </w:pPr>
            <w:r>
              <w:rPr>
                <w:sz w:val="4"/>
                <w:szCs w:val="4"/>
              </w:rPr>
            </w:r>
          </w:p>
        </w:tc>
      </w:tr>
      <w:tr>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3909"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22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89,284 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benefit was $89.4 million for the three months ended September 30, 2026, as compared to income tax provision of $0.1 million for the three months ended September 30, 2025. The change was primarily due to the $89.4 million discrete income tax benefit related to the release of substantially all of the valuation allowance against our net deferred tax assets in the current period.</w:t>
      </w:r>
    </w:p>
    <w:p>
      <w:pPr>
        <w:pStyle w:val="TextBody"/>
        <w:bidi w:val="0"/>
        <w:spacing w:before="1" w:after="1"/>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benefit was $89.3 million for the nine months ended September 30, 2026, as compared to income tax provision of $0.2 million for the nine months ended September 30, 2025. The change was primarily due to the $89.4 million discrete income tax benefit related to the release of substantially all of the valuation allowance against our net deferred tax assets in the current period.</w:t>
      </w:r>
    </w:p>
    <w:p>
      <w:pPr>
        <w:pStyle w:val="TextBody"/>
        <w:bidi w:val="0"/>
        <w:spacing w:before="0" w:after="0"/>
        <w:jc w:val="left"/>
      </w:pPr>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had $103.0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condensed consolidated financial statements. We will need to generate sufficient cash from operations or may need to raise additional capital to meet our long-term working capital and capital expenditure needs in the future. We also have availability under our 2026 Credit Facility, which was not drawn as of September 30, 2026. </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2026 Credit Facility</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a First Amendment to Credit Agreement and First Amendment to Pledge and Security Agreement (the “Amendment”) with JPMorgan Chase Bank, N.A. (“JPMorgan”), as administrative agent and lender, and the other lenders party thereto (together with JPMorgan, the “Lenders”), which amended the terms of the then existing first lien credit agreement (the “2023 Credit Facility”), extended the maturity date of the senior secured revolving credit facility (the “2026 Credit Facility”) and modified the borrowing formula and modified the interest rate.</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Credit Facility provides a revolving credit facility in an aggregate principal amount of up to $35.0 million (the “Commitment Amount”) and includes a sub-facility that provides for the issuance of letters of credit in an amount of up to $15.0 million at any time outstanding. If more than 50% of the Commitment Amount is outstanding, availability of the 2026 Credit Facility will be based upon a borrowing base formula and periodic borrowing base certifications valuing certain of our accounts receivable and inventory as reduced by certain reserves, if any. The 2026 Credit Facility includes an uncommitted accordion feature that allows for increases in the Commitment Amount to as much as an additional $35.0 million, for up to $70.0 million in potential revolving commitments. The 2026 Credit Facility is subject to customary fees for loan facilities of this type, including a commitment fee based on the average daily undrawn portion of the 2026 Credit Facility. We recognize the commitment fee as incurred in interest and other income (expense), net in the condensed consolidated statements of comprehensive income. For the three and nine months ended September 30, 2026, the commitment fee incurred was immaterial. As of September 30, 2026, there were $1.2 million of outstanding letters of credit. As of September 30, 2026, there was no outstanding borrowing under the 2026 Credit Facility, but the letters of credit reduce the amount available under the 2026 Credit Facility on a dollar-for-dollar basis.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2026 Credit Facility will be, at our option, either (a) the Adjusted Term SOFR Rate (subject to a 0.00% floor), plus a margin ranging from 1.75% to 2.25% or (b) the CB floating rate, (i) plus a margin of 0.00% or 0.25% or (ii) minus a margin of 0.25%. The margin will be based upon our leverage ratio. The CB floating rate is the higher of (a) the Wall Street Journal prime rate and (b) 2.50%.</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Credit Facility will terminate and borrowings thereunder, if any, will be due in full on March 31, 2029. Debt under the 2026 Credit Facility will be guaranteed by substantially all of our material domestic subsidiaries and will be secured by substantially all of our and such subsidiaries’ assets.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certain affirmative and negative covenants including financial covenants related to a minimum total fixed charge coverage ratio and a maximum total leverage ratio, each calculated on a trailing four fiscal quarter basis at the end of each fiscal quarter. The 2026 Credit Facility also includes customary events of default. The 2026 Credit Facility contains covenants that restrict, among other things, our ability to sell assets, make investments and acquisitions, incur indebtedness, grant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liens, change our lines of business, pay dividends and make certain other restricted payments, each subject to customary exceptions. Failure to do so, unless waived by the Lenders under the 2026 Credit Facility pursuant to its terms would result in an event of default under the 2026 Credit Facility. As of September 30, 2026, we are in compliance with all covenants under the 2026 Credit Facility.</w:t>
      </w:r>
    </w:p>
    <w:p>
      <w:pPr>
        <w:pStyle w:val="TextBody"/>
        <w:bidi w:val="0"/>
        <w:spacing w:before="1" w:after="1"/>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5, “Credit Facilities” included in the condensed consolidated financial statements included elsewhere in this Quarterly Report on Form 10-Q for more information on the 2026 Credit Facility. </w:t>
      </w:r>
    </w:p>
    <w:p>
      <w:pPr>
        <w:pStyle w:val="TextBody"/>
        <w:bidi w:val="0"/>
        <w:spacing w:before="0" w:after="0"/>
        <w:jc w:val="left"/>
      </w:p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there were no changes to our material cash requirements from those described under “Management's Discussion and Analysis of Financial Condition and Results of Operations” in our Annual Report, except for the corporate office lease entered into in June 2026. Refer to Note 11, “Leases” included in the condensed consolidated financial statements included elsewhere in this Quarterly Report on Form 10-Q for more information on the corporate office lease. </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1" w:after="1"/>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825" w:type="dxa"/>
        <w:jc w:val="left"/>
        <w:tblInd w:w="0" w:type="dxa"/>
        <w:tblLayout w:type="fixed"/>
        <w:tblCellMar>
          <w:top w:w="28" w:type="dxa"/>
          <w:left w:w="28" w:type="dxa"/>
          <w:bottom w:w="28" w:type="dxa"/>
          <w:right w:w="28" w:type="dxa"/>
        </w:tblCellMar>
      </w:tblPr>
      <w:tblGrid>
        <w:gridCol w:w="1526"/>
        <w:gridCol w:w="1343"/>
        <w:gridCol w:w="1346"/>
        <w:gridCol w:w="305"/>
        <w:gridCol w:w="1151"/>
        <w:gridCol w:w="157"/>
        <w:gridCol w:w="157"/>
        <w:gridCol w:w="157"/>
        <w:gridCol w:w="157"/>
        <w:gridCol w:w="305"/>
        <w:gridCol w:w="999"/>
        <w:gridCol w:w="222"/>
      </w:tblGrid>
      <w:tr>
        <w:tc>
          <w:tcPr>
            <w:tcW w:w="152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33,283 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0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0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largest source of operating cash is from the sales of our products to our customers. Our primary uses of cash from operating activities are for cost of revenue, selling, general and administrative expenses, marketing expenses and research and development expenses. </w:t>
      </w:r>
    </w:p>
    <w:p>
      <w:pPr>
        <w:pStyle w:val="TextBody"/>
        <w:bidi w:val="0"/>
        <w:spacing w:before="0" w:after="0"/>
        <w:ind w:left="0" w:right="0" w:firstLine="72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Net cash provided by operating activities of $33.3 million for the nine months ended September 30, 2026 was primarily due to net income of $102.0 million and a net increase in cash related to changes in operating assets and liabilities of $2.9 million, offset by non-cash adjustments of $71.6 million. The change in operating assets and liabilities primarily consisted of a $20.1 million decrease in inventory, partially offset by a $11.3 million increase in accounts receivable and a $6.9 million use of cash due to operating lease obligations. Non-cash adjustments primarily consisted of a deferred income tax benefit of $89.4 million</w:t>
      </w:r>
      <w:r>
        <w:rPr>
          <w:rFonts w:ascii="Times New Roman;serif" w:hAnsi="Times New Roman;serif"/>
          <w:b w:val="false"/>
          <w:color w:val="000000"/>
          <w:sz w:val="22"/>
        </w:rPr>
        <w:t xml:space="preserve">, </w:t>
      </w:r>
      <w:r>
        <w:rPr>
          <w:rFonts w:ascii="Times New Roman;serif" w:hAnsi="Times New Roman;serif"/>
          <w:b w:val="false"/>
          <w:color w:val="000000"/>
          <w:sz w:val="20"/>
        </w:rPr>
        <w:t>stock-based compensation expense of $8.6 million, amortization of operating Right-of-Use (“ROU”) assets of $4.9 million and depreciation and amortization of $2.0 million. Other non-cash adjustments, primarily consisting of accounts receivable reserves, inventory reserves, donation expense and utilization and write-off of marketing and transportation credits are included in "other" in the accompanying condensed consolidated statements of cash flows.</w:t>
      </w:r>
    </w:p>
    <w:p>
      <w:pPr>
        <w:pStyle w:val="TextBody"/>
        <w:bidi w:val="0"/>
        <w:spacing w:before="1" w:after="1"/>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of $4.2 million for the nine months ended September 30, 2025 was primarily due to a net decrease in cash related to changes in operating assets and liabilities of $29.4 million, partially offset by non-cash adjustments of $17.3 million and net income of $7.9 million. The change in operating assets and liabilities primarily consisted of a $15.1 million decrease in accounts payable and accrued expenses due to timing of payments, a $10.8 million increase in inventory, a $6.4 million use of cash due to operating lease obligations, and a $0.3 million decrease in deferred revenue, partially offset by a $2.7 million decrease in prepaid expenses and other assets. Non-cash adjustments primarily consisted of stock-based compensation expense of $7.5 million, amortization of operating ROU assets of $5.0 million, and depreciation and amortization of $2.2 million. Other non-cash adjustments, primarily consisting of accounts receivable reserves, inventory reserves, donation expense and utilization and write-off of marketing and transportation credits are included in "other" in the accompanying condensed consolidated statements of cash flows.</w:t>
      </w:r>
    </w:p>
    <w:p>
      <w:pPr>
        <w:pStyle w:val="TextBody"/>
        <w:bidi w:val="0"/>
        <w:spacing w:before="1" w:after="1"/>
        <w:jc w:val="left"/>
      </w:p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 of investing cash is property and equipment.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$2.8 million and $0.3 million for the nine months ended September 30, 2026, and September 30, 2025, respectively, was due to the purchase of property and equipment.</w:t>
      </w:r>
    </w:p>
    <w:p>
      <w:pPr>
        <w:pStyle w:val="TextBody"/>
        <w:bidi w:val="0"/>
        <w:spacing w:before="0" w:after="0"/>
        <w:ind w:left="0" w:right="0" w:firstLine="720"/>
        <w:jc w:val="left"/>
      </w:pPr>
      <w:r/>
    </w:p>
    <w:p>
      <w:pPr>
        <w:pStyle w:val="TextBody"/>
        <w:bidi w:val="0"/>
        <w:spacing w:before="0" w:after="0"/>
        <w:jc w:val="left"/>
      </w:pPr>
      <w:r/>
    </w:p>
    <w:p>
      <w:pPr>
        <w:pStyle w:val="TextBody"/>
        <w:bidi w:val="0"/>
        <w:spacing w:before="1" w:after="1"/>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before="0" w:after="0"/>
        <w:jc w:val="left"/>
      </w:pPr>
      <w:r/>
    </w:p>
    <w:p>
      <w:pPr>
        <w:pStyle w:val="TextBody"/>
        <w:bidi w:val="0"/>
        <w:spacing w:before="1" w:after="1"/>
        <w:jc w:val="left"/>
      </w:pPr>
      <w:r/>
    </w:p>
    <w:p>
      <w:pPr>
        <w:pStyle w:val="TextBody"/>
        <w:bidi w:val="0"/>
        <w:spacing w:before="1" w:after="1"/>
        <w:jc w:val="left"/>
      </w:p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consisted of share repurchases, proceeds from sales of securities, proceeds from stock option award exercises and principal payments of financing lease obligations. </w:t>
      </w:r>
    </w:p>
    <w:p>
      <w:pPr>
        <w:pStyle w:val="TextBody"/>
        <w:bidi w:val="0"/>
        <w:spacing w:before="0" w:after="0"/>
        <w:ind w:left="0" w:right="0" w:firstLine="49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Net cash used in financing activities of $17.1 million for the nine months ended September 30, 2026 consisted primarily of $25.1 million</w:t>
      </w:r>
      <w:r>
        <w:rPr>
          <w:color w:val="000000"/>
        </w:rPr>
        <w:t xml:space="preserve"> </w:t>
      </w:r>
      <w:r>
        <w:rPr>
          <w:rFonts w:ascii="Times New Roman;serif" w:hAnsi="Times New Roman;serif"/>
          <w:b w:val="false"/>
          <w:color w:val="000000"/>
          <w:sz w:val="20"/>
        </w:rPr>
        <w:t xml:space="preserve">of repurchases of common stock and $7.9 million of proceeds from stock option exercises.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$0.5 million for the nine months ended September 30, 2025 consisted primarily of $0.4 million of proceeds from stock option award exercises.</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Share Repurchase Program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On February 20, 2026, our Board of Directors approved our first share repurchase program for up to $25.0 million of our outstanding common stock. As of August 6, 2026, the Company had completed the program. On October 30, 2026, our Board of Directors approved a new share repurchase program for up to $30.0 million of our outstanding common stock. Under the program, share repurchases are made at our discretion from time to time in open market or privately negotiated transactions, or by other means, including through Rule 10b5-1 trading plans. The timing and number of shares repurchased under the program will depend on a variety of factors, including, without limitation, stock price and trading volume. The share repurchase program does not obligate us to purchase any shares, has no expiration date and may be modified, suspended or terminated at any time. We expect to fund repurchases with a combination of existing cash and cash equivalents and cash flows from operations. </w:t>
      </w:r>
    </w:p>
    <w:p>
      <w:pPr>
        <w:pStyle w:val="TextBody"/>
        <w:bidi w:val="0"/>
        <w:spacing w:before="0" w:after="0"/>
        <w:ind w:left="0" w:right="0" w:firstLine="720"/>
        <w:jc w:val="left"/>
      </w:pPr>
      <w:r/>
    </w:p>
    <w:p>
      <w:pPr>
        <w:pStyle w:val="TextBody"/>
        <w:bidi w:val="0"/>
        <w:spacing w:lineRule="auto" w:line="268" w:before="1" w:after="1"/>
        <w:ind w:left="0" w:right="0" w:firstLine="720"/>
        <w:jc w:val="left"/>
      </w:pPr>
      <w:r>
        <w:rPr>
          <w:rFonts w:ascii="Times New Roman;serif" w:hAnsi="Times New Roman;serif"/>
          <w:b w:val="false"/>
          <w:color w:val="231F20"/>
          <w:sz w:val="20"/>
        </w:rPr>
        <w:t>We repurchased approximately 7.2 million</w:t>
      </w:r>
      <w:r>
        <w:rPr>
          <w:color w:val="000000"/>
        </w:rPr>
        <w:t xml:space="preserve"> </w:t>
      </w:r>
      <w:r>
        <w:rPr>
          <w:rFonts w:ascii="Times New Roman;serif" w:hAnsi="Times New Roman;serif"/>
          <w:b w:val="false"/>
          <w:color w:val="231F20"/>
          <w:sz w:val="20"/>
        </w:rPr>
        <w:t xml:space="preserve">shares of common stock at a weighted average share price of </w:t>
      </w:r>
      <w:r>
        <w:rPr>
          <w:rFonts w:ascii="Times New Roman;serif" w:hAnsi="Times New Roman;serif"/>
          <w:b w:val="false"/>
          <w:color w:val="000000"/>
          <w:sz w:val="20"/>
        </w:rPr>
        <w:t>$3.47</w:t>
      </w:r>
      <w:r>
        <w:rPr>
          <w:color w:val="231F20"/>
        </w:rPr>
        <w:t xml:space="preserve"> </w:t>
      </w:r>
      <w:r>
        <w:rPr>
          <w:rFonts w:ascii="Times New Roman;serif" w:hAnsi="Times New Roman;serif"/>
          <w:b w:val="false"/>
          <w:color w:val="231F20"/>
          <w:sz w:val="20"/>
        </w:rPr>
        <w:t xml:space="preserve">per share, for an aggregate amount of </w:t>
      </w:r>
      <w:r>
        <w:rPr>
          <w:rFonts w:ascii="Times New Roman;serif" w:hAnsi="Times New Roman;serif"/>
          <w:b w:val="false"/>
          <w:color w:val="000000"/>
          <w:sz w:val="20"/>
        </w:rPr>
        <w:t>$25.0 million</w:t>
      </w:r>
      <w:r>
        <w:rPr>
          <w:rFonts w:ascii="Times New Roman;serif" w:hAnsi="Times New Roman;serif"/>
          <w:b w:val="false"/>
          <w:color w:val="231F20"/>
          <w:sz w:val="20"/>
        </w:rPr>
        <w:t xml:space="preserve">, during the </w:t>
      </w:r>
      <w:r>
        <w:rPr>
          <w:rFonts w:ascii="Times New Roman;serif" w:hAnsi="Times New Roman;serif"/>
          <w:b w:val="false"/>
          <w:color w:val="000000"/>
          <w:sz w:val="20"/>
        </w:rPr>
        <w:t>nine months ended September 30, 2026</w:t>
      </w:r>
      <w:r>
        <w:rPr>
          <w:rFonts w:ascii="Times New Roman;serif" w:hAnsi="Times New Roman;serif"/>
          <w:b w:val="false"/>
          <w:color w:val="231F20"/>
          <w:sz w:val="20"/>
        </w:rPr>
        <w:t xml:space="preserve">. </w:t>
      </w:r>
    </w:p>
    <w:p>
      <w:pPr>
        <w:pStyle w:val="TextBody"/>
        <w:bidi w:val="0"/>
        <w:spacing w:before="0" w:after="0"/>
        <w:ind w:left="0" w:right="0" w:firstLine="720"/>
        <w:jc w:val="left"/>
      </w:p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8, “Stockholders' Equity” and Note 13 “Subsequent Events” included in the condensed consolidated financial statements included elsewhere in this Quarterly Report on Form 10-Q for more information on the share repurchase program. </w:t>
      </w:r>
    </w:p>
    <w:p>
      <w:pPr>
        <w:pStyle w:val="TextBody"/>
        <w:bidi w:val="0"/>
        <w:spacing w:before="1" w:after="1"/>
        <w:ind w:left="0" w:right="0" w:firstLine="720"/>
        <w:jc w:val="left"/>
      </w:pPr>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2026 Credit Facility contains restrictions on our ability to pay dividends. </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and present our condensed consolidated financial statements in accordance with GAAP. However, management believes that Organic Revenue and Adjusted EBITDA, which are non-GAAP financial measures, provide investors with additional useful information in evaluating our performance. </w:t>
      </w:r>
    </w:p>
    <w:p>
      <w:pPr>
        <w:pStyle w:val="TextBody"/>
        <w:bidi w:val="0"/>
        <w:spacing w:before="1" w:after="1"/>
        <w:jc w:val="left"/>
      </w:p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Organic Revenue as net revenue, adjusted to exclude revenue from exited operations in connection with Powering Honest Growth including: (1) product revenue from our apparel line; (2) revenue from our Honest.com website as a fulfillment center; (3) revenue from sales to Canadian retailers or channels and (4) in certain periods, revenue from other acquisitions, divestitures and product or channel exits.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Adjusted EBITDA as net income, adjusted to exclude: (1) interest and other (income) expense, net; (2) income tax provision; (3) depreciation and amortization; (4) stock-based compensation expense, including payroll tax; (5) litigation and settlement fees associated with certain non-ordinary course securities litigation claims; (6) executive officer transition expenses; and (7) restructuring-related expenses in connection with Powering Honest Growth.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Organic Revenue and Adjusted EBITDA are financial measures that are not required by, or presented in accordance with GAAP. We believe that Organic Revenue and Adjusted EBITDA, when taken together with our financial results presented in accordance with GAAP, provide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Organic Revenue and Adjusted EBITDA are helpful to our investors as they are measures used by management in assessing the health of our business, determining incentive compensation and evaluating our operating performance, as well as for internal planning and forecasting purposes.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before="0" w:after="0"/>
        <w:jc w:val="left"/>
      </w:pPr>
      <w:r/>
    </w:p>
    <w:p>
      <w:pPr>
        <w:pStyle w:val="TextBody"/>
        <w:bidi w:val="0"/>
        <w:spacing w:before="1" w:after="1"/>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believe Organic Revenue is helpful to our investors as it adjusts for revenue sources that we exited in connection with Powering Honest Growth. We anticipate disclosing this measure until the exited revenue streams are removed from the comparable prior period. </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it does not include certain non-ordinary cash expenses that we do not believe are representative of our business on a steady-state basis, such as executive officer transition expenses. In addition, our use of Adjusted EBITDA and Organic Revenue may not be comparable to similarly titled measures of other companies because they may not calculate Adjusted EBITDA in the same manner, limiting its usefulness as a comparative measure. Because of these limitations, when evaluating our performance, you should consider Organic Revenue and Adjusted EBITDA alongside other financial measures, including our revenue, net income and other results stated in accordance with GAAP. </w:t>
      </w:r>
    </w:p>
    <w:p>
      <w:pPr>
        <w:pStyle w:val="TextBody"/>
        <w:bidi w:val="0"/>
        <w:spacing w:before="0" w:after="0"/>
        <w:ind w:left="0" w:right="0" w:firstLine="720"/>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revenue, the most directly comparable financial measure stated in accordance with GAAP, to Organic Revenue, for each of the periods presented: </w:t>
      </w:r>
    </w:p>
    <w:p>
      <w:pPr>
        <w:pStyle w:val="TextBody"/>
        <w:bidi w:val="0"/>
        <w:spacing w:before="1" w:after="1"/>
        <w:jc w:val="left"/>
      </w:pPr>
      <w:r/>
    </w:p>
    <w:tbl>
      <w:tblPr>
        <w:tblW w:w="10205" w:type="dxa"/>
        <w:jc w:val="left"/>
        <w:tblInd w:w="0" w:type="dxa"/>
        <w:tblLayout w:type="fixed"/>
        <w:tblCellMar>
          <w:top w:w="28" w:type="dxa"/>
          <w:left w:w="28" w:type="dxa"/>
          <w:bottom w:w="28" w:type="dxa"/>
          <w:right w:w="28" w:type="dxa"/>
        </w:tblCellMar>
      </w:tblPr>
      <w:tblGrid>
        <w:gridCol w:w="1180"/>
        <w:gridCol w:w="1038"/>
        <w:gridCol w:w="1043"/>
        <w:gridCol w:w="287"/>
        <w:gridCol w:w="983"/>
        <w:gridCol w:w="147"/>
        <w:gridCol w:w="147"/>
        <w:gridCol w:w="147"/>
        <w:gridCol w:w="147"/>
        <w:gridCol w:w="287"/>
        <w:gridCol w:w="983"/>
        <w:gridCol w:w="147"/>
        <w:gridCol w:w="109"/>
        <w:gridCol w:w="109"/>
        <w:gridCol w:w="109"/>
        <w:gridCol w:w="264"/>
        <w:gridCol w:w="1034"/>
        <w:gridCol w:w="135"/>
        <w:gridCol w:w="135"/>
        <w:gridCol w:w="135"/>
        <w:gridCol w:w="135"/>
        <w:gridCol w:w="264"/>
        <w:gridCol w:w="1034"/>
        <w:gridCol w:w="206"/>
      </w:tblGrid>
      <w:tr>
        <w:tc>
          <w:tcPr>
            <w:tcW w:w="11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Revenue to Organic Revenue</w:t>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84,613 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92,571 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246,015 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283,280 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revenue from:</w:t>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Apparel</w:t>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Honest.com</w:t>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w:t>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79,270 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72,577 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237,559 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222,855 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left"/>
      </w:p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net income, the most directly comparable financial measure stated in accordance with GAAP, to Adjusted EBITDA, for each of the periods presented: </w:t>
      </w:r>
    </w:p>
    <w:p>
      <w:pPr>
        <w:pStyle w:val="TextBody"/>
        <w:bidi w:val="0"/>
        <w:spacing w:before="240" w:after="283"/>
        <w:jc w:val="left"/>
      </w:pPr>
      <w:r/>
    </w:p>
    <w:tbl>
      <w:tblPr>
        <w:tblW w:w="10205" w:type="dxa"/>
        <w:jc w:val="left"/>
        <w:tblInd w:w="0" w:type="dxa"/>
        <w:tblLayout w:type="fixed"/>
        <w:tblCellMar>
          <w:top w:w="28" w:type="dxa"/>
          <w:left w:w="28" w:type="dxa"/>
          <w:bottom w:w="28" w:type="dxa"/>
          <w:right w:w="28" w:type="dxa"/>
        </w:tblCellMar>
      </w:tblPr>
      <w:tblGrid>
        <w:gridCol w:w="1418"/>
        <w:gridCol w:w="1074"/>
        <w:gridCol w:w="1079"/>
        <w:gridCol w:w="284"/>
        <w:gridCol w:w="973"/>
        <w:gridCol w:w="146"/>
        <w:gridCol w:w="146"/>
        <w:gridCol w:w="146"/>
        <w:gridCol w:w="146"/>
        <w:gridCol w:w="284"/>
        <w:gridCol w:w="831"/>
        <w:gridCol w:w="146"/>
        <w:gridCol w:w="109"/>
        <w:gridCol w:w="109"/>
        <w:gridCol w:w="109"/>
        <w:gridCol w:w="263"/>
        <w:gridCol w:w="1031"/>
        <w:gridCol w:w="136"/>
        <w:gridCol w:w="136"/>
        <w:gridCol w:w="136"/>
        <w:gridCol w:w="136"/>
        <w:gridCol w:w="263"/>
        <w:gridCol w:w="900"/>
        <w:gridCol w:w="204"/>
      </w:tblGrid>
      <w:tr>
        <w:tc>
          <w:tcPr>
            <w:tcW w:w="14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to Adjusted EBITDA</w:t>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2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2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(89,284)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litigation expense</w:t>
            </w:r>
          </w:p>
        </w:tc>
        <w:tc>
          <w:tcPr>
            <w:tcW w:w="12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Executive officer transition expense</w:t>
            </w:r>
            <w:r>
              <w:rPr>
                <w:rFonts w:ascii="Times New Roman;serif" w:hAnsi="Times New Roman;serif"/>
                <w:b w:val="false"/>
                <w:color w:val="000000"/>
                <w:sz w:val="13"/>
              </w:rPr>
              <w:t>(1)</w:t>
            </w:r>
          </w:p>
        </w:tc>
        <w:tc>
          <w:tcPr>
            <w:tcW w:w="12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Restructuring-related costs</w:t>
            </w:r>
            <w:r>
              <w:rPr>
                <w:rFonts w:ascii="Times New Roman;serif" w:hAnsi="Times New Roman;serif"/>
                <w:b w:val="false"/>
                <w:color w:val="000000"/>
                <w:sz w:val="13"/>
              </w:rPr>
              <w:t>(2)</w:t>
            </w:r>
          </w:p>
        </w:tc>
        <w:tc>
          <w:tcPr>
            <w:tcW w:w="12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expense related to stock-based compensation</w:t>
            </w:r>
          </w:p>
        </w:tc>
        <w:tc>
          <w:tcPr>
            <w:tcW w:w="12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24,689 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18,068 </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w:t>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For the three and nine months ended September 30, 2026 and 2025 this included Chief Financial Officer transition expenses. </w:t>
      </w:r>
    </w:p>
    <w:p>
      <w:pPr>
        <w:pStyle w:val="TextBody"/>
        <w:bidi w:val="0"/>
        <w:spacing w:lineRule="auto" w:line="276"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(2) See Note 12 “Restructuring” in our condensed consolidated financial statements included elsewhere in this Quarterly Report on Form 10-Q for items included in restructuring-related costs. </w:t>
      </w:r>
    </w:p>
    <w:p>
      <w:pPr>
        <w:pStyle w:val="TextBody"/>
        <w:bidi w:val="0"/>
        <w:spacing w:before="0" w:after="0"/>
        <w:ind w:left="0" w:right="0" w:hanging="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hanging="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and nine months ended September 30, 2026, there were no material changes to our critical accounting estimates from those discussed in our Annual Report. </w:t>
      </w:r>
    </w:p>
    <w:p>
      <w:pPr>
        <w:pStyle w:val="TextBody"/>
        <w:bidi w:val="0"/>
        <w:spacing w:before="0" w:after="0"/>
        <w:ind w:left="0" w:right="0" w:hanging="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hanging="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to our condensed consolidated financial statements included elsewhere in this Quarterly Report on Form 10-Q for a discussion of recently issued accounting pronouncements.</w:t>
      </w:r>
    </w:p>
    <w:p>
      <w:pPr>
        <w:pStyle w:val="TextBody"/>
        <w:bidi w:val="0"/>
        <w:spacing w:before="0" w:after="0"/>
        <w:jc w:val="left"/>
      </w:p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Emerging Growth Company Status </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We will no longer qualify as an emerging growth company as of December 31, 2026, or earlier if certain conditions exist.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inflation risk. </w:t>
      </w:r>
    </w:p>
    <w:p>
      <w:pPr>
        <w:pStyle w:val="TextBody"/>
        <w:bidi w:val="0"/>
        <w:spacing w:before="0" w:after="0"/>
        <w:jc w:val="left"/>
      </w:pPr>
      <w:r/>
    </w:p>
    <w:p>
      <w:pPr>
        <w:pStyle w:val="TextBody"/>
        <w:bidi w:val="0"/>
        <w:spacing w:lineRule="auto" w:line="288" w:before="1" w:after="1"/>
        <w:jc w:val="left"/>
      </w:pPr>
      <w:r>
        <w:rPr>
          <w:color w:val="000000"/>
        </w:rPr>
        <w:t> </w:t>
      </w:r>
      <w:r>
        <w:rPr>
          <w:rFonts w:ascii="Times New Roman;serif" w:hAnsi="Times New Roman;serif"/>
          <w:b/>
          <w:i/>
          <w:color w:val="000000"/>
          <w:sz w:val="20"/>
        </w:rPr>
        <w:t xml:space="preserve">Interest Rate Risk </w:t>
      </w:r>
    </w:p>
    <w:p>
      <w:pPr>
        <w:pStyle w:val="TextBody"/>
        <w:bidi w:val="0"/>
        <w:spacing w:before="1" w:after="1"/>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of $103.0 million as of September 30, 2026, which consisted of short-term, highly liquid investments with stated maturities of three months or less. Interest-earning instruments carry a degree of interest rate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would not result in a material impact on our condensed consolidated financial statements. </w:t>
      </w:r>
    </w:p>
    <w:p>
      <w:pPr>
        <w:pStyle w:val="TextBody"/>
        <w:bidi w:val="0"/>
        <w:spacing w:before="1" w:after="1"/>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interest rate risk in connection with our 2026 Credit Facility. See the section titled “Liquidity and Capital Resources—2026 Credit Facility” above. To the extent that borrowings were outstanding, we do not believe that a hypothetical 10% change in the interest rate would have a material effect on our results of operations or financial condition for the three and nine months ended September 30, 2026. </w:t>
      </w:r>
    </w:p>
    <w:p>
      <w:pPr>
        <w:pStyle w:val="TextBody"/>
        <w:bidi w:val="0"/>
        <w:spacing w:before="1" w:after="1"/>
        <w:jc w:val="left"/>
      </w:p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before="1" w:after="1"/>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may continue to experience an increase in commodity prices, labor costs, input costs and transportation costs. As part of Powering Honest Growth, we have implemented a robust cost-savings program, including optimization of our contract manufacturing strategies, optimization of our supply chain footprint and inventory management, along with leveraging technology to improve systems, reduced shipping and logistic costs, and product costs. If we are unable to offset these changing costs through further cost saving initiatives, price increases or cost reductions, our inability or failure to do so could harm our business, results of operations and financial condition. </w:t>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TextBody"/>
        <w:bidi w:val="0"/>
        <w:spacing w:before="1" w:after="1"/>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before="0" w:after="0"/>
        <w:jc w:val="left"/>
      </w:pPr>
      <w:r/>
    </w:p>
    <w:p>
      <w:pPr>
        <w:pStyle w:val="TextBody"/>
        <w:bidi w:val="0"/>
        <w:spacing w:before="1" w:after="1"/>
        <w:jc w:val="left"/>
      </w:pPr>
      <w:r/>
    </w:p>
    <w:p>
      <w:pPr>
        <w:pStyle w:val="TextBody"/>
        <w:bidi w:val="0"/>
        <w:spacing w:before="1" w:after="1"/>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ind w:left="0" w:right="0" w:hanging="720"/>
        <w:jc w:val="left"/>
      </w:p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We maintain “disclosure controls a</w:t>
      </w:r>
      <w:r>
        <w:rPr>
          <w:rFonts w:ascii="Times New Roman;serif" w:hAnsi="Times New Roman;serif"/>
          <w:b w:val="false"/>
          <w:color w:val="000000"/>
          <w:sz w:val="20"/>
          <w:shd w:fill="FFFFFF" w:val="clear"/>
        </w:rPr>
        <w:t xml:space="preserve">nd procedures,” as defined in Rules 13a-15(e) and 15d-15(e) under the Securities Exchange Act of 1934, as amended, (the </w:t>
      </w:r>
      <w:r>
        <w:rPr>
          <w:color w:val="000000"/>
        </w:rPr>
        <w:t>“</w:t>
      </w:r>
      <w:r>
        <w:rPr>
          <w:rFonts w:ascii="Times New Roman;serif" w:hAnsi="Times New Roman;serif"/>
          <w:b w:val="false"/>
          <w:color w:val="000000"/>
          <w:sz w:val="20"/>
          <w:shd w:fill="FFFFFF" w:val="clear"/>
        </w:rPr>
        <w:t xml:space="preserve">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erif" w:hAnsi="Times New Roman;serif"/>
          <w:b w:val="false"/>
          <w:color w:val="000000"/>
          <w:sz w:val="20"/>
        </w:rPr>
        <w:t xml:space="preserve">Our management, with the participation of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evaluated, as of the period ended September 30, 2026,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color w:val="000000"/>
          <w:sz w:val="20"/>
        </w:rPr>
        <w:t>Changes in Internal Control over Financial Reporting</w:t>
      </w:r>
      <w:r>
        <w:rPr>
          <w:color w:val="000000"/>
        </w:rPr>
        <w:t xml:space="preserve"> </w:t>
      </w:r>
    </w:p>
    <w:p>
      <w:pPr>
        <w:pStyle w:val="TextBody"/>
        <w:bidi w:val="0"/>
        <w:spacing w:before="0" w:after="0"/>
        <w:jc w:val="left"/>
      </w:p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the Company's internal control over financial reporting that occurred during the quarter ended September 30, 2026 that has materially affected, or is reasonably likely to materially affect, the Company's internal control over financial reporting.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pPr>
      <w:r/>
    </w:p>
    <w:p>
      <w:pPr>
        <w:pStyle w:val="TextBody"/>
        <w:bidi w:val="0"/>
        <w:spacing w:lineRule="auto" w:line="268" w:before="1" w:after="1"/>
        <w:ind w:left="0" w:right="0" w:firstLine="720"/>
        <w:jc w:val="left"/>
      </w:pPr>
      <w:r>
        <w:rPr>
          <w:rFonts w:ascii="Times New Roman;serif" w:hAnsi="Times New Roman;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ind w:left="0" w:right="0" w:hanging="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under the heading “Litigation” in Note 7 to our condensed consolidated financial statements included in this Quarterly Report on Form 10-Q is incorporated by reference into this Item.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substantial risks. Some of the more significant risks include the following:</w:t>
      </w:r>
    </w:p>
    <w:p>
      <w:pPr>
        <w:pStyle w:val="TextBody"/>
        <w:bidi w:val="0"/>
        <w:spacing w:before="0" w:after="0"/>
        <w:jc w:val="left"/>
      </w:pPr>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Our quarterly operating results may fluctuate, which could cause our stock price to decline.</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Our future success depends, in part, on our ability to achieve our long-term strategy.</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Our strategic initiatives, including as part of the Transformation Initiative and Transformation 2.0: Powering Honest Growth, to reduce our costs could have short and long-term adverse effects on our business, financial condition, results of operations and prospects, could result in total costs and expenses that are greater than expected, and we may not realize the operational or financial benefits from such actions.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We may be unable to accurately forecast revenue, gross margin or operating expenses and appropriately plan our expenses in the future.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We may not be able to compete successfully in our highly competitive market.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Overall macroeconomic trends, including due to geopolitical uncertainty, have had and may continue to have an adverse effect on our business, financial condition, results of operations and prospects.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If we fail to manage our inventory effectively, our business, financial condition, results of operations and liquidity may be materially and adversely affected.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inability to secure, maintain and increase our presence with retailers could adversely impact our revenue, and in turn our business, financial condition, results of operations and prospects could be adversely affected.</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International trade disputes and the U.S. government’s trade policy, including recently enacted tariffs and potential new tariffs, could adversely affect our business, financial condition, results of operations and prospects.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Our ability to maintain our competitive position is largely dependent on the services of our senior management and other key personnel.</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We have a history of net losses and we may not be able to achieve or maintain profitability in the future.</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Our business may be adversely affected if we are unable to respond and adapt to rapid changes in technology.</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A disruption in our operations could have an adverse effect on our business.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 xml:space="preserve">We rely on third-party suppliers, manufacturers, retail and ecommerce customers and other vendors, and they may not continue to produce products or provide services that are consistent with our standards or applicable regulatory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requirements, which could adversely affect our business, harm our brand, cause consumer dissatisfaction, and require us to find alternative suppliers of our products or services.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pStyle w:val="TextBody"/>
        <w:bidi w:val="0"/>
        <w:spacing w:before="0" w:after="0"/>
        <w:ind w:left="0" w:right="0" w:firstLine="720"/>
        <w:jc w:val="left"/>
      </w:p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RISK FACTORS</w:t>
      </w:r>
    </w:p>
    <w:p>
      <w:pPr>
        <w:pStyle w:val="TextBody"/>
        <w:bidi w:val="0"/>
        <w:spacing w:before="0" w:after="0"/>
        <w:jc w:val="left"/>
      </w:pPr>
      <w:r/>
    </w:p>
    <w:p>
      <w:pPr>
        <w:pStyle w:val="TextBody"/>
        <w:bidi w:val="0"/>
        <w:spacing w:lineRule="auto" w:line="268" w:before="0" w:after="0"/>
        <w:ind w:left="0" w:right="0" w:firstLine="720"/>
        <w:jc w:val="left"/>
      </w:pPr>
      <w:r>
        <w:rPr>
          <w:rFonts w:ascii="Times New Roman;serif" w:hAnsi="Times New Roman;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 xml:space="preserve">included in our Annual Report. </w:t>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We are subject to international business uncertainties.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business relies on third-party suppliers and manufacturers located in China, Mexico, and certain other foreign countries. We intend to continue to sell to consumers outside the United States and maintain our relationships in foreign countries where we have suppliers and manufacturers. Further, we may establish additional relationships in other countries in the future. Increased international operations may be subject to risks such as: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231F20"/>
          <w:sz w:val="20"/>
        </w:rPr>
        <w:t>burdens of complying with a wide variety of laws and regulations, including more stringent regulations relating to data privacy and security, particularly in the European Union;</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adverse tax effects and foreign exchange controls making it difficult to repatriate earnings and cash;</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political and economic instability;</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terrorist activities and natural disasters;</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trade restrictions;</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differing employment practices and laws and labor disruptions;</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the imposition of government controls;</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an inability to use or to obtain adequate intellectual property protection for our brand and key products;</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difficulties in enforcing contracts and legal decisions;</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tariffs and customs duties and the classifications of our goods by applicable governmental bodies;</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a legal system subject to undue influence or corruption;</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a business culture in which illegal sales practices may be prevalent;</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logistics and sourcing; and</w:t>
      </w:r>
    </w:p>
    <w:p>
      <w:pPr>
        <w:pStyle w:val="TextBody"/>
        <w:bidi w:val="0"/>
        <w:spacing w:lineRule="auto" w:line="268" w:before="0" w:after="0"/>
        <w:ind w:left="0" w:right="0" w:hanging="360"/>
        <w:jc w:val="left"/>
      </w:pPr>
      <w:r>
        <w:rPr>
          <w:color w:val="231F20"/>
        </w:rPr>
        <w:t>•</w:t>
      </w:r>
      <w:r>
        <w:rPr>
          <w:rFonts w:ascii="Times New Roman;serif" w:hAnsi="Times New Roman;serif"/>
          <w:b w:val="false"/>
          <w:color w:val="231F20"/>
          <w:sz w:val="20"/>
        </w:rPr>
        <w:t>military conflicts.</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occurrence of any of these risks could have an adverse effect on our international business and consequently our overall business, financial condition, results of operations and prospects.</w:t>
      </w:r>
    </w:p>
    <w:p>
      <w:pPr>
        <w:pStyle w:val="TextBody"/>
        <w:bidi w:val="0"/>
        <w:spacing w:before="0" w:after="0"/>
        <w:jc w:val="left"/>
      </w:pPr>
      <w:r/>
    </w:p>
    <w:p>
      <w:pPr>
        <w:pStyle w:val="TextBody"/>
        <w:bidi w:val="0"/>
        <w:spacing w:lineRule="auto" w:line="268" w:before="0" w:after="0"/>
        <w:ind w:left="0" w:right="0" w:firstLine="720"/>
        <w:jc w:val="left"/>
      </w:pPr>
      <w:r>
        <w:rPr>
          <w:rFonts w:ascii="Times New Roman;serif" w:hAnsi="Times New Roman;serif"/>
          <w:b w:val="false"/>
          <w:color w:val="000000"/>
          <w:sz w:val="20"/>
        </w:rPr>
        <w:t>In addition, while we do not currently have operations in Russia, Ukraine, or the Middle East, due to the impact of the ongoing conflicts in those regions on the global economy, we have experienced and may continue to experience supply chain constraints; inflation in input costs, logistics, manufacturing, and labor costs; volatility in fuel and commodity prices and fluctuations in foreign exchange rates and interest rates, any of which could adversely impact our results of operations.</w:t>
      </w:r>
      <w:r>
        <w:rPr>
          <w:color w:val="000000"/>
        </w:rPr>
        <w:t xml:space="preserve"> </w:t>
      </w:r>
      <w:r>
        <w:rPr>
          <w:rFonts w:ascii="Times New Roman;serif" w:hAnsi="Times New Roman;serif"/>
          <w:b w:val="false"/>
          <w:color w:val="000000"/>
          <w:sz w:val="20"/>
        </w:rPr>
        <w:t>In particular, the raw materials and packaging in our personal care products include petrochemicals, which have experienced and may continue to experience increased prices which may adversely impact our operating expenses.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conditions could further adversely affect our business in several ways. Increased energy prices and shipping costs may raise the cost of goods sourced from our suppliers in China and other foreign countries, and our suppliers and manufacturers may pass those increased costs on to us or experience production disruptions. Prolonged disruption to global supply chains could delay the receipt of raw materials and finished goods, impair our ability to fulfill customer orders, and increase the cost of maintaining adequate inventory levels. Heightened sanctions enforcement, including U.S. designations targeting entities in China and other countries for facilitating Iranian trade networks, could affect our supply chain relationships or require additional compliance diligence. More broadly, sustained regional instability, rising energy costs, and the risk of global economic slowdown could reduce consumer demand for our products. There can be no assurance that these conditions will not worsen or that further escalation will not occur. Any of the foregoing could have a material adverse effect on our business, financial condition, and results of operations.</w:t>
      </w:r>
    </w:p>
    <w:p>
      <w:pPr>
        <w:pStyle w:val="TextBody"/>
        <w:bidi w:val="0"/>
        <w:spacing w:before="0" w:after="0"/>
        <w:ind w:left="0" w:right="0" w:firstLine="720"/>
        <w:jc w:val="left"/>
      </w:pPr>
      <w:r/>
    </w:p>
    <w:p>
      <w:pPr>
        <w:pStyle w:val="TextBody"/>
        <w:bidi w:val="0"/>
        <w:spacing w:before="0" w:after="0"/>
        <w:ind w:left="0" w:right="0" w:firstLine="720"/>
        <w:jc w:val="left"/>
      </w:pPr>
      <w:r/>
    </w:p>
    <w:p>
      <w:pPr>
        <w:pStyle w:val="TextBody"/>
        <w:bidi w:val="0"/>
        <w:spacing w:before="0" w:after="0"/>
        <w:ind w:left="0" w:right="0" w:firstLine="720"/>
        <w:jc w:val="left"/>
      </w:pPr>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before="0" w:after="0"/>
        <w:jc w:val="left"/>
      </w:pPr>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before="0" w:after="0"/>
        <w:jc w:val="left"/>
      </w:p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repurchase activity for the three months ended September 30, 2026 (in thousands, except for price per share) and the approximate dollar value of shares that may yet be purchased pursuant to our authorized share repurchase program:</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664"/>
        <w:gridCol w:w="451"/>
        <w:gridCol w:w="355"/>
        <w:gridCol w:w="109"/>
        <w:gridCol w:w="109"/>
        <w:gridCol w:w="109"/>
        <w:gridCol w:w="711"/>
        <w:gridCol w:w="415"/>
        <w:gridCol w:w="416"/>
        <w:gridCol w:w="109"/>
        <w:gridCol w:w="109"/>
        <w:gridCol w:w="109"/>
        <w:gridCol w:w="325"/>
        <w:gridCol w:w="791"/>
        <w:gridCol w:w="169"/>
        <w:gridCol w:w="109"/>
        <w:gridCol w:w="109"/>
        <w:gridCol w:w="109"/>
        <w:gridCol w:w="937"/>
        <w:gridCol w:w="683"/>
        <w:gridCol w:w="685"/>
        <w:gridCol w:w="109"/>
        <w:gridCol w:w="109"/>
        <w:gridCol w:w="109"/>
        <w:gridCol w:w="404"/>
        <w:gridCol w:w="1586"/>
        <w:gridCol w:w="305"/>
      </w:tblGrid>
      <w:tr>
        <w:tc>
          <w:tcPr>
            <w:tcW w:w="66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val="false"/>
                <w:color w:val="000000"/>
                <w:sz w:val="20"/>
              </w:rPr>
              <w:t>Total number of shares purchased as part of the publicly announced plans or programs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val="false"/>
                <w:color w:val="000000"/>
                <w:sz w:val="20"/>
              </w:rPr>
              <w:t>Approximate dollar value of shares that may yet be purchased under the plans or programs</w:t>
            </w:r>
            <w:r>
              <w:rPr>
                <w:rFonts w:ascii="Times New Roman;serif" w:hAnsi="Times New Roman;serif"/>
                <w:b w:val="false"/>
                <w:color w:val="000000"/>
                <w:sz w:val="13"/>
              </w:rPr>
              <w:t>(1)</w:t>
            </w:r>
          </w:p>
        </w:tc>
      </w:tr>
      <w:t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July 1, 2026 - </w:t>
              <w:b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1,414,779 </w:t>
            </w:r>
          </w:p>
        </w:tc>
        <w:tc>
          <w:tcPr>
            <w:tcW w:w="4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1,414,779 </w:t>
            </w:r>
          </w:p>
        </w:tc>
        <w:tc>
          <w:tcPr>
            <w:tcW w:w="6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836,327 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August 1, 2026 - </w:t>
              <w:b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223,869 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223,869 </w:t>
            </w:r>
          </w:p>
        </w:tc>
        <w:tc>
          <w:tcPr>
            <w:tcW w:w="6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2026 -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1,638,648 </w:t>
            </w:r>
          </w:p>
        </w:tc>
        <w:tc>
          <w:tcPr>
            <w:tcW w:w="4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w:t>
      </w:r>
    </w:p>
    <w:p>
      <w:pPr>
        <w:pStyle w:val="TextBody"/>
        <w:bidi w:val="0"/>
        <w:spacing w:before="0" w:after="0"/>
        <w:jc w:val="left"/>
      </w:pPr>
      <w:r/>
    </w:p>
    <w:p>
      <w:pPr>
        <w:pStyle w:val="TextBody"/>
        <w:bidi w:val="0"/>
        <w:spacing w:lineRule="auto" w:line="276" w:before="0" w:after="0"/>
        <w:jc w:val="left"/>
      </w:pPr>
      <w:r>
        <w:rPr>
          <w:rFonts w:ascii="Times New Roman;serif" w:hAnsi="Times New Roman;serif"/>
          <w:b w:val="false"/>
          <w:color w:val="000000"/>
          <w:sz w:val="13"/>
        </w:rPr>
        <w:t xml:space="preserve">(1) </w:t>
      </w:r>
      <w:r>
        <w:rPr>
          <w:rFonts w:ascii="Times New Roman;serif" w:hAnsi="Times New Roman;serif"/>
          <w:b w:val="false"/>
          <w:color w:val="231F20"/>
          <w:sz w:val="13"/>
        </w:rPr>
        <w:t xml:space="preserve">On February 20, 2026, the Company's Board of Directors approved the Company's first share repurchase program for up to $25.0 million of its outstanding common stock. The repurchase program had no expiration date and may be modified, suspended or terminated </w:t>
      </w:r>
      <w:r>
        <w:rPr>
          <w:rFonts w:ascii="Times New Roman;serif" w:hAnsi="Times New Roman;serif"/>
          <w:b w:val="false"/>
          <w:color w:val="000000"/>
          <w:sz w:val="13"/>
        </w:rPr>
        <w:t>at any time. As of August 6, 2026, the Company had completed the program.</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hanging="720"/>
        <w:jc w:val="left"/>
      </w:p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hanging="720"/>
        <w:jc w:val="left"/>
      </w:p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p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398"/>
        <w:gridCol w:w="349"/>
        <w:gridCol w:w="350"/>
        <w:gridCol w:w="109"/>
        <w:gridCol w:w="109"/>
        <w:gridCol w:w="109"/>
        <w:gridCol w:w="2687"/>
        <w:gridCol w:w="2515"/>
        <w:gridCol w:w="3579"/>
      </w:tblGrid>
      <w:tr>
        <w:tc>
          <w:tcPr>
            <w:tcW w:w="3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3579" w:type="dxa"/>
            <w:tcBorders/>
            <w:vAlign w:val="center"/>
          </w:tcPr>
          <w:p>
            <w:pPr>
              <w:pStyle w:val="TableContents"/>
              <w:bidi w:val="0"/>
              <w:spacing w:before="0" w:after="283"/>
              <w:jc w:val="left"/>
              <w:rPr>
                <w:sz w:val="4"/>
                <w:szCs w:val="4"/>
              </w:rPr>
            </w:pPr>
            <w:r>
              <w:rPr>
                <w:sz w:val="4"/>
                <w:szCs w:val="4"/>
              </w:rPr>
            </w:r>
          </w:p>
        </w:tc>
      </w:tr>
      <w:tr>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c>
          <w:tcPr>
            <w:tcW w:w="109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pPr>
            <w:hyperlink r:id="rId3">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as currently in effect (incorporated herein by reference to Exhibit 3.1 to the Company’s Current Report on Form 8-K (File No. 001-40378), filed with the SEC on May 11, 2021).</w:t>
            </w:r>
          </w:p>
        </w:tc>
      </w:tr>
      <w:tr>
        <w:tc>
          <w:tcPr>
            <w:tcW w:w="1097" w:type="dxa"/>
            <w:gridSpan w:val="3"/>
            <w:tcBorders/>
            <w:tcMar>
              <w:top w:w="0" w:type="dxa"/>
              <w:left w:w="0" w:type="dxa"/>
              <w:bottom w:w="0" w:type="dxa"/>
              <w:right w:w="0" w:type="dxa"/>
            </w:tcMar>
            <w:vAlign w:val="center"/>
          </w:tcPr>
          <w:p>
            <w:pPr>
              <w:pStyle w:val="TableContents"/>
              <w:bidi w:val="0"/>
              <w:spacing w:lineRule="auto" w:line="288" w:before="0" w:after="0"/>
              <w:jc w:val="left"/>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as currently in effect (incorporated herein by reference to Exhibit 3.1 to the Company’s Current Report on Form 8-K (File No. 001-40378), filed with the SEC on March 12, 2025).</w:t>
            </w:r>
          </w:p>
        </w:tc>
      </w:tr>
      <w:tr>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1" w:type="dxa"/>
            <w:gridSpan w:val="3"/>
            <w:tcBorders/>
            <w:vAlign w:val="center"/>
          </w:tcPr>
          <w:p>
            <w:pPr>
              <w:pStyle w:val="TableContents"/>
              <w:bidi w:val="0"/>
              <w:spacing w:before="0" w:after="283"/>
              <w:jc w:val="left"/>
              <w:rPr>
                <w:sz w:val="4"/>
                <w:szCs w:val="4"/>
              </w:rPr>
            </w:pPr>
            <w:r>
              <w:rPr>
                <w:sz w:val="4"/>
                <w:szCs w:val="4"/>
              </w:rPr>
            </w:r>
          </w:p>
        </w:tc>
      </w:tr>
      <w:tr>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1" w:type="dxa"/>
            <w:gridSpan w:val="3"/>
            <w:tcBorders/>
            <w:vAlign w:val="center"/>
          </w:tcPr>
          <w:p>
            <w:pPr>
              <w:pStyle w:val="TableContents"/>
              <w:bidi w:val="0"/>
              <w:spacing w:before="0" w:after="283"/>
              <w:jc w:val="left"/>
              <w:rPr>
                <w:sz w:val="4"/>
                <w:szCs w:val="4"/>
              </w:rPr>
            </w:pPr>
            <w:r>
              <w:rPr>
                <w:sz w:val="4"/>
                <w:szCs w:val="4"/>
              </w:rPr>
            </w:r>
          </w:p>
        </w:tc>
      </w:tr>
      <w:tr>
        <w:tc>
          <w:tcPr>
            <w:tcW w:w="109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honestcoq3-26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and Rule 15d-14(a), as adopted pursuant to Section 302 of the Sarbanes-Oxley Act of 2002</w:t>
            </w:r>
          </w:p>
        </w:tc>
      </w:tr>
      <w:tr>
        <w:tc>
          <w:tcPr>
            <w:tcW w:w="109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honestcoq3-26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and Rule 15d-14(a), as adopted pursuant to Section 302 of the Sarbanes-Oxley Act of 2002</w:t>
            </w:r>
          </w:p>
        </w:tc>
      </w:tr>
      <w:tr>
        <w:tc>
          <w:tcPr>
            <w:tcW w:w="109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honestcoq3-26exhibit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Certification of Principal Executive Officer pursuant to 18 U.S.C. Section 1350, as adopted pursuant to Section 906 of the Sarbanes-Oxley Act of 2002 </w:t>
            </w:r>
          </w:p>
        </w:tc>
      </w:tr>
      <w:tr>
        <w:tc>
          <w:tcPr>
            <w:tcW w:w="109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honestcoq3-26exhibit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w:t>
            </w:r>
          </w:p>
        </w:tc>
      </w:tr>
      <w:tr>
        <w:tc>
          <w:tcPr>
            <w:tcW w:w="10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101.INS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—the instance document does not appear in the Interactive Data File because its XBRL tags are embedded within the Inline XBRL document.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p>
      <w:pPr>
        <w:pStyle w:val="TextBody"/>
        <w:bidi w:val="0"/>
        <w:spacing w:before="0" w:after="0"/>
        <w:jc w:val="left"/>
      </w:p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6" w:before="0" w:after="0"/>
        <w:jc w:val="left"/>
        <w:rPr>
          <w:rFonts w:ascii="Times New Roman;serif" w:hAnsi="Times New Roman;serif"/>
          <w:b w:val="false"/>
          <w:color w:val="000000"/>
          <w:sz w:val="13"/>
        </w:rPr>
      </w:pPr>
      <w:r>
        <w:rPr>
          <w:rFonts w:ascii="Times New Roman;serif" w:hAnsi="Times New Roman;serif"/>
          <w:b w:val="false"/>
          <w:color w:val="000000"/>
          <w:sz w:val="13"/>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pPr>
      <w:r/>
    </w:p>
    <w:tbl>
      <w:tblPr>
        <w:tblW w:w="8740" w:type="dxa"/>
        <w:jc w:val="left"/>
        <w:tblInd w:w="0" w:type="dxa"/>
        <w:tblLayout w:type="fixed"/>
        <w:tblCellMar>
          <w:top w:w="28" w:type="dxa"/>
          <w:left w:w="28" w:type="dxa"/>
          <w:bottom w:w="28" w:type="dxa"/>
          <w:right w:w="28" w:type="dxa"/>
        </w:tblCellMar>
      </w:tblPr>
      <w:tblGrid>
        <w:gridCol w:w="759"/>
        <w:gridCol w:w="668"/>
        <w:gridCol w:w="672"/>
        <w:gridCol w:w="359"/>
        <w:gridCol w:w="359"/>
        <w:gridCol w:w="359"/>
        <w:gridCol w:w="1619"/>
        <w:gridCol w:w="1619"/>
        <w:gridCol w:w="232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Honest Company, Inc.</w:t>
            </w:r>
          </w:p>
        </w:tc>
      </w:tr>
      <w:t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Carla Vernón </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Carla Vernón </w:t>
            </w:r>
          </w:p>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Curtiss Bruce</w:t>
            </w:r>
          </w:p>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Executive Vice President, Chief Financial and Operating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Operating Officer and </w:t>
              <w:br/>
              <w:t>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Carla Vernón, certify that:</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Honest Company, Inc.;</w:t>
      </w:r>
    </w:p>
    <w:p>
      <w:pPr>
        <w:pStyle w:val="TextBody"/>
        <w:bidi w:val="0"/>
        <w:spacing w:before="0" w:after="0"/>
        <w:ind w:left="0" w:right="0" w:firstLine="720"/>
        <w:jc w:val="left"/>
      </w:p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pPr>
      <w:r/>
    </w:p>
    <w:p>
      <w:pPr>
        <w:pStyle w:val="TextBody"/>
        <w:bidi w:val="0"/>
        <w:spacing w:before="0" w:after="0"/>
        <w:jc w:val="left"/>
      </w:pPr>
      <w:r/>
    </w:p>
    <w:tbl>
      <w:tblPr>
        <w:tblW w:w="562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13"/>
        <w:gridCol w:w="913"/>
        <w:gridCol w:w="1293"/>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Carla Vernón</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Carla Vernón </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ind w:left="0" w:right="0" w:firstLine="720"/>
        <w:jc w:val="left"/>
      </w:p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Curtiss Bruce, certify that:</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Honest Company, Inc.;</w:t>
      </w:r>
    </w:p>
    <w:p>
      <w:pPr>
        <w:pStyle w:val="TextBody"/>
        <w:bidi w:val="0"/>
        <w:spacing w:before="0" w:after="0"/>
        <w:ind w:left="0" w:right="0" w:firstLine="720"/>
        <w:jc w:val="left"/>
      </w:p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p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pPr>
      <w:r/>
    </w:p>
    <w:tbl>
      <w:tblPr>
        <w:tblW w:w="8424" w:type="dxa"/>
        <w:jc w:val="left"/>
        <w:tblInd w:w="0" w:type="dxa"/>
        <w:tblLayout w:type="fixed"/>
        <w:tblCellMar>
          <w:top w:w="28" w:type="dxa"/>
          <w:left w:w="28" w:type="dxa"/>
          <w:bottom w:w="28" w:type="dxa"/>
          <w:right w:w="28" w:type="dxa"/>
        </w:tblCellMar>
      </w:tblPr>
      <w:tblGrid>
        <w:gridCol w:w="759"/>
        <w:gridCol w:w="668"/>
        <w:gridCol w:w="672"/>
        <w:gridCol w:w="267"/>
        <w:gridCol w:w="267"/>
        <w:gridCol w:w="272"/>
        <w:gridCol w:w="1609"/>
        <w:gridCol w:w="1609"/>
        <w:gridCol w:w="2301"/>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c>
          <w:tcPr>
            <w:tcW w:w="2099" w:type="dxa"/>
            <w:gridSpan w:val="3"/>
            <w:tcBorders/>
            <w:tcMar>
              <w:top w:w="0" w:type="dxa"/>
              <w:left w:w="0" w:type="dxa"/>
              <w:bottom w:w="0" w:type="dxa"/>
              <w:right w:w="0" w:type="dxa"/>
            </w:tcMar>
            <w:vAlign w:val="center"/>
          </w:tcPr>
          <w:p>
            <w:pPr>
              <w:pStyle w:val="TableContents"/>
              <w:bidi w:val="0"/>
              <w:spacing w:before="0" w:after="0"/>
              <w:ind w:left="0" w:right="0" w:firstLine="720"/>
              <w:jc w:val="left"/>
            </w:p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pPr>
            <w:r/>
          </w:p>
        </w:tc>
        <w:tc>
          <w:tcPr>
            <w:tcW w:w="5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and Operating Officer</w:t>
            </w:r>
          </w:p>
        </w:tc>
      </w:tr>
      <w:tr>
        <w:tc>
          <w:tcPr>
            <w:tcW w:w="2099" w:type="dxa"/>
            <w:gridSpan w:val="3"/>
            <w:tcBorders/>
            <w:tcMar>
              <w:top w:w="0" w:type="dxa"/>
              <w:left w:w="0" w:type="dxa"/>
              <w:bottom w:w="0" w:type="dxa"/>
              <w:right w:w="0" w:type="dxa"/>
            </w:tcMar>
            <w:vAlign w:val="center"/>
          </w:tcPr>
          <w:p>
            <w:pPr>
              <w:pStyle w:val="TableContents"/>
              <w:bidi w:val="0"/>
              <w:spacing w:before="0" w:after="0"/>
              <w:ind w:left="0" w:right="0" w:firstLine="720"/>
              <w:jc w:val="left"/>
            </w:p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pPr>
            <w:r/>
          </w:p>
        </w:tc>
        <w:tc>
          <w:tcPr>
            <w:tcW w:w="551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Operating and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right"/>
      </w:pPr>
      <w:r/>
    </w:p>
    <w:p>
      <w:pPr>
        <w:pStyle w:val="TextBody"/>
        <w:bidi w:val="0"/>
        <w:spacing w:before="0" w:after="0"/>
        <w:jc w:val="right"/>
      </w:p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pPr>
      <w:r/>
    </w:p>
    <w:p>
      <w:pPr>
        <w:pStyle w:val="TextBody"/>
        <w:bidi w:val="0"/>
        <w:spacing w:lineRule="auto" w:line="254"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Honest Company, Inc. (the “Company”) for the period ended September 30, 2026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p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p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pPr>
      <w:r/>
    </w:p>
    <w:p>
      <w:pPr>
        <w:pStyle w:val="TextBody"/>
        <w:bidi w:val="0"/>
        <w:spacing w:before="0" w:after="0"/>
        <w:jc w:val="left"/>
      </w:pPr>
      <w:r/>
    </w:p>
    <w:tbl>
      <w:tblPr>
        <w:tblW w:w="562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13"/>
        <w:gridCol w:w="913"/>
        <w:gridCol w:w="1293"/>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Carla Vernón</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Carla Vernón</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20"/>
        <w:jc w:val="left"/>
      </w:p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right"/>
      </w:pPr>
      <w:r/>
    </w:p>
    <w:p>
      <w:pPr>
        <w:pStyle w:val="TextBody"/>
        <w:bidi w:val="0"/>
        <w:spacing w:before="0" w:after="0"/>
        <w:jc w:val="right"/>
      </w:p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Honest Company, Inc. (the “Company”) for the period ended September 30, 2026 as filed with the Securities and Exchange Commission on the date hereof (the “Report”), I, Curtiss Bruce,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p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p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pPr>
      <w:r/>
    </w:p>
    <w:p>
      <w:pPr>
        <w:pStyle w:val="TextBody"/>
        <w:bidi w:val="0"/>
        <w:spacing w:before="0" w:after="0"/>
        <w:jc w:val="left"/>
      </w:pPr>
      <w:r/>
    </w:p>
    <w:tbl>
      <w:tblPr>
        <w:tblW w:w="784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1557"/>
        <w:gridCol w:w="1557"/>
        <w:gridCol w:w="222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and Operating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Operating and Accounting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5000024/thehonestcompanyinc-arby.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24928</Words>
  <Characters>141006</Characters>
  <CharactersWithSpaces>164782</CharactersWithSpaces>
  <Paragraphs>2370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