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660" w:right="1620" w:hanging="3587"/>
        <w:spacing w:after="0" w:line="200" w:lineRule="auto"/>
        <w:tabs>
          <w:tab w:leader="none" w:pos="476"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191135</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285750</wp:posOffset>
            </wp:positionV>
            <wp:extent cx="18002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29210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840" w:type="dxa"/>
            <w:vAlign w:val="bottom"/>
          </w:tcPr>
          <w:p>
            <w:pPr>
              <w:jc w:val="center"/>
              <w:ind w:left="45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84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40" w:type="dxa"/>
            <w:vAlign w:val="bottom"/>
          </w:tcPr>
          <w:p>
            <w:pPr>
              <w:spacing w:after="0"/>
              <w:rPr>
                <w:sz w:val="18"/>
                <w:szCs w:val="18"/>
                <w:color w:val="auto"/>
              </w:rPr>
            </w:pPr>
          </w:p>
        </w:tc>
      </w:tr>
      <w:tr>
        <w:trPr>
          <w:trHeight w:val="238"/>
        </w:trPr>
        <w:tc>
          <w:tcPr>
            <w:tcW w:w="44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jc w:val="both"/>
        <w:ind w:firstLine="539"/>
        <w:spacing w:after="0" w:line="19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jc w:val="both"/>
        <w:ind w:firstLine="539"/>
        <w:spacing w:after="0" w:line="1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539"/>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3" w:lineRule="exact"/>
        <w:rPr>
          <w:sz w:val="24"/>
          <w:szCs w:val="24"/>
          <w:color w:val="auto"/>
        </w:rPr>
      </w:pPr>
    </w:p>
    <w:p>
      <w:pPr>
        <w:ind w:right="280" w:firstLine="539"/>
        <w:spacing w:after="0" w:line="21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16" w:right="339" w:bottom="122" w:gutter="0" w:footer="0" w:header="0"/>
        </w:sectPr>
      </w:pPr>
    </w:p>
    <w:bookmarkStart w:id="1" w:name="page2"/>
    <w:bookmarkEnd w:id="1"/>
    <w:p>
      <w:pPr>
        <w:spacing w:after="0" w:line="207" w:lineRule="exact"/>
        <w:tabs>
          <w:tab w:leader="none" w:pos="8320" w:val="left"/>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9639"/>
          </w:cols>
          <w:pgMar w:left="820" w:top="81" w:right="1440" w:bottom="1440" w:gutter="0" w:footer="0" w:header="0"/>
        </w:sect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November 8, 2024, the registrant had 100,961,365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1007745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43180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639"/>
          </w:cols>
          <w:pgMar w:left="820" w:top="81" w:right="1440" w:bottom="1440" w:gutter="0" w:footer="0" w:header="0"/>
          <w:type w:val="continuous"/>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Under Senior Securities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9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40" w:top="765" w:right="479" w:bottom="8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5" w:right="479" w:bottom="874" w:gutter="0" w:footer="0" w:header="0"/>
          <w:type w:val="continuous"/>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if any, and other factors set forth in other parts of this Quarterly Report on Form 10-Q as well as in Part I, Item 1A, “Risk Factors” in our Annual Report on Form 10-K for the fiscal year ended December 31, 2023 (the “Annual Report”), filed with the Securities and Exchange Commission (“SEC”) on March 8, 2024.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sustain profitability; our ability to continue to launch new products; momentum in our business; our ability to attract and retain customers; our ability to execute on and to continue driving benefits from our Transformation Pillars of Brand Maximization, Margin Enhancement, and Operating Discipline; our marketing strategies; our continued focus on research, development and innovation; our expectations regarding consumer demand and the timing and amount of orders from key customers; the effect of macroeconomic factors, including supply chain disruptions and inflationary pressures; anticipated trends, growth rates, and challenges in our business and in the markets in which we operate; and our ability to execute on other business strategies, plans and objectives of management for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5"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040" w:type="dxa"/>
            <w:vAlign w:val="bottom"/>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9"/>
              </w:rPr>
              <w:t>The Honest Company, Inc.</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80" w:type="dxa"/>
            <w:vAlign w:val="bottom"/>
            <w:gridSpan w:val="2"/>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60" w:type="dxa"/>
            <w:vAlign w:val="bottom"/>
            <w:gridSpan w:val="4"/>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3"/>
                <w:szCs w:val="23"/>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157,772</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209,203</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201,621</w:t>
            </w:r>
          </w:p>
        </w:tc>
        <w:tc>
          <w:tcPr>
            <w:tcW w:w="0" w:type="dxa"/>
            <w:vAlign w:val="bottom"/>
          </w:tcPr>
          <w:p>
            <w:pPr>
              <w:spacing w:after="0"/>
              <w:rPr>
                <w:sz w:val="1"/>
                <w:szCs w:val="1"/>
                <w:color w:val="auto"/>
              </w:rPr>
            </w:pPr>
          </w:p>
        </w:tc>
      </w:tr>
      <w:tr>
        <w:trPr>
          <w:trHeight w:val="21"/>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liabilities</w:t>
            </w: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3"/>
                <w:szCs w:val="23"/>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78,482</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Commitments and contingencies (Note </w:t>
            </w:r>
            <w:r>
              <w:rPr>
                <w:rFonts w:ascii="Times New Roman" w:cs="Times New Roman" w:eastAsia="Times New Roman" w:hAnsi="Times New Roman"/>
                <w:sz w:val="19"/>
                <w:szCs w:val="19"/>
                <w:color w:val="auto"/>
              </w:rPr>
              <w:t>7</w:t>
            </w: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September 30, 2024 and</w:t>
            </w: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none issued or outstanding as of September 30, 2024 and December 31,</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at September 30, 2024 and</w:t>
            </w: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101,203,839 and 95,868,421 shares issued and outstanding as of</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618,241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209,203</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201,621</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6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99,237</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86,169</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278,503</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(40,037)</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(40,306)</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302"/>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100,690,486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95,179,604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98,688,196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94,137,244</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104,588,417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95,179,604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98,688,196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94,137,244</w:t>
            </w:r>
          </w:p>
        </w:tc>
        <w:tc>
          <w:tcPr>
            <w:tcW w:w="0" w:type="dxa"/>
            <w:vAlign w:val="bottom"/>
          </w:tcPr>
          <w:p>
            <w:pPr>
              <w:spacing w:after="0"/>
              <w:rPr>
                <w:sz w:val="1"/>
                <w:szCs w:val="1"/>
                <w:color w:val="auto"/>
              </w:rPr>
            </w:pPr>
          </w:p>
        </w:tc>
      </w:tr>
      <w:tr>
        <w:trPr>
          <w:trHeight w:val="54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short-term investments, net of taxes</w:t>
            </w:r>
          </w:p>
        </w:tc>
        <w:tc>
          <w:tcPr>
            <w:tcW w:w="24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 Stock and Stockholders’ Equity (Deficit)</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26035</wp:posOffset>
            </wp:positionV>
            <wp:extent cx="8890" cy="383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3831590"/>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 Convertible Preferred</w:t>
            </w:r>
          </w:p>
        </w:tc>
        <w:tc>
          <w:tcPr>
            <w:tcW w:w="0" w:type="dxa"/>
            <w:vAlign w:val="bottom"/>
          </w:tcPr>
          <w:p>
            <w:pPr>
              <w:spacing w:after="0"/>
              <w:rPr>
                <w:sz w:val="1"/>
                <w:szCs w:val="1"/>
                <w:color w:val="auto"/>
              </w:rPr>
            </w:pPr>
          </w:p>
        </w:tc>
      </w:tr>
      <w:tr>
        <w:trPr>
          <w:trHeight w:val="212"/>
        </w:trPr>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2"/>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Shares issued under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employee stock purchase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1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plan</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 restricted stock</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880" w:type="dxa"/>
            <w:vAlign w:val="bottom"/>
          </w:tcPr>
          <w:p>
            <w:pPr>
              <w:spacing w:after="0"/>
              <w:rPr>
                <w:sz w:val="16"/>
                <w:szCs w:val="16"/>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198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20" w:type="dxa"/>
            <w:vAlign w:val="bottom"/>
            <w:gridSpan w:val="3"/>
          </w:tcPr>
          <w:p>
            <w:pPr>
              <w:jc w:val="right"/>
              <w:ind w:right="14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80" w:type="dxa"/>
            <w:vAlign w:val="bottom"/>
            <w:gridSpan w:val="3"/>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5"/>
                <w:szCs w:val="15"/>
                <w:color w:val="auto"/>
              </w:rPr>
            </w:pPr>
          </w:p>
        </w:tc>
        <w:tc>
          <w:tcPr>
            <w:tcW w:w="840" w:type="dxa"/>
            <w:vAlign w:val="bottom"/>
          </w:tcPr>
          <w:p>
            <w:pPr>
              <w:jc w:val="center"/>
              <w:ind w:right="79"/>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0"/>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20"/>
                <w:szCs w:val="20"/>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413"/>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92,907,351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586,213</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(439,830)</w:t>
            </w:r>
          </w:p>
        </w:tc>
        <w:tc>
          <w:tcPr>
            <w:tcW w:w="80" w:type="dxa"/>
            <w:vAlign w:val="bottom"/>
          </w:tcPr>
          <w:p>
            <w:pPr>
              <w:spacing w:after="0"/>
              <w:rPr>
                <w:sz w:val="24"/>
                <w:szCs w:val="2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146,360</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56"/>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549,484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93,456,835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589,985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(458,697)</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131,284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0" w:type="dxa"/>
            <w:vAlign w:val="bottom"/>
          </w:tcPr>
          <w:p>
            <w:pPr>
              <w:spacing w:after="0"/>
              <w:rPr>
                <w:sz w:val="1"/>
                <w:szCs w:val="1"/>
                <w:color w:val="auto"/>
              </w:rPr>
            </w:pPr>
          </w:p>
        </w:tc>
      </w:tr>
      <w:tr>
        <w:trPr>
          <w:trHeight w:val="297"/>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1,532,507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47"/>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68,884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51"/>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95,060,526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596,504</w:t>
            </w:r>
          </w:p>
        </w:tc>
        <w:tc>
          <w:tcPr>
            <w:tcW w:w="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(472,113)</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124,400</w:t>
            </w:r>
          </w:p>
        </w:tc>
        <w:tc>
          <w:tcPr>
            <w:tcW w:w="0" w:type="dxa"/>
            <w:vAlign w:val="bottom"/>
          </w:tcPr>
          <w:p>
            <w:pPr>
              <w:spacing w:after="0"/>
              <w:rPr>
                <w:sz w:val="1"/>
                <w:szCs w:val="1"/>
                <w:color w:val="auto"/>
              </w:rPr>
            </w:pPr>
          </w:p>
        </w:tc>
      </w:tr>
      <w:tr>
        <w:trPr>
          <w:trHeight w:val="297"/>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0" w:type="dxa"/>
            <w:vAlign w:val="bottom"/>
          </w:tcPr>
          <w:p>
            <w:pPr>
              <w:spacing w:after="0"/>
              <w:rPr>
                <w:sz w:val="1"/>
                <w:szCs w:val="1"/>
                <w:color w:val="auto"/>
              </w:rPr>
            </w:pPr>
          </w:p>
        </w:tc>
      </w:tr>
      <w:tr>
        <w:trPr>
          <w:trHeight w:val="256"/>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501,951</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8"/>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95,562,477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600,211</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(480,211)</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120,009</w:t>
            </w:r>
          </w:p>
        </w:tc>
        <w:tc>
          <w:tcPr>
            <w:tcW w:w="0" w:type="dxa"/>
            <w:vAlign w:val="bottom"/>
          </w:tcPr>
          <w:p>
            <w:pPr>
              <w:spacing w:after="0"/>
              <w:rPr>
                <w:sz w:val="1"/>
                <w:szCs w:val="1"/>
                <w:color w:val="auto"/>
              </w:rPr>
            </w:pPr>
          </w:p>
        </w:tc>
      </w:tr>
      <w:tr>
        <w:trPr>
          <w:trHeight w:val="27"/>
        </w:trPr>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00" w:space="160"/>
            <w:col w:w="6540"/>
          </w:cols>
          <w:pgMar w:left="36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type w:val="continuous"/>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 Stock and Stockholders’ Equity (Deficit)</w:t>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8890" cy="3642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364299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 Convertible Preferred</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7"/>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w:t>
            </w:r>
          </w:p>
        </w:tc>
        <w:tc>
          <w:tcPr>
            <w:tcW w:w="900" w:type="dxa"/>
            <w:vAlign w:val="bottom"/>
          </w:tcPr>
          <w:p>
            <w:pPr>
              <w:spacing w:after="0"/>
              <w:rPr>
                <w:sz w:val="16"/>
                <w:szCs w:val="16"/>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Shares issued under</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employee stock purchase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plan</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options exercised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900" w:type="dxa"/>
            <w:vAlign w:val="bottom"/>
          </w:tcPr>
          <w:p>
            <w:pPr>
              <w:spacing w:after="0"/>
              <w:rPr>
                <w:sz w:val="16"/>
                <w:szCs w:val="16"/>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198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20" w:type="dxa"/>
            <w:vAlign w:val="bottom"/>
            <w:gridSpan w:val="3"/>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80" w:type="dxa"/>
            <w:vAlign w:val="bottom"/>
            <w:gridSpan w:val="3"/>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5"/>
                <w:szCs w:val="15"/>
                <w:color w:val="auto"/>
              </w:rPr>
            </w:pPr>
          </w:p>
        </w:tc>
        <w:tc>
          <w:tcPr>
            <w:tcW w:w="840" w:type="dxa"/>
            <w:vAlign w:val="bottom"/>
          </w:tcPr>
          <w:p>
            <w:pPr>
              <w:jc w:val="center"/>
              <w:ind w:right="79"/>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0"/>
        </w:trPr>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413"/>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95,868,421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602,198</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(479,068)</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83"/>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1,174,282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97,168,703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605,229</w:t>
            </w:r>
          </w:p>
        </w:tc>
        <w:tc>
          <w:tcPr>
            <w:tcW w:w="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(480,471)</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124,767</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48"/>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63,393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3"/>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100,156,974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614,220</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(484,548)</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129,681</w:t>
            </w:r>
          </w:p>
        </w:tc>
        <w:tc>
          <w:tcPr>
            <w:tcW w:w="0" w:type="dxa"/>
            <w:vAlign w:val="bottom"/>
          </w:tcPr>
          <w:p>
            <w:pPr>
              <w:spacing w:after="0"/>
              <w:rPr>
                <w:sz w:val="1"/>
                <w:szCs w:val="1"/>
                <w:color w:val="auto"/>
              </w:rPr>
            </w:pPr>
          </w:p>
        </w:tc>
      </w:tr>
      <w:tr>
        <w:trPr>
          <w:trHeight w:val="297"/>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56"/>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586,865</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9"/>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101,203,839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618,241</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(484,383)</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133,868</w:t>
            </w:r>
          </w:p>
        </w:tc>
        <w:tc>
          <w:tcPr>
            <w:tcW w:w="0" w:type="dxa"/>
            <w:vAlign w:val="bottom"/>
          </w:tcPr>
          <w:p>
            <w:pPr>
              <w:spacing w:after="0"/>
              <w:rPr>
                <w:sz w:val="1"/>
                <w:szCs w:val="1"/>
                <w:color w:val="auto"/>
              </w:rPr>
            </w:pPr>
          </w:p>
        </w:tc>
      </w:tr>
      <w:tr>
        <w:trPr>
          <w:trHeight w:val="27"/>
        </w:trPr>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00" w:space="160"/>
            <w:col w:w="6540"/>
          </w:cols>
          <w:pgMar w:left="36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type w:val="continuous"/>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40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long-term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36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2021 ESPP</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79"/>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jc w:val="center"/>
        <w:ind w:right="-79"/>
        <w:spacing w:after="0" w:line="235" w:lineRule="auto"/>
        <w:rPr>
          <w:sz w:val="20"/>
          <w:szCs w:val="20"/>
          <w:color w:val="auto"/>
        </w:rPr>
      </w:pPr>
      <w:r>
        <w:rPr>
          <w:rFonts w:ascii="Times New Roman" w:cs="Times New Roman" w:eastAsia="Times New Roman" w:hAnsi="Times New Roman"/>
          <w:sz w:val="18"/>
          <w:szCs w:val="18"/>
          <w:i w:val="1"/>
          <w:iCs w:val="1"/>
          <w:color w:val="auto"/>
        </w:rPr>
        <w:t>(Unaudited)</w:t>
      </w:r>
    </w:p>
    <w:p>
      <w:pPr>
        <w:spacing w:after="0" w:line="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19" w:lineRule="exact"/>
        <w:rPr>
          <w:sz w:val="20"/>
          <w:szCs w:val="20"/>
          <w:color w:val="auto"/>
        </w:rPr>
      </w:pPr>
    </w:p>
    <w:p>
      <w:pPr>
        <w:ind w:right="540" w:firstLine="648"/>
        <w:spacing w:after="0" w:line="242"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w:t>
      </w:r>
    </w:p>
    <w:p>
      <w:pPr>
        <w:spacing w:after="0" w:line="207" w:lineRule="exact"/>
        <w:rPr>
          <w:sz w:val="20"/>
          <w:szCs w:val="20"/>
          <w:color w:val="auto"/>
        </w:rPr>
      </w:pPr>
    </w:p>
    <w:p>
      <w:pPr>
        <w:ind w:right="7480" w:firstLine="8"/>
        <w:spacing w:after="0" w:line="518"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2023.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2023 has been derived from the audited financial statements at that date but does not include all of the disclosures required by GAAP.</w:t>
      </w:r>
    </w:p>
    <w:p>
      <w:pPr>
        <w:spacing w:after="0" w:line="191"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after elimination of intercompany transactions and balances.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43"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(“CEO”), as the chief operating decision maker (“CODM”),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spacing w:after="0" w:line="21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 assessed certain accounting matters and estimates that generally require consideration of forecasted information in context with the information reasonably available to the Company as of September 30, 2024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2" w:right="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net realizable value. The Company considers factors in its allowance for credit losses such as historical analysis, credit quality of customers, the age of the accounts receivable balances and macroeconomic conditions that may impact the Company's customers' ability to pay. The allowance for credit losses was $0.4 million and $0.4 million as of September 30, 2024 and December 31,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6" w:lineRule="exact"/>
        <w:rPr>
          <w:sz w:val="20"/>
          <w:szCs w:val="20"/>
          <w:color w:val="auto"/>
        </w:rPr>
      </w:pPr>
    </w:p>
    <w:p>
      <w:pPr>
        <w:jc w:val="both"/>
        <w:ind w:left="740" w:hanging="728"/>
        <w:spacing w:after="0" w:line="234"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2" w:lineRule="exact"/>
        <w:rPr>
          <w:sz w:val="20"/>
          <w:szCs w:val="20"/>
          <w:color w:val="auto"/>
        </w:rPr>
      </w:pPr>
    </w:p>
    <w:p>
      <w:pPr>
        <w:ind w:left="740" w:right="20" w:hanging="728"/>
        <w:spacing w:after="0" w:line="239"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41"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reportable segment disclosure requirements, primarily through enhanced disclosures about significant segment expenses. The amendments in the ASU require that a public entity discloses,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 amendments in this ASU are effective for fiscal years beginning after December 15, 2023, and interim periods within fiscal years beginning after December 15, 2024. Retrospective application is required for all prior periods presented, and early adoption is permitted. The Company does not expect the adoption of ASU No. 2023-07 to have a material impact on the Company’s consolidated financial statements or disclosures.</w:t>
      </w:r>
    </w:p>
    <w:p>
      <w:pPr>
        <w:spacing w:after="0" w:line="216"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For public business entities, the amendments in this update are effective for annual periods beginning after December 15, 2024. The Company does not expect the adoption of ASU No. 2023-09 to have a material impact on the Company’s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33333"/>
        </w:rPr>
        <w:t>Revenue</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The Company previously presented its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Company had considered the information regularly reviewed by its CODM for evaluating its financial performance and making resource allocation decisions and the guidance to disaggregate revenue from contracts with customers into categories that depict how the nature, amount, timing, and uncertainty of revenue and cash flows are affected by economic factors. In 2023, the Company executed a broad-based Transformation Initiative with Brand Maximization as one of the Pillars designed to leverage the strength of the Honest brand. As part of its strategy to build the Honest brand, the Company’s CODM is evaluating the Company’s financial performance and making resource allocation decisions across the Company’s products as one brand of a portfolio of multiple products. As a result, in the first quarter of 2024, the Company removed the disaggregation of revenue by product category to align with changes made to the Company’s long-term strategy and began disaggregating revenue by (i) direct-to-consumer and (ii) retail and third-party ecommerce customers. The change had no effect on the Company's results of operations or timing of revenue recognition. Presentation of disaggregated revenue by direct-to-consumer and retail and third-party ecommerce customers in prior periods have been modified to conform to the current period presentation.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Direct-to-Consumer</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Revenue generated from Honest.com was 12% and 18%, respectively, of the Company's total revenue during the three months ended September 30, 2024 and 2023, and 13% and 18%, respectively, of the Company's total revenue during the nine months ended September 30, 2024 and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and Third-Party Ecommerce</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Non-Monetary Transactions</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nine months ended September 30, 2024, the Company did not enter into any new trade agreements.</w:t>
      </w:r>
    </w:p>
    <w:p>
      <w:pPr>
        <w:spacing w:after="0" w:line="213" w:lineRule="exact"/>
        <w:rPr>
          <w:sz w:val="20"/>
          <w:szCs w:val="20"/>
          <w:color w:val="auto"/>
        </w:rPr>
      </w:pPr>
    </w:p>
    <w:p>
      <w:pPr>
        <w:ind w:right="260" w:firstLine="648"/>
        <w:spacing w:after="0" w:line="241"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marketing expense in the condensed consolidated statements of comprehensive income (loss) as they become determinable. For the nine months ended September 30, 2024 and 2023, the Company recorded no impairment losses related to these credits and used an aggregate of $1.6 million and $0.2 million of credits, respectively.</w:t>
      </w:r>
    </w:p>
    <w:p>
      <w:pPr>
        <w:spacing w:after="0" w:line="22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pacing w:after="0" w:line="1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income (loss). For the three and nine months ended September 30, 2024 and 2023, the commitment fee incurred was immaterial. As of September 30, 2024, there were $2.7 million outstanding letters of credit and $30.4 million available to be drawn upon. As of September 30, 2024, there was no outstanding balance under the 2023 Credit Facility.</w:t>
      </w:r>
    </w:p>
    <w:p>
      <w:pPr>
        <w:spacing w:after="0" w:line="218" w:lineRule="exact"/>
        <w:rPr>
          <w:sz w:val="20"/>
          <w:szCs w:val="20"/>
          <w:color w:val="auto"/>
        </w:rPr>
      </w:pPr>
    </w:p>
    <w:p>
      <w:pPr>
        <w:jc w:val="both"/>
        <w:ind w:right="280" w:firstLine="648"/>
        <w:spacing w:after="0" w:line="245"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spacing w:after="0" w:line="20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spacing w:after="0" w:line="204"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September 30, 2024, the Company is in compliance with all covenants under the 2023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27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$0.7 million and $1.2 million of executive transition related expenses as of September 30, 2024 and December 31, 2023, respectively.</w:t>
      </w:r>
    </w:p>
    <w:p>
      <w:pPr>
        <w:spacing w:after="0" w:line="11" w:lineRule="exact"/>
        <w:rPr>
          <w:rFonts w:ascii="Times New Roman" w:cs="Times New Roman" w:eastAsia="Times New Roman" w:hAnsi="Times New Roman"/>
          <w:sz w:val="11"/>
          <w:szCs w:val="11"/>
          <w:color w:val="auto"/>
        </w:rPr>
      </w:pPr>
    </w:p>
    <w:p>
      <w:pPr>
        <w:ind w:left="160" w:hanging="146"/>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short-term operating lease liabilities. Refer to Note 11, "Leases" included in these condensed consolidated financial statements for more information on leases.</w:t>
      </w:r>
    </w:p>
    <w:p>
      <w:pPr>
        <w:spacing w:after="0" w:line="8" w:lineRule="exact"/>
        <w:rPr>
          <w:rFonts w:ascii="Times New Roman" w:cs="Times New Roman" w:eastAsia="Times New Roman" w:hAnsi="Times New Roman"/>
          <w:sz w:val="11"/>
          <w:szCs w:val="11"/>
          <w:color w:val="auto"/>
        </w:rPr>
      </w:pPr>
    </w:p>
    <w:p>
      <w:pPr>
        <w:ind w:left="160" w:hanging="146"/>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Refer to Note 12, "Restructuring" included in these condensed consolidated financial statements for more information on the Company's restructuring.</w:t>
      </w:r>
    </w:p>
    <w:p>
      <w:pPr>
        <w:spacing w:after="0" w:line="264" w:lineRule="exact"/>
        <w:rPr>
          <w:rFonts w:ascii="Times New Roman" w:cs="Times New Roman" w:eastAsia="Times New Roman" w:hAnsi="Times New Roman"/>
          <w:sz w:val="11"/>
          <w:szCs w:val="11"/>
          <w:color w:val="auto"/>
        </w:rPr>
      </w:pPr>
    </w:p>
    <w:p>
      <w:pPr>
        <w:ind w:left="320" w:hanging="306"/>
        <w:spacing w:after="0"/>
        <w:tabs>
          <w:tab w:leader="none" w:pos="3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w:t>
      </w:r>
    </w:p>
    <w:p>
      <w:pPr>
        <w:spacing w:after="0" w:line="21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7"/>
          <w:szCs w:val="17"/>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The Company's motion for summary judgment is pending.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0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initial public offering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Second Amended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spacing w:after="0" w:line="236" w:lineRule="auto"/>
        <w:rPr>
          <w:sz w:val="20"/>
          <w:szCs w:val="20"/>
          <w:color w:val="auto"/>
        </w:rPr>
      </w:pPr>
      <w:r>
        <w:rPr>
          <w:rFonts w:ascii="Times New Roman" w:cs="Times New Roman" w:eastAsia="Times New Roman" w:hAnsi="Times New Roman"/>
          <w:sz w:val="18"/>
          <w:szCs w:val="18"/>
          <w:color w:val="auto"/>
        </w:rPr>
        <w:t>a further amended Second Amended Complaint against the additional defendants. The additional defendants filed a motion to dismiss the further amended Second Amended Complaint, which was denied by the court on April 22, 2024.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These matters are in the preliminary stages of litigation with uncertain outcomes at this time. Therefore, the Company cannot estimate the probability of loss or make an estimate of the loss or range of loss in these matters.</w:t>
      </w:r>
    </w:p>
    <w:p>
      <w:pPr>
        <w:spacing w:after="0" w:line="21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Company’s motion to stay pending the Ninth Circuit Court of Appeals’ review of the Central District of California’s decision in Whiteside v. Kimberly-Clark Corp., No. 5:22-cv-1988 JGB (SPx), 2023 WL 4328175 (C.D. 10 Cal. June 1, 2023) was denied on September 5, 2023. On February 20, 2024, the parties filed a Notice of Settlement to notify the court that the parties have agreed to settle the matter on an individual, non-class basis. The Court granted the plaintiffs' Stipulation of Dismissal on July 2, 2024.</w:t>
      </w:r>
    </w:p>
    <w:p>
      <w:pPr>
        <w:spacing w:after="0" w:line="214" w:lineRule="exact"/>
        <w:rPr>
          <w:sz w:val="20"/>
          <w:szCs w:val="20"/>
          <w:color w:val="auto"/>
        </w:rPr>
      </w:pPr>
    </w:p>
    <w:p>
      <w:pPr>
        <w:jc w:val="both"/>
        <w:ind w:right="40" w:firstLine="648"/>
        <w:spacing w:after="0" w:line="242" w:lineRule="auto"/>
        <w:rPr>
          <w:sz w:val="20"/>
          <w:szCs w:val="20"/>
          <w:color w:val="auto"/>
        </w:rPr>
      </w:pPr>
      <w:r>
        <w:rPr>
          <w:rFonts w:ascii="Times New Roman" w:cs="Times New Roman" w:eastAsia="Times New Roman" w:hAnsi="Times New Roman"/>
          <w:sz w:val="18"/>
          <w:szCs w:val="18"/>
          <w:color w:val="auto"/>
        </w:rPr>
        <w:t>As of September 30, 2024 and December 31, 2023,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September 30, 2024 and December 31, 2023,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24" w:lineRule="exact"/>
        <w:rPr>
          <w:sz w:val="20"/>
          <w:szCs w:val="20"/>
          <w:color w:val="auto"/>
        </w:rPr>
      </w:pPr>
    </w:p>
    <w:p>
      <w:pPr>
        <w:ind w:right="8740" w:firstLine="14"/>
        <w:spacing w:after="0" w:line="534" w:lineRule="auto"/>
        <w:tabs>
          <w:tab w:leader="none" w:pos="36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Options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13,315,796</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(586,000)</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(320,911)</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12,408,885</w:t>
            </w:r>
          </w:p>
        </w:tc>
        <w:tc>
          <w:tcPr>
            <w:tcW w:w="12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5" w:name="page16"/>
    <w:bookmarkEnd w:id="15"/>
    <w:p>
      <w:pPr>
        <w:ind w:right="120"/>
        <w:spacing w:after="0" w:line="237" w:lineRule="auto"/>
        <w:rPr>
          <w:sz w:val="20"/>
          <w:szCs w:val="20"/>
          <w:color w:val="auto"/>
        </w:rPr>
      </w:pPr>
      <w:r>
        <w:rPr>
          <w:rFonts w:ascii="Times New Roman" w:cs="Times New Roman" w:eastAsia="Times New Roman" w:hAnsi="Times New Roman"/>
          <w:sz w:val="18"/>
          <w:szCs w:val="18"/>
          <w:color w:val="auto"/>
        </w:rPr>
        <w:t>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2024, 3,825,379 additional shares were reserved for issuance pursuant to this provision. The maximum number of shares of the Company’s common stock that may be issued on the exercise of ISOs under its 2021 Plan is 75,100,000 shares.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 Average Grant Date Fair</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32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1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RSUs at December 31, 2023</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957,199</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545,178</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4,791,818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(647,739)</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(4,038,286)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RSUs at September 30, 2024</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854,638</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7,368,643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$19.4 million of unrecognized stock-based compensation expense related to unvested RSUs, which is expected to be recognized over a weighted-average period of 2.8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4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2024, 956,344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01"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and nine months ended September 30, 2024, 63,393 shares were purchased under the 2021 ESPP. As of September 30, 2024, the Company had 3,649,345 remaining authorized shares available for purchase.</w:t>
      </w:r>
    </w:p>
    <w:p>
      <w:pPr>
        <w:spacing w:after="0" w:line="2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24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9"/>
          <w:szCs w:val="19"/>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49530</wp:posOffset>
            </wp:positionV>
            <wp:extent cx="3446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294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0.50</w:t>
            </w:r>
          </w:p>
        </w:tc>
        <w:tc>
          <w:tcPr>
            <w:tcW w:w="1420" w:type="dxa"/>
            <w:vAlign w:val="bottom"/>
          </w:tcPr>
          <w:p>
            <w:pPr>
              <w:spacing w:after="0"/>
              <w:rPr>
                <w:sz w:val="20"/>
                <w:szCs w:val="20"/>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69.20 %</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79.27%</w:t>
            </w: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940" w:type="dxa"/>
            <w:vAlign w:val="bottom"/>
          </w:tcPr>
          <w:p>
            <w:pPr>
              <w:spacing w:after="0"/>
              <w:rPr>
                <w:sz w:val="23"/>
                <w:szCs w:val="23"/>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5.43%</w:t>
            </w:r>
          </w:p>
        </w:tc>
        <w:tc>
          <w:tcPr>
            <w:tcW w:w="1420" w:type="dxa"/>
            <w:vAlign w:val="bottom"/>
          </w:tcPr>
          <w:p>
            <w:pPr>
              <w:spacing w:after="0"/>
              <w:rPr>
                <w:sz w:val="23"/>
                <w:szCs w:val="23"/>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9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3"/>
                <w:szCs w:val="23"/>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29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$0.56</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21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 March 2023, the Company's Compensation Committee adopted the 2023 Inducement Plan (the “Inducement Plan”). The Inducement Plan reserved 4,000,000 shares of the Company’s common stock for issuance under the Inducement Plan to</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6" w:name="page17"/>
    <w:bookmarkEnd w:id="16"/>
    <w:p>
      <w:pPr>
        <w:ind w:right="140"/>
        <w:spacing w:after="0" w:line="266" w:lineRule="auto"/>
        <w:rPr>
          <w:sz w:val="20"/>
          <w:szCs w:val="20"/>
          <w:color w:val="auto"/>
        </w:rPr>
      </w:pPr>
      <w:r>
        <w:rPr>
          <w:rFonts w:ascii="Times New Roman" w:cs="Times New Roman" w:eastAsia="Times New Roman" w:hAnsi="Times New Roman"/>
          <w:sz w:val="18"/>
          <w:szCs w:val="18"/>
          <w:color w:val="auto"/>
        </w:rPr>
        <w:t>individuals who satisfy the standards for inducement grants under the relevant Nasdaq Stock Market rules. As of September 30, 2024, there were 275,083 shares available for future grant under the Inducement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RSU awards, 2021 ESPP purchases and stock options, as applicable, are as follows: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0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6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________________________</w:t>
      </w:r>
    </w:p>
    <w:p>
      <w:pPr>
        <w:spacing w:after="0" w:line="1" w:lineRule="exact"/>
        <w:rPr>
          <w:sz w:val="20"/>
          <w:szCs w:val="20"/>
          <w:color w:val="auto"/>
        </w:rPr>
      </w:pPr>
    </w:p>
    <w:p>
      <w:pPr>
        <w:ind w:left="20" w:hanging="6"/>
        <w:spacing w:after="0" w:line="243" w:lineRule="auto"/>
        <w:tabs>
          <w:tab w:leader="none" w:pos="21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$0 and $0.5 million, respectively, of stock-based compensation expense during the three months ended September 30, 2024 and 2023 and $6.7 million and $3.1 million, respectively, of stock-based compensation expense during the nine months ended September 30, 2024 and 2023 related to the acceleration of RSUs held by certain former executives.</w:t>
      </w:r>
    </w:p>
    <w:p>
      <w:pPr>
        <w:spacing w:after="0" w:line="289" w:lineRule="exact"/>
        <w:rPr>
          <w:sz w:val="20"/>
          <w:szCs w:val="20"/>
          <w:color w:val="auto"/>
        </w:rPr>
      </w:pPr>
    </w:p>
    <w:p>
      <w:pPr>
        <w:ind w:left="380" w:hanging="366"/>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2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85" w:lineRule="exact"/>
        <w:rPr>
          <w:sz w:val="20"/>
          <w:szCs w:val="20"/>
          <w:color w:val="auto"/>
        </w:rPr>
      </w:pPr>
    </w:p>
    <w:p>
      <w:pPr>
        <w:ind w:right="9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attributable to common stockholders: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6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100,690,486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95,179,604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98,688,196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94,137,244</w:t>
            </w:r>
          </w:p>
        </w:tc>
        <w:tc>
          <w:tcPr>
            <w:tcW w:w="0" w:type="dxa"/>
            <w:vAlign w:val="bottom"/>
          </w:tcPr>
          <w:p>
            <w:pPr>
              <w:spacing w:after="0"/>
              <w:rPr>
                <w:sz w:val="1"/>
                <w:szCs w:val="1"/>
                <w:color w:val="auto"/>
              </w:rPr>
            </w:pPr>
          </w:p>
        </w:tc>
      </w:tr>
      <w:tr>
        <w:trPr>
          <w:trHeight w:val="27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effect of dilutive RSUs</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3,888,112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effect of dilutive stock options</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104,588,417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95,179,604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98,688,196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94,137,244</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2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0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9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9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13,131,408</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13,335,558</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12,408,885</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13,335,558</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1,143,065</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7,394,451</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8,223,281</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7,394,451</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44,245</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68,962</w:t>
            </w:r>
          </w:p>
        </w:tc>
      </w:tr>
      <w:tr>
        <w:trPr>
          <w:trHeight w:val="27"/>
        </w:trPr>
        <w:tc>
          <w:tcPr>
            <w:tcW w:w="29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14,274,473</w:t>
            </w:r>
          </w:p>
        </w:tc>
        <w:tc>
          <w:tcPr>
            <w:tcW w:w="100" w:type="dxa"/>
            <w:vAlign w:val="bottom"/>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20,798,971</w:t>
            </w:r>
          </w:p>
        </w:tc>
        <w:tc>
          <w:tcPr>
            <w:tcW w:w="100" w:type="dxa"/>
            <w:vAlign w:val="bottom"/>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20,676,411</w:t>
            </w:r>
          </w:p>
        </w:tc>
        <w:tc>
          <w:tcPr>
            <w:tcW w:w="100" w:type="dxa"/>
            <w:vAlign w:val="bottom"/>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20,798,971</w:t>
            </w:r>
          </w:p>
        </w:tc>
      </w:tr>
      <w:tr>
        <w:trPr>
          <w:trHeight w:val="21"/>
        </w:trPr>
        <w:tc>
          <w:tcPr>
            <w:tcW w:w="29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spacing w:after="0" w:line="212"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2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has not recorded any uncertain tax positions and has not recognized interest or penalties in the condensed consolidated statements of comprehensive income (loss).</w:t>
      </w:r>
    </w:p>
    <w:p>
      <w:pPr>
        <w:spacing w:after="0" w:line="185"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three years.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5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3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8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3"/>
                <w:szCs w:val="2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1,792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1,303</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95"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8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Based on the nature of the Right-Of-Use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(loss).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8" w:name="page19"/>
    <w:bookmarkEnd w:id="18"/>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condensed consolidated balance sheets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260" w:type="dxa"/>
            <w:vAlign w:val="bottom"/>
          </w:tcPr>
          <w:p>
            <w:pPr>
              <w:spacing w:after="0"/>
              <w:rPr>
                <w:sz w:val="20"/>
                <w:szCs w:val="20"/>
                <w:color w:val="auto"/>
              </w:rPr>
            </w:pPr>
          </w:p>
        </w:tc>
        <w:tc>
          <w:tcPr>
            <w:tcW w:w="2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0" w:type="dxa"/>
            <w:vAlign w:val="bottom"/>
          </w:tcPr>
          <w:p>
            <w:pPr>
              <w:spacing w:after="0"/>
              <w:rPr>
                <w:sz w:val="1"/>
                <w:szCs w:val="1"/>
                <w:color w:val="auto"/>
              </w:rPr>
            </w:pPr>
          </w:p>
        </w:tc>
      </w:tr>
      <w:tr>
        <w:trPr>
          <w:trHeight w:val="21"/>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80" w:type="dxa"/>
            <w:vAlign w:val="bottom"/>
            <w:gridSpan w:val="2"/>
            <w:vMerge w:val="continue"/>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nine months ended September 30, 2024 was as follows: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7"/>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6,052</w:t>
            </w:r>
          </w:p>
        </w:tc>
      </w:tr>
      <w:tr>
        <w:trPr>
          <w:trHeight w:val="27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nine months ended September 30, 2024 for either finance or operating leases.</w:t>
      </w:r>
    </w:p>
    <w:p>
      <w:pPr>
        <w:spacing w:after="0" w:line="185"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3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Transformation Initiative</w:t>
      </w:r>
    </w:p>
    <w:p>
      <w:pPr>
        <w:spacing w:after="0" w:line="24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2023, the Company executed a broad-based Transformation Initiative designed to build the Honest brand and drive growth in higher-margin areas of the portfolio, strengthen the Company’s cost structure, drive focus on the most productive areas of the Company’s business, deliver greater impact from brand-building investments, and improve executional excellence across the enterprise. The restructuring element of the Transformation Initiative was substantially completed by December 31, 2023.</w:t>
      </w:r>
    </w:p>
    <w:p>
      <w:pPr>
        <w:spacing w:after="0" w:line="208"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did not incur any restructuring costs related to the Transformation Initiative.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accrued restructuring expenses as of September 30, 2024 relating to the Transformation Initiative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Restructuring Costs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Asset-Related</w:t>
            </w:r>
          </w:p>
        </w:tc>
        <w:tc>
          <w:tcPr>
            <w:tcW w:w="14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7"/>
        </w:trPr>
        <w:tc>
          <w:tcPr>
            <w:tcW w:w="4000" w:type="dxa"/>
            <w:vAlign w:val="bottom"/>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Related Costs</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Terminations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70"/>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 (adjustments)</w:t>
            </w: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0"/>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asset write-offs</w:t>
            </w: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7"/>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
        </w:trPr>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Included in accrued expenses as of September 30, 2024. Refer to Note 6, “Accrued Expenses” included elsewhere in these condensed consolidated financial statements.</w:t>
      </w:r>
    </w:p>
    <w:p>
      <w:pPr>
        <w:spacing w:after="0" w:line="5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costs associated with the restructuring initiatives once the relevant accounting criteria have been met. Accrued restructuring costs of $0.1 million related to severance costs as of September 30, 2024 are expected to result in cash expenditures funded from cash provided by operations in future periods and are included in accrued expenses on the condensed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2023 (the “Annual Report”), filed with the Securities and Exchange Commission (“SEC”) on March 8, 2024.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personal care company dedicated to creating cleanly-formulated and sustainably-designed products.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and omnichannel accessibility. Our integrated multi-category product architecture is intentionally designed to serve our consumers every day, at every age and through every life stage, no matter where they are on their journey. We believe this drives loyalty, increases our consumer wallet share and generates attractive consumer lifetime value.</w:t>
      </w:r>
    </w:p>
    <w:p>
      <w:pPr>
        <w:spacing w:after="0" w:line="21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(“CPG”) peers.</w:t>
      </w:r>
    </w:p>
    <w:p>
      <w:pPr>
        <w:spacing w:after="0" w:line="212"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Our omnichannel approach seeks to meet consumers wherever they want to shop, balancing deep consumer connection with broad convenience and accessibility. Since our launch, we have built a well-integrated omnichannel presence by expanding our product accessibility, including the launch of strategic partnerships with Target, Amazon and Walmart in 2014, 2017 and 2022, respectively. We maintain direct relationships with our consumers via our flagship digital platform, Honest.com, which allows us to influence brand experience and better understand consumer preferences and behavior. We increase accessibility of our products to more consumers through third-party pureplay ecommerce sites, Honest.com and leading retailers and their websites. Our integrated omnichannel presence provides meaningful benefits to our consumers which we believe are not easily</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0" w:name="page21"/>
    <w:bookmarkEnd w:id="20"/>
    <w:p>
      <w:pPr>
        <w:ind w:right="200"/>
        <w:spacing w:after="0" w:line="266" w:lineRule="auto"/>
        <w:rPr>
          <w:sz w:val="20"/>
          <w:szCs w:val="20"/>
          <w:color w:val="auto"/>
        </w:rPr>
      </w:pPr>
      <w:r>
        <w:rPr>
          <w:rFonts w:ascii="Times New Roman" w:cs="Times New Roman" w:eastAsia="Times New Roman" w:hAnsi="Times New Roman"/>
          <w:sz w:val="18"/>
          <w:szCs w:val="18"/>
          <w:color w:val="auto"/>
        </w:rPr>
        <w:t>replicated by our competitors. This distinctive business model has allowed us to efficiently scale our business while remaining agnostic as to the channel where consumers purchase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Initiative</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 The Company expects to continue driving benefits from its three Transformation Pillars of Brand Maximization, Margin Enhancement, and Operating Discipline:</w:t>
      </w:r>
    </w:p>
    <w:p>
      <w:pPr>
        <w:spacing w:after="0" w:line="212" w:lineRule="exact"/>
        <w:rPr>
          <w:sz w:val="20"/>
          <w:szCs w:val="20"/>
          <w:color w:val="auto"/>
        </w:rPr>
      </w:pPr>
    </w:p>
    <w:p>
      <w:pPr>
        <w:ind w:left="600" w:hanging="187"/>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Maximization</w:t>
      </w:r>
    </w:p>
    <w:p>
      <w:pPr>
        <w:spacing w:after="0" w:line="225"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Leveraging the strength of the Honest brand to drive growth through innovation, margin-accretive products, and marketing effectiveness.</w:t>
      </w:r>
    </w:p>
    <w:p>
      <w:pPr>
        <w:spacing w:after="0" w:line="14" w:lineRule="exact"/>
        <w:rPr>
          <w:rFonts w:ascii="Arial" w:cs="Arial" w:eastAsia="Arial" w:hAnsi="Arial"/>
          <w:sz w:val="18"/>
          <w:szCs w:val="18"/>
          <w:color w:val="auto"/>
        </w:rPr>
      </w:pPr>
    </w:p>
    <w:p>
      <w:pPr>
        <w:ind w:left="1060" w:right="60" w:hanging="323"/>
        <w:spacing w:after="0" w:line="242" w:lineRule="auto"/>
        <w:tabs>
          <w:tab w:leader="none" w:pos="1055"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additional pricing increases across the majority of our product portfolio throughout 2023, following pricing increases in 2022 that resulted in revenue growth driven by both volume and pricing.</w:t>
      </w:r>
    </w:p>
    <w:p>
      <w:pPr>
        <w:spacing w:after="0" w:line="209" w:lineRule="exact"/>
        <w:rPr>
          <w:rFonts w:ascii="Arial" w:cs="Arial" w:eastAsia="Arial" w:hAnsi="Arial"/>
          <w:sz w:val="18"/>
          <w:szCs w:val="18"/>
          <w:color w:val="auto"/>
        </w:rPr>
      </w:pPr>
    </w:p>
    <w:p>
      <w:pPr>
        <w:ind w:left="600" w:hanging="187"/>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Enhancement</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Focusing our resources on North America, which includes the exit of our low-margin business in Europe and Asia.</w:t>
      </w:r>
    </w:p>
    <w:p>
      <w:pPr>
        <w:spacing w:after="0" w:line="14" w:lineRule="exact"/>
        <w:rPr>
          <w:rFonts w:ascii="Arial" w:cs="Arial" w:eastAsia="Arial" w:hAnsi="Arial"/>
          <w:sz w:val="18"/>
          <w:szCs w:val="18"/>
          <w:color w:val="auto"/>
        </w:rPr>
      </w:pPr>
    </w:p>
    <w:p>
      <w:pPr>
        <w:ind w:left="1060" w:hanging="323"/>
        <w:spacing w:after="0" w:line="233" w:lineRule="auto"/>
        <w:tabs>
          <w:tab w:leader="none" w:pos="106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Exiting low-margin elements of the cleaning and sanitization business in 2023.</w:t>
      </w:r>
    </w:p>
    <w:p>
      <w:pPr>
        <w:ind w:left="1060" w:hanging="323"/>
        <w:spacing w:after="0" w:line="234" w:lineRule="auto"/>
        <w:tabs>
          <w:tab w:leader="none" w:pos="10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 inventory, or stock-keeping unit (“SKU”), rationalization program in 2023.</w:t>
      </w:r>
    </w:p>
    <w:p>
      <w:pPr>
        <w:ind w:left="1060" w:right="380" w:hanging="323"/>
        <w:spacing w:after="0" w:line="234" w:lineRule="auto"/>
        <w:tabs>
          <w:tab w:leader="none" w:pos="1055"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Re-directing resources to accelerate cost savings, including optimization of our contract manufacturing strategies, reduced shipping and logistic costs, and product costs.</w:t>
      </w:r>
    </w:p>
    <w:p>
      <w:pPr>
        <w:ind w:left="1060" w:hanging="323"/>
        <w:spacing w:after="0"/>
        <w:tabs>
          <w:tab w:leader="none" w:pos="106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Realigning resources to reflect the prioritization of higher-margin opportunities.</w:t>
      </w:r>
    </w:p>
    <w:p>
      <w:pPr>
        <w:spacing w:after="0" w:line="217" w:lineRule="exact"/>
        <w:rPr>
          <w:rFonts w:ascii="Arial" w:cs="Arial" w:eastAsia="Arial" w:hAnsi="Arial"/>
          <w:sz w:val="18"/>
          <w:szCs w:val="18"/>
          <w:color w:val="auto"/>
        </w:rPr>
      </w:pPr>
    </w:p>
    <w:p>
      <w:pPr>
        <w:ind w:left="600" w:hanging="187"/>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Discipline</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Building a culture that emphasizes returns across growth drivers, including marketing, trade promotion, and innovation.</w:t>
      </w:r>
    </w:p>
    <w:p>
      <w:pPr>
        <w:spacing w:after="0" w:line="14" w:lineRule="exact"/>
        <w:rPr>
          <w:rFonts w:ascii="Arial" w:cs="Arial" w:eastAsia="Arial" w:hAnsi="Arial"/>
          <w:sz w:val="18"/>
          <w:szCs w:val="18"/>
          <w:color w:val="auto"/>
        </w:rPr>
      </w:pPr>
    </w:p>
    <w:p>
      <w:pPr>
        <w:ind w:left="1060" w:hanging="323"/>
        <w:spacing w:after="0"/>
        <w:tabs>
          <w:tab w:leader="none" w:pos="106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Managing working capital including the reduction of inventory.</w:t>
      </w:r>
    </w:p>
    <w:p>
      <w:pPr>
        <w:spacing w:after="0" w:line="204"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For further details on the restructuring element of the Transformation Initiative, refer to Note 12, “Restructuring” included in our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right="80" w:firstLine="648"/>
        <w:spacing w:after="0" w:line="245"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As part of the Transformation Pillars, we have been focused on Brand Maximization, including improving the return on marketing by reducing marketing spend on low-return campaigns and emphasizing best-selling items, focusing on the most profitable areas of our business.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is top of mind. The improvement of existing products and the introduction of new products have been, and</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type w:val="continuous"/>
        </w:sectPr>
      </w:pPr>
    </w:p>
    <w:bookmarkStart w:id="21" w:name="page22"/>
    <w:bookmarkEnd w:id="21"/>
    <w:p>
      <w:pPr>
        <w:ind w:right="20"/>
        <w:spacing w:after="0" w:line="242" w:lineRule="auto"/>
        <w:rPr>
          <w:sz w:val="20"/>
          <w:szCs w:val="20"/>
          <w:color w:val="auto"/>
        </w:rPr>
      </w:pPr>
      <w:r>
        <w:rPr>
          <w:rFonts w:ascii="Times New Roman" w:cs="Times New Roman" w:eastAsia="Times New Roman" w:hAnsi="Times New Roman"/>
          <w:sz w:val="18"/>
          <w:szCs w:val="18"/>
          <w:color w:val="auto"/>
        </w:rPr>
        <w:t>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Product Growth</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all products by increasing total distribution, we intend to prioritize growth in products with attractive margin characteristics, including personal care, and leverage our brand equity and consumer insights to extend into new products. We are also committed to bringing our Honest Standard to new products where we believe there is a need for a higher standard for clean personal care.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Execution of Omnichannel Strategy</w:t>
      </w:r>
    </w:p>
    <w:p>
      <w:pPr>
        <w:spacing w:after="0" w:line="24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7"/>
          <w:szCs w:val="17"/>
          <w:color w:val="auto"/>
        </w:rPr>
        <w:t>The continued execution of our omnichannel strategy impacts our financial performance. We intend to continue leveraging our marketing strategy to drive increased consumer awareness and leverage our flagship digital platform, Honest.com, to create direct connections with our consumers, influence brand experience and understand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w:t>
      </w:r>
      <w:r>
        <w:rPr>
          <w:rFonts w:ascii="Times New Roman" w:cs="Times New Roman" w:eastAsia="Times New Roman" w:hAnsi="Times New Roman"/>
          <w:sz w:val="18"/>
          <w:szCs w:val="18"/>
          <w:b w:val="1"/>
          <w:bCs w:val="1"/>
          <w:color w:val="auto"/>
        </w:rPr>
        <w:t>y</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spacing w:after="0" w:line="214"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marketing model is inclusive of a best-in-class modern approach across paid, owned, and earned marketing channels. Additionally, we have optimized our spend in an omnichannel distribution model, which has led to spending less on media driving directly to Honest.com and investing more in driving to our retailer and other digital partners.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43"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We have strategically positioned ourselves to benefit from several macro trends related to changes in consumer behavior. We believe consumers’ increasing interest in purpose-designed products has contributed to higher demand for certain of our products. At the same time, changes in macro-level trends, including as a result of global pandemics or other macroeconomic conditions, such as inflation, have resulted and could in the future result in fluctuations in our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41"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Global economic and political uncertainty have increased due to the impact of continued inflationary pressures, adverse impact on confidence in financial markets and geopolitical events, including the conflict in Ukraine and the Israel-Hamas war. Additionally, the extent of the impact of macroeconomic trends on the Company’s operational and financial performance in the future will depend on future developments. Prolonged unfavorable economic conditions, including as a result of global pandemics, rising inflation and interest rates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4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There has been and continues to be an adverse impact on global economic conditions, specifically inflationary pressures, which has adversely affected our supply chain in regards to cost of goods sold. We have experienced and anticipate continued increases in product costs and labor costs due to inflationary pressures and higher transportation costs from ocean container delivery, which has in the past and could continue to hamper our ability to drive margin expansion. We have taken measures to</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bolster key aspects of our supply chain, such as ensuring sufficient inventory to support our continued growth, minimizing lead times for raw materials, and implementing a robust cost-savings program, as part of our Operating Discipline Transformation Pillar. We expect to continue to receive fulfillment costs savings due to warehouse and labor operational efficiencies gained with our Las Vegas, Nevada fulfillment center partner. If we are not successful in negotiating future renewals with our other fulfillment partner such that these renewals are at increased costs to us, our business, financial condition, results of operations and prospects could be adversely affected. In January 2024, we negotiated better purchase price terms with one of our third-party manufacturers, Ontex. However, we have experienced purchase price increases from our third-party manufacturers in the past and could face escalation of purchase costs and cost of revenue in the future.</w:t>
      </w:r>
    </w:p>
    <w:p>
      <w:pPr>
        <w:spacing w:after="0" w:line="19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4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believe in the power of our omnichannel distribution model. 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Inventory is reflected at net realizable value which includes a reserve for excess inventory. We estimate reserve requirements based on current and forecasted demand, including the ability to liquidate excess inventory and estimated liquidation value. As a part of the Transformation Initiative, we exited certain low-margin household products and implemented an inventory, or SKU rationalization, program in 2023, which resulted in our recording an inventory write-down and earmarking donations primarily related to the liquidation of low-margin household products. In addition, in connection with the termination of the Likeness Agreement with Jessica Warren, as part of Ms. Warren's departure from her Chief Creative Officer position, after April 4, 2025 we are prohibited from selling existing inventory that uses certain specified licensed intellectual property on its packaging, which we anticipate will result in inventory write-offs. We continue to incur inventory write-downs each quarter, as necessary. Depending on future consumer behavior in relation to the macroeconomic environment or otherwise and related aging of inventory, among other factors, we have and expect to incur in the future additional inventory write-downs, customer returns or incur donation expense or disposal costs as we reduce excess inventory.</w:t>
      </w:r>
    </w:p>
    <w:p>
      <w:pPr>
        <w:spacing w:after="0" w:line="212"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Furthermore, we </w:t>
      </w:r>
      <w:r>
        <w:rPr>
          <w:rFonts w:ascii="Times New Roman" w:cs="Times New Roman" w:eastAsia="Times New Roman" w:hAnsi="Times New Roman"/>
          <w:sz w:val="18"/>
          <w:szCs w:val="18"/>
          <w:color w:val="231F20"/>
        </w:rPr>
        <w:t>are currently in discussions with Butterblu regarding our respective obligations under the supplier services agreement</w:t>
      </w:r>
      <w:r>
        <w:rPr>
          <w:rFonts w:ascii="Times New Roman" w:cs="Times New Roman" w:eastAsia="Times New Roman" w:hAnsi="Times New Roman"/>
          <w:sz w:val="18"/>
          <w:szCs w:val="18"/>
          <w:color w:val="auto"/>
        </w:rPr>
        <w:t xml:space="preserve"> pursuant to which Butterblu provides certain design, manufacturing, sales and marketing services to us. As part of the supplier services agreement, we have agreed to purchase and own inventory for the term of the supplier service agreement, which is until December 31, 2026, unless terminated sooner. Butterblu continues to operate and maintain our baby apparel offerings independently through the honestbabyclothing.com website under our supplier services agreement and Honest Baby Clothing sales are reflected as revenue in our consolidated statements of operations. These discussions could result in termination of the supplier services agreement prior to its termination date, potential disputes over the terms of termination, and costs to us related to the inventory we agreed to purchase and own for the term of the agreement. In addition, any loss of the relationship with Butterblu may negatively impact sales of our baby apparel, which will adversely affect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We generate revenue through sales of our products directly to consumers through our website, sales to traditional brick and mortar retailers and their respective websites, and sales to third-party ecommerce customers, and such retailers or third-party ecommerce customers may also resell our products through their own respective online platforms. Our revenue is recognized net of allowances for returns, discounts, credits and any taxes collected from consumers.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43"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7"/>
          <w:szCs w:val="17"/>
          <w:color w:val="auto"/>
        </w:rPr>
        <w:t xml:space="preserve">We had previously presented our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we had considered the information regularly reviewed by our chief operating decision maker (“CODM”) for evaluating our financial performance and making resource allocation decisions and the guidance to disaggregate revenue from contracts with customers into categories that depict how the nature, amount, timing, and uncertainty of revenue and cash flows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23" w:name="page24"/>
    <w:bookmarkEnd w:id="23"/>
    <w:p>
      <w:pPr>
        <w:ind w:right="120"/>
        <w:spacing w:after="0" w:line="242" w:lineRule="auto"/>
        <w:rPr>
          <w:sz w:val="20"/>
          <w:szCs w:val="20"/>
          <w:color w:val="auto"/>
        </w:rPr>
      </w:pPr>
      <w:r>
        <w:rPr>
          <w:rFonts w:ascii="Times New Roman" w:cs="Times New Roman" w:eastAsia="Times New Roman" w:hAnsi="Times New Roman"/>
          <w:sz w:val="18"/>
          <w:szCs w:val="18"/>
          <w:color w:val="auto"/>
        </w:rPr>
        <w:t>affected by economic factors. In 2023, we executed a broad-based Transformation Initiative with Brand Maximization as one of the Pillars designed to leverage the strength of the Honest brand. As part of our strategy to build the Honest brand, our CODM evaluates our financial performance and makes resource allocation decisions across our products as one brand of a portfolio of multiple products. As a result, in the first quarter of 2024, we removed the disaggregation of revenue by product category to align with changes made to our long-term strategy and we began disaggregating revenue by (i) direct-to-consumer and (ii) retail and third-party ecommerce customers. The change had no effect on our results of operations or timing of revenue recognition.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3" w:lineRule="exact"/>
        <w:rPr>
          <w:sz w:val="20"/>
          <w:szCs w:val="20"/>
          <w:color w:val="auto"/>
        </w:rPr>
      </w:pPr>
    </w:p>
    <w:p>
      <w:pPr>
        <w:ind w:right="360" w:firstLine="648"/>
        <w:spacing w:after="0"/>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 third-party service fees related to our supplier services agreement for Honest Baby Clothing, our baby apparel business; and, depreciation and amortization expenses. We expect our general and administrative expenses to decrease as a percentage of revenue as we continue to grow our business and organizational capabilities and efficiencies. We expect in the future to incur additional third-party professional fees related to compliance obligations as a public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short-term investments and our cash and cash equivalents balances. Interest expense includes fees incurred under our 2023 Credit Facility, including commitment fees and debt issuance costs.</w:t>
      </w:r>
    </w:p>
    <w:p>
      <w:pPr>
        <w:spacing w:after="0" w:line="1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comprehensive income (loss) data for each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6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0"/>
                <w:szCs w:val="20"/>
                <w:color w:val="auto"/>
              </w:rPr>
            </w:pPr>
          </w:p>
        </w:tc>
        <w:tc>
          <w:tcPr>
            <w:tcW w:w="3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278,503</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254,101</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10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9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(40,037)</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(40,306)</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4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8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80" w:type="dxa"/>
            <w:vAlign w:val="bottom"/>
          </w:tcPr>
          <w:p>
            <w:pPr>
              <w:spacing w:after="0"/>
              <w:rPr>
                <w:sz w:val="24"/>
                <w:szCs w:val="24"/>
                <w:color w:val="auto"/>
              </w:rPr>
            </w:pPr>
          </w:p>
        </w:tc>
        <w:tc>
          <w:tcPr>
            <w:tcW w:w="36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4"/>
                <w:szCs w:val="24"/>
                <w:color w:val="auto"/>
              </w:rPr>
            </w:pPr>
          </w:p>
        </w:tc>
        <w:tc>
          <w:tcPr>
            <w:tcW w:w="3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statements of comprehensive income (loss) data expressed as a percentage of 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0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7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23"/>
                <w:szCs w:val="23"/>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3"/>
                <w:szCs w:val="23"/>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(loss) before provision for income</w:t>
            </w:r>
          </w:p>
        </w:tc>
        <w:tc>
          <w:tcPr>
            <w:tcW w:w="1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 %</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1"/>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 Amounts may not sum due to rounding.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and 2023</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2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0" w:type="dxa"/>
            <w:vAlign w:val="bottom"/>
            <w:gridSpan w:val="10"/>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14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99,237</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86,169</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80" w:type="dxa"/>
            <w:vAlign w:val="bottom"/>
          </w:tcPr>
          <w:p>
            <w:pPr>
              <w:spacing w:after="0"/>
              <w:rPr>
                <w:sz w:val="22"/>
                <w:szCs w:val="22"/>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15.2 %  $</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278,503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254,101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w:t>
            </w: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33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Revenue was $99.2 million for the three months ended September 30, 2024, as compared to $86.2 million for the three months ended September 30, 2023. The increase of $13.1 million, or 15.2%, was primarily due to an increase in wipes revenue of $9.9 million, an increase in baby personal care revenue of $2.3 million, an increase in diaper revenue of $1.8 million and an increase in baby apparel revenue of $1.5 million, partially offset by a decline in skincare and color cosmetics revenue of $2.7 million.</w:t>
      </w:r>
    </w:p>
    <w:p>
      <w:pPr>
        <w:spacing w:after="0" w:line="20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Revenue was $278.5 million for the nine months ended September 30, 2024, as compared to $254.1 million for the nine months ended September 30, 2023. The increase of $24.4 million, or 9.6%, was primarily due to an increase in wipes revenue of $14.3 million, an increase in baby apparel revenue of $11.3 million and an increase in baby personal care revenue of $5.4 million, as well as lower trade spend compared to the nine months ended September 30, 2023, partially offset by a decline in skincare and color cosmetics of $6.6 million. We estimate that pricing increases taken in 2023 contributed $3.2 million, excluding price pack architecture, to revenue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13"/>
        </w:trPr>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10"/>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60" w:type="dxa"/>
            <w:vAlign w:val="bottom"/>
          </w:tcPr>
          <w:p>
            <w:pPr>
              <w:spacing w:after="0"/>
              <w:rPr>
                <w:sz w:val="24"/>
                <w:szCs w:val="24"/>
                <w:color w:val="auto"/>
              </w:rPr>
            </w:pPr>
          </w:p>
        </w:tc>
        <w:tc>
          <w:tcPr>
            <w:tcW w:w="420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4"/>
        </w:trPr>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38"/>
        </w:trPr>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change</w:t>
            </w:r>
          </w:p>
        </w:tc>
      </w:tr>
      <w:tr>
        <w:trPr>
          <w:trHeight w:val="27"/>
        </w:trPr>
        <w:tc>
          <w:tcPr>
            <w:tcW w:w="3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w:t>
            </w: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6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172,613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183,796</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7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8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105,890</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50.6 %</w:t>
            </w:r>
          </w:p>
        </w:tc>
      </w:tr>
    </w:tbl>
    <w:p>
      <w:pPr>
        <w:spacing w:after="0" w:line="33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Cost of revenue was $60.8 million for the three months ended September 30, 2024, as compared to $59.0 million for the three months ended September 30, 2023. The increase of $1.9 million, or 3.2%, was primarily driven by an increase in product costs related to higher sales volume, partially offset by savings in fulfillment costs mainly due to the decline in Honest.com revenue. Cost of revenue as a percentage of revenue decreased by 712 basis points primarily due to cost savings across most of the cost structure, including supply chain and product costs compared to the three months ended September 30, 2023.</w:t>
      </w:r>
    </w:p>
    <w:p>
      <w:pPr>
        <w:spacing w:after="0" w:line="19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Cost of revenue was $172.6 million for the nine months ended September 30, 2024, as compared to $183.8 million for the nine months ended September 30, 2023. The decrease of $11.2 million, or 6.1%, was primarily driven by lower transportation and fulfillment costs as we focus on operating discipline, as well as a one-time reduction of $3.0 million in costs as a result of the Transformation Initiative recognized during the nine months ended September 30, 2023, partially offset by an increase in product costs related to higher sales volume. Cost of revenue as a percentage of revenue decreased by 1,035 basis points primarily due to cost savings across most of the cost structure, including supply chain and product costs, price increases and lower trade promotion levels as compared to the nine months ended September 30, 2023.</w:t>
      </w:r>
    </w:p>
    <w:p>
      <w:pPr>
        <w:spacing w:after="0" w:line="211" w:lineRule="exact"/>
        <w:rPr>
          <w:sz w:val="20"/>
          <w:szCs w:val="20"/>
          <w:color w:val="auto"/>
        </w:rPr>
      </w:pPr>
    </w:p>
    <w:p>
      <w:pPr>
        <w:jc w:val="both"/>
        <w:ind w:right="720" w:firstLine="648"/>
        <w:spacing w:after="0" w:line="250" w:lineRule="auto"/>
        <w:rPr>
          <w:sz w:val="20"/>
          <w:szCs w:val="20"/>
          <w:color w:val="auto"/>
        </w:rPr>
      </w:pPr>
      <w:r>
        <w:rPr>
          <w:rFonts w:ascii="Times New Roman" w:cs="Times New Roman" w:eastAsia="Times New Roman" w:hAnsi="Times New Roman"/>
          <w:sz w:val="18"/>
          <w:szCs w:val="18"/>
          <w:color w:val="auto"/>
        </w:rPr>
        <w:t>Gross profit was $38.4 million for the three months ended September 30, 2024, as compared to $27.2 million for the three months ended September 30, 2023. The increase of $11.2 million, or 41.1%, was primarily related to cost savings, including reduced transportation, product and fulfillment costs, and sales volume growth.</w:t>
      </w:r>
    </w:p>
    <w:p>
      <w:pPr>
        <w:spacing w:after="0" w:line="204" w:lineRule="exact"/>
        <w:rPr>
          <w:sz w:val="20"/>
          <w:szCs w:val="20"/>
          <w:color w:val="auto"/>
        </w:rPr>
      </w:pPr>
    </w:p>
    <w:p>
      <w:pPr>
        <w:jc w:val="both"/>
        <w:ind w:right="700" w:firstLine="648"/>
        <w:spacing w:after="0" w:line="250" w:lineRule="auto"/>
        <w:rPr>
          <w:sz w:val="20"/>
          <w:szCs w:val="20"/>
          <w:color w:val="auto"/>
        </w:rPr>
      </w:pPr>
      <w:r>
        <w:rPr>
          <w:rFonts w:ascii="Times New Roman" w:cs="Times New Roman" w:eastAsia="Times New Roman" w:hAnsi="Times New Roman"/>
          <w:sz w:val="18"/>
          <w:szCs w:val="18"/>
          <w:color w:val="auto"/>
        </w:rPr>
        <w:t>Gross profit was $105.9 million for the nine months ended September 30, 2024, as compared to $70.3 million for the nine months ended September 30, 2023. The increase of $35.6 million, or 50.6%, was primarily related to cost savings, including reduced transportation, product and fulfillment costs, price increases, sales volume growth and efficient trade spend.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11"/>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12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33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were $23.4 million for the three months ended September 30, 2024, as compared to $24.1 million for the three months ended September 30, 2023. The decrease of $0.7 million, or 3.0%, was primarily due to a $1.6 million decrease in stock-based compensation expense, a $0.6 million decrease in donations expense primarily related to our SKU rationalization program under the Transformation Initiative and a $0.5 million decrease in general administrative expenses, partially offset by a $2.7 million increase in legal expenses. Selling, general and administrative expenses as a percentage of revenue decreased 4.4% as compared to the three months ended September 30, 2023.</w:t>
      </w:r>
    </w:p>
    <w:p>
      <w:pPr>
        <w:spacing w:after="0" w:line="212"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Selling, general and administrative expenses were $72.3 million for the nine months ended September 30, 2024, as compared to $75.0 million for the nine months ended September 30, 2023. The decrease of $2.7 million, or 3.6%, was primarily due to a $3.2 million decrease in donations expense primarily related to our SKU rationalization program under the Transformation Initiative, a $2.1 million decrease in general administrative expenses and a $0.5 million decrease in stock-based compensation expense, partially offset by a $2.2 million increase in service fees related to baby apparel and a $2.1 million increase in legal expenses. Selling, general and administrative expenses as a percentage of revenue decreased 3.6% as compared to the nine months ended September 30, 2023.</w:t>
      </w:r>
    </w:p>
    <w:p>
      <w:pPr>
        <w:sectPr>
          <w:pgSz w:w="11900" w:h="16838" w:orient="portrait"/>
          <w:cols w:equalWidth="0" w:num="1">
            <w:col w:w="11220"/>
          </w:cols>
          <w:pgMar w:left="320" w:top="75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type w:val="continuous"/>
        </w:sectPr>
      </w:pPr>
    </w:p>
    <w:bookmarkStart w:id="27" w:name="page28"/>
    <w:bookmarkEnd w:id="27"/>
    <w:tbl>
      <w:tblPr>
        <w:tblLayout w:type="fixed"/>
        <w:tblInd w:w="20" w:type="dxa"/>
        <w:tblCellMar>
          <w:top w:w="0" w:type="dxa"/>
          <w:left w:w="0" w:type="dxa"/>
          <w:bottom w:w="0" w:type="dxa"/>
          <w:right w:w="0" w:type="dxa"/>
        </w:tblCellMar>
      </w:tblPr>
      <w:tr>
        <w:trPr>
          <w:trHeight w:val="238"/>
        </w:trPr>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13"/>
        </w:trPr>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20" w:type="dxa"/>
            <w:vAlign w:val="bottom"/>
          </w:tcPr>
          <w:p>
            <w:pPr>
              <w:spacing w:after="0"/>
              <w:rPr>
                <w:sz w:val="24"/>
                <w:szCs w:val="24"/>
                <w:color w:val="auto"/>
              </w:rPr>
            </w:pPr>
          </w:p>
        </w:tc>
        <w:tc>
          <w:tcPr>
            <w:tcW w:w="414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0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r>
    </w:tbl>
    <w:p>
      <w:pPr>
        <w:spacing w:after="0" w:line="33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Marketing expenses were $13.2 million for the three months ended September 30, 2024, as compared to $9.1 million for the three months ended September 30, 2023. The increase of $4.1 million, or 44.6%, was primarily due to a $3.3 million increase in retail marketing. Marketing expenses as a percentage of revenue increased 2.7% as compared to the three months ended September 30, 2023.</w:t>
      </w:r>
    </w:p>
    <w:p>
      <w:pPr>
        <w:spacing w:after="0" w:line="204" w:lineRule="exact"/>
        <w:rPr>
          <w:sz w:val="20"/>
          <w:szCs w:val="20"/>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18"/>
          <w:szCs w:val="18"/>
          <w:color w:val="auto"/>
        </w:rPr>
        <w:t>Marketing expenses were $33.8 million for the nine months ended September 30, 2024, as compared to $28.6 million for the nine months ended September 30, 2023. The increase of $5.2 million, or 18.1%, was primarily due to a $3.2 million increase in retail marketing and a $1.0 million increase in marketing agency fees. Marketing expenses as a percentage of revenue increased 0.9% as compared to the nine months ended September 30, 2023.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100" w:type="dxa"/>
            <w:vAlign w:val="bottom"/>
            <w:gridSpan w:val="10"/>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7"/>
        </w:trPr>
        <w:tc>
          <w:tcPr>
            <w:tcW w:w="2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5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0"/>
              </w:rPr>
              <w:t>(In thousands, except percentages)</w:t>
            </w: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3"/>
                <w:szCs w:val="23"/>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r>
    </w:tbl>
    <w:p>
      <w:pPr>
        <w:spacing w:after="0" w:line="31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were $1.7 million for the three months ended September 30, 2024, as compared to $1.6 million for the three months ended September 30, 2023. The increase of $0.2 million, or 10.0%, was primarily related to an increase in research and development spend in safety testing and related-employee expenses, consistent with our focus on continued innovation. Research and development expenses as a percentage of revenue decreased 0.08% as compared to the three months ended September 30, 2023.</w:t>
      </w:r>
    </w:p>
    <w:p>
      <w:pPr>
        <w:spacing w:after="0" w:line="208"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were $5.1 million for the nine months ended September 30, 2024, as compared to $4.6 million for the nine months ended September 30, 2023. The increase of $0.5 million, or 10.8%, was primarily related to an increase in research and development spend in safety testing, pilot trials, and related-employee expenses, consistent with our focus on continued innovation. Research and development expenses as a percentage of revenue increased 0.02% as compared to the nine months ended September 30, 2023.</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1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00" w:type="dxa"/>
            <w:vAlign w:val="bottom"/>
          </w:tcPr>
          <w:p>
            <w:pPr>
              <w:spacing w:after="0"/>
              <w:rPr>
                <w:sz w:val="20"/>
                <w:szCs w:val="20"/>
                <w:color w:val="auto"/>
              </w:rPr>
            </w:pPr>
          </w:p>
        </w:tc>
        <w:tc>
          <w:tcPr>
            <w:tcW w:w="382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20" w:type="dxa"/>
            <w:vAlign w:val="bottom"/>
            <w:vMerge w:val="continue"/>
          </w:tcPr>
          <w:p>
            <w:pPr>
              <w:spacing w:after="0"/>
              <w:rPr>
                <w:sz w:val="17"/>
                <w:szCs w:val="17"/>
                <w:color w:val="auto"/>
              </w:rPr>
            </w:pPr>
          </w:p>
        </w:tc>
        <w:tc>
          <w:tcPr>
            <w:tcW w:w="9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net</w:t>
            </w:r>
          </w:p>
        </w:tc>
        <w:tc>
          <w:tcPr>
            <w:tcW w:w="9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net income of $127 thousand for the three months ended September 30, 2024, as compared to net expense of $71 thousand for the three months ended September 30, 2023.</w:t>
      </w:r>
    </w:p>
    <w:p>
      <w:pPr>
        <w:spacing w:after="0" w:line="18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net income of $44 thousand for the nine months ended September 30, 2024, as compared to net expense of $269 thousand for the nine months ended September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$53.4 million of cash and cash equivalents. Although we are dependent on our ability to generate sufficient cash flow from operations or raise capital to achieve our business objectives, we believe our existing cash</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28" w:name="page29"/>
    <w:bookmarkEnd w:id="28"/>
    <w:p>
      <w:pPr>
        <w:ind w:right="40"/>
        <w:spacing w:after="0" w:line="245" w:lineRule="auto"/>
        <w:rPr>
          <w:sz w:val="20"/>
          <w:szCs w:val="20"/>
          <w:color w:val="auto"/>
        </w:rPr>
      </w:pPr>
      <w:r>
        <w:rPr>
          <w:rFonts w:ascii="Times New Roman" w:cs="Times New Roman" w:eastAsia="Times New Roman" w:hAnsi="Times New Roman"/>
          <w:sz w:val="18"/>
          <w:szCs w:val="18"/>
          <w:color w:val="auto"/>
        </w:rPr>
        <w:t>and cash equivalents together with cash generated from operations will be sufficient to meet our short-term projected operations for the next 12 months from the date of issuance of our unaudited condensed consolidated financial statements. We will need to generate sufficient cash from operations or raise additional capital to meet our long-term working capital and capital expenditure needs. We also have availability under our 2023 Credit Facility, which was not drawn as of September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income (loss). For the three and nine months ended September 30, 2024, the commitment fee incurred was immaterial. As of September 30, 2024, there were $2.7 million of outstanding letters of credit and $30.4 million available to be drawn upon. As of September 30, 2024, there was no outstanding balance under the 2023 Credit Facility.</w:t>
      </w:r>
    </w:p>
    <w:p>
      <w:pPr>
        <w:spacing w:after="0" w:line="21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spacing w:after="0" w:line="204" w:lineRule="exact"/>
        <w:rPr>
          <w:sz w:val="20"/>
          <w:szCs w:val="20"/>
          <w:color w:val="auto"/>
        </w:rPr>
      </w:pPr>
    </w:p>
    <w:p>
      <w:pPr>
        <w:ind w:right="360" w:firstLine="648"/>
        <w:spacing w:after="0" w:line="279" w:lineRule="auto"/>
        <w:rPr>
          <w:sz w:val="20"/>
          <w:szCs w:val="20"/>
          <w:color w:val="auto"/>
        </w:rPr>
      </w:pPr>
      <w:r>
        <w:rPr>
          <w:rFonts w:ascii="Times New Roman" w:cs="Times New Roman" w:eastAsia="Times New Roman" w:hAnsi="Times New Roman"/>
          <w:sz w:val="17"/>
          <w:szCs w:val="17"/>
          <w:color w:val="auto"/>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spacing w:after="0" w:line="180"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September 30, 2024, we are in compliance with all covenants under the 2023 Credit Facility.</w:t>
      </w:r>
    </w:p>
    <w:p>
      <w:pPr>
        <w:spacing w:after="0" w:line="21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Refer to Note 5 “Credit Facilities” included in the condensed consolidated financial statements included elsewhere in this Quarterly Report on Form 10-Q for more information on the 2023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past generated negative cash flows from operating activities and have supplemented working capital requirements through net proceeds from the sale and maturity of short-term investments.</w:t>
      </w:r>
    </w:p>
    <w:p>
      <w:pPr>
        <w:spacing w:after="0" w:line="208"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of $18.4 million for the nine months ended September 30, 2024 was primarily due to non-cash adjustments of $22.1 million and a net increase in cash related to changes in operating assets and liabilities of $1.6 million, partially offset by a net loss of $5.3 million. Non-cash adjustments primarily consisted of stock-based compensation of $13.6 million, amortization of operating Right-of-Use ("ROU") assets of $4.8 million, utilization of marketing credits of $1.6 million and depreciation and amortization of $2.1 million. Changes in cash flows related to operating assets and liabilities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29" w:name="page30"/>
    <w:bookmarkEnd w:id="29"/>
    <w:p>
      <w:pPr>
        <w:ind w:right="240"/>
        <w:spacing w:after="0" w:line="266" w:lineRule="auto"/>
        <w:rPr>
          <w:sz w:val="20"/>
          <w:szCs w:val="20"/>
          <w:color w:val="auto"/>
        </w:rPr>
      </w:pPr>
      <w:r>
        <w:rPr>
          <w:rFonts w:ascii="Times New Roman" w:cs="Times New Roman" w:eastAsia="Times New Roman" w:hAnsi="Times New Roman"/>
          <w:sz w:val="18"/>
          <w:szCs w:val="18"/>
          <w:color w:val="auto"/>
        </w:rPr>
        <w:t>primarily consisted of $6.9 million increase in accounts receivable and a $1.2 million decrease in inventory, partially offset by a $6.1 million use of cash due to operating lease obligations and a $3.6 million increase in accounts payable and accrued expenses driven by timing of payments to vendors.</w:t>
      </w:r>
    </w:p>
    <w:p>
      <w:pPr>
        <w:spacing w:after="0" w:line="18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Net cash provided by operating activities of $9.4 million for the nine months ended September 30, 2023 was primarily due to net loss of $40.4 million, non-cash adjustments of $20.6 million and a net increase in cash related to changes in operating assets and liabilities of $29.2 million. Non-cash adjustments primarily consisted of stock-based compensation of $13.9 million, amortization of operating ROU assets of $4.7 million and depreciation and amortization of $2.0 million. Changes in cash flows related to operating assets and liabilities primarily consisted of cash provided by a $36.2 million decrease in inventory, a $7.5 million decrease in prepaid expenses and other assets and a $4.1 million decrease in accounts receivable due to improved collection efforts, partially offset by a decrease of $13.9 million in accounts payable and accrued expenses driven by lower inventory purchases due to our disciplined inventory management and a $5.7 million use of cash due to operating lease obligations in the nine months ended September 30,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investing cash historically has been the sale and maturity of short-term investments. Our primary use of investing cash historically has been the purchase of short-term investments and currently is property and equipment.</w:t>
      </w:r>
    </w:p>
    <w:p>
      <w:pPr>
        <w:spacing w:after="0" w:line="189"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$0.2 million for the nine months ended September 30, 2024 was due to purchases of property and equipment.</w:t>
      </w:r>
    </w:p>
    <w:p>
      <w:pPr>
        <w:spacing w:after="0" w:line="189" w:lineRule="exact"/>
        <w:rPr>
          <w:sz w:val="20"/>
          <w:szCs w:val="20"/>
          <w:color w:val="auto"/>
        </w:rPr>
      </w:pPr>
    </w:p>
    <w:p>
      <w:pPr>
        <w:ind w:right="480"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investing activities of $4.1 million for the nine months ended September 30, 2023 was primarily due to proceeds from maturities of short-term investments of $5.7 million, offset by purchases of property and equipment of $1.6 million.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proceeds from stock option award exercises and principal payments of financing lease obligations.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$2.4 million for the nine months ended September 30, 2024 consisted primarily of $2.4 million of proceeds from stock option award exercises.</w:t>
      </w:r>
    </w:p>
    <w:p>
      <w:pPr>
        <w:spacing w:after="0" w:line="189" w:lineRule="exact"/>
        <w:rPr>
          <w:sz w:val="20"/>
          <w:szCs w:val="20"/>
          <w:color w:val="auto"/>
        </w:rPr>
      </w:pPr>
    </w:p>
    <w:p>
      <w:pPr>
        <w:ind w:right="340" w:firstLine="648"/>
        <w:spacing w:after="0" w:line="238" w:lineRule="auto"/>
        <w:rPr>
          <w:sz w:val="20"/>
          <w:szCs w:val="20"/>
          <w:color w:val="auto"/>
        </w:rPr>
      </w:pPr>
      <w:r>
        <w:rPr>
          <w:rFonts w:ascii="Times New Roman" w:cs="Times New Roman" w:eastAsia="Times New Roman" w:hAnsi="Times New Roman"/>
          <w:sz w:val="18"/>
          <w:szCs w:val="18"/>
          <w:color w:val="auto"/>
        </w:rPr>
        <w:t>Net cash provided by financing activities of $60 thousand for the nine months ended September 30, 2023 consisted of proceeds from the 2021 Employee Stock Purchase Plan (“2021 ESPP”), partially offset by principal payments of financing 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right="380" w:firstLine="648"/>
        <w:spacing w:after="0" w:line="264" w:lineRule="auto"/>
        <w:rPr>
          <w:sz w:val="20"/>
          <w:szCs w:val="20"/>
          <w:color w:val="auto"/>
        </w:rPr>
      </w:pPr>
      <w:r>
        <w:rPr>
          <w:rFonts w:ascii="Times New Roman" w:cs="Times New Roman" w:eastAsia="Times New Roman" w:hAnsi="Times New Roman"/>
          <w:sz w:val="17"/>
          <w:szCs w:val="17"/>
          <w:color w:val="auto"/>
        </w:rPr>
        <w:t>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4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16" w:lineRule="exact"/>
        <w:rPr>
          <w:sz w:val="20"/>
          <w:szCs w:val="20"/>
          <w:color w:val="auto"/>
        </w:rPr>
      </w:pPr>
    </w:p>
    <w:p>
      <w:pPr>
        <w:jc w:val="both"/>
        <w:ind w:right="240" w:firstLine="8"/>
        <w:spacing w:after="0" w:line="239"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litigation and settlement fees associated with certain non-ordinary course securities litigation claims; (6) Chief Executive Officer (“CEO”) and founder and former Chief Creative Officer (“CCO”) transition expenses and (7) restructuring expenses in connection with the Transformation Initiative.</w:t>
      </w:r>
    </w:p>
    <w:p>
      <w:pPr>
        <w:spacing w:after="0" w:line="19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30" w:name="page31"/>
    <w:bookmarkEnd w:id="30"/>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in assessing the health of our business, determining incentive compensation and evaluating our operating performance, as well as for internal planning and forecasting purposes.</w:t>
      </w:r>
    </w:p>
    <w:p>
      <w:pPr>
        <w:spacing w:after="0" w:line="18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and founder/CCO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stated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for each of the periods presented:</w:t>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260" w:type="dxa"/>
            <w:vAlign w:val="bottom"/>
          </w:tcPr>
          <w:p>
            <w:pPr>
              <w:spacing w:after="0"/>
              <w:rPr>
                <w:sz w:val="20"/>
                <w:szCs w:val="20"/>
                <w:color w:val="auto"/>
              </w:rPr>
            </w:pPr>
          </w:p>
        </w:tc>
        <w:tc>
          <w:tcPr>
            <w:tcW w:w="37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48"/>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CEO and founder/CCO transition</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73"/>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based compensation</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151"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sign-on bonus and relocation costs related to the appointment of our CEO and separation costs related to the termination of our former founder and CCO.</w:t>
      </w:r>
    </w:p>
    <w:p>
      <w:pPr>
        <w:spacing w:after="0" w:line="17"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“Restructuring” in our unaudited condensed consolidated financial statements for items included in restructuring expense.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no changes to our material cash requirements from those described under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Policies and Estimates” in our Annual Report and the notes to the</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31" w:name="page32"/>
    <w:bookmarkEnd w:id="31"/>
    <w:p>
      <w:pPr>
        <w:ind w:right="380"/>
        <w:spacing w:after="0" w:line="266" w:lineRule="auto"/>
        <w:rPr>
          <w:sz w:val="20"/>
          <w:szCs w:val="20"/>
          <w:color w:val="auto"/>
        </w:rPr>
      </w:pPr>
      <w:r>
        <w:rPr>
          <w:rFonts w:ascii="Times New Roman" w:cs="Times New Roman" w:eastAsia="Times New Roman" w:hAnsi="Times New Roman"/>
          <w:sz w:val="18"/>
          <w:szCs w:val="18"/>
          <w:color w:val="auto"/>
        </w:rPr>
        <w:t>audited consolidated financial statements appearing in our Annual Report. During the three and nine months ended September 30, 2024, there were no material changes to our critical accounting estimates from those discussed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condensed consolidated financial statements included elsewhere in this Quarterly Report on Form 10-Q for a discussion of recently issued accounting pronouncements not yet adopted and recently 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as of the period ended September 30, 2024,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September 30, 2024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under the heading “Litigation” in Note 7 to our condensed consolidated financial statements included in this Quarterly Report on Form 10-Q is incorporated by reference into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1"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Investing in our common stock involves substantial risks. Some of the more significant risks include the following:</w:t>
      </w:r>
    </w:p>
    <w:p>
      <w:pPr>
        <w:spacing w:after="0" w:line="279" w:lineRule="exact"/>
        <w:rPr>
          <w:sz w:val="20"/>
          <w:szCs w:val="20"/>
          <w:color w:val="auto"/>
        </w:rPr>
      </w:pPr>
    </w:p>
    <w:p>
      <w:pPr>
        <w:ind w:left="660" w:right="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future success depends, in part, on our ability to achieve our long-term strategy.</w:t>
      </w:r>
    </w:p>
    <w:p>
      <w:pPr>
        <w:spacing w:after="0" w:line="14" w:lineRule="exact"/>
        <w:rPr>
          <w:rFonts w:ascii="Arial" w:cs="Arial" w:eastAsia="Arial" w:hAnsi="Arial"/>
          <w:sz w:val="22"/>
          <w:szCs w:val="22"/>
          <w:color w:val="auto"/>
        </w:rPr>
      </w:pPr>
    </w:p>
    <w:p>
      <w:pPr>
        <w:ind w:left="660" w:right="320" w:hanging="328"/>
        <w:spacing w:after="0" w:line="229" w:lineRule="auto"/>
        <w:tabs>
          <w:tab w:leader="none" w:pos="65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14" w:lineRule="exact"/>
        <w:rPr>
          <w:rFonts w:ascii="Arial" w:cs="Arial" w:eastAsia="Arial" w:hAnsi="Arial"/>
          <w:sz w:val="22"/>
          <w:szCs w:val="22"/>
          <w:color w:val="auto"/>
        </w:rPr>
      </w:pPr>
    </w:p>
    <w:p>
      <w:pPr>
        <w:ind w:left="660" w:right="420" w:hanging="328"/>
        <w:spacing w:after="0" w:line="225"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8"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10" w:lineRule="exact"/>
        <w:rPr>
          <w:rFonts w:ascii="Arial" w:cs="Arial" w:eastAsia="Arial" w:hAnsi="Arial"/>
          <w:sz w:val="22"/>
          <w:szCs w:val="22"/>
          <w:color w:val="auto"/>
        </w:rPr>
      </w:pPr>
    </w:p>
    <w:p>
      <w:pPr>
        <w:ind w:left="660" w:right="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Pandemics or disease outbreaks and overall macroeconomic trends have had and may continue to have an adverse effect on our business, financial condition, results of operations and prospects.</w:t>
      </w:r>
    </w:p>
    <w:p>
      <w:pPr>
        <w:spacing w:after="0" w:line="10"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strategic initiatives, including as part of the Transformation Pillars, could have long-term adverse effects on our business, financial condition, results of operations and prospects, could result in total costs and expenses that are greater than expected, and we may not realize the operational or financial benefits from such actions.</w:t>
      </w:r>
    </w:p>
    <w:p>
      <w:pPr>
        <w:spacing w:after="0" w:line="9" w:lineRule="exact"/>
        <w:rPr>
          <w:rFonts w:ascii="Arial" w:cs="Arial" w:eastAsia="Arial" w:hAnsi="Arial"/>
          <w:sz w:val="22"/>
          <w:szCs w:val="22"/>
          <w:color w:val="auto"/>
        </w:rPr>
      </w:pPr>
    </w:p>
    <w:p>
      <w:pPr>
        <w:ind w:left="660" w:right="8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0" w:lineRule="exact"/>
        <w:rPr>
          <w:rFonts w:ascii="Arial" w:cs="Arial" w:eastAsia="Arial" w:hAnsi="Arial"/>
          <w:sz w:val="22"/>
          <w:szCs w:val="22"/>
          <w:color w:val="auto"/>
        </w:rPr>
      </w:pPr>
    </w:p>
    <w:p>
      <w:pPr>
        <w:ind w:left="660" w:right="2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spacing w:after="0" w:line="14"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33" w:name="page34"/>
    <w:bookmarkEnd w:id="33"/>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 disruption in our operations could have an adverse effect on our business.</w:t>
      </w:r>
    </w:p>
    <w:p>
      <w:pPr>
        <w:spacing w:after="0" w:line="14" w:lineRule="exact"/>
        <w:rPr>
          <w:rFonts w:ascii="Arial" w:cs="Arial" w:eastAsia="Arial" w:hAnsi="Arial"/>
          <w:sz w:val="22"/>
          <w:szCs w:val="22"/>
          <w:color w:val="auto"/>
        </w:rPr>
      </w:pPr>
    </w:p>
    <w:p>
      <w:pPr>
        <w:ind w:left="660" w:right="400" w:hanging="328"/>
        <w:spacing w:after="0" w:line="225"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8" w:lineRule="exact"/>
        <w:rPr>
          <w:rFonts w:ascii="Arial" w:cs="Arial" w:eastAsia="Arial" w:hAnsi="Arial"/>
          <w:sz w:val="22"/>
          <w:szCs w:val="22"/>
          <w:color w:val="auto"/>
        </w:rPr>
      </w:pPr>
    </w:p>
    <w:p>
      <w:pPr>
        <w:ind w:left="660" w:right="460" w:hanging="328"/>
        <w:spacing w:after="0" w:line="230"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8" w:lineRule="exact"/>
        <w:rPr>
          <w:rFonts w:ascii="Arial" w:cs="Arial" w:eastAsia="Arial" w:hAnsi="Arial"/>
          <w:sz w:val="22"/>
          <w:szCs w:val="22"/>
          <w:color w:val="auto"/>
        </w:rPr>
      </w:pPr>
    </w:p>
    <w:p>
      <w:pPr>
        <w:ind w:left="660" w:right="520" w:hanging="328"/>
        <w:spacing w:after="0" w:line="232" w:lineRule="auto"/>
        <w:tabs>
          <w:tab w:leader="none" w:pos="65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9" w:lineRule="exact"/>
        <w:rPr>
          <w:rFonts w:ascii="Arial" w:cs="Arial" w:eastAsia="Arial" w:hAnsi="Arial"/>
          <w:sz w:val="21"/>
          <w:szCs w:val="21"/>
          <w:color w:val="auto"/>
        </w:rPr>
      </w:pPr>
    </w:p>
    <w:p>
      <w:pPr>
        <w:ind w:left="660" w:right="28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scrutiny and evolving expectations from stakeholders with respect to our ESG practices, performance, commitments and disclosures may impact our reputation, increase our costs and impact our access to capital.</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International trade disputes and the U.S. government’s trade policy could adversely affect our business.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6"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than the risk factors set forth below, there have been no material changes to the risk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maintain our competitive position is largely dependent on the services of our senior management and other key personnel.</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Our ability to maintain our competitive position is largely dependent on the services of our senior management and other key personnel, and the loss of their services could have an adverse effect on our business, financial condition and results of operations.</w:t>
      </w:r>
    </w:p>
    <w:p>
      <w:pPr>
        <w:spacing w:after="0" w:line="189"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Jessica Warren departed as our Chief Creative Officer on April 9, 2024. Jessica Warren is a globally recognized Latina business leader, entrepreneur, advocate, actress, and New York Times bestselling author. We believe that the success of our brand has historically been based in part on our affiliation with Jessica Warren. We had an agreement with Jessica Warren, or the Likeness Agreement, which, among other things, included a license for her likeness and imposed various obligations on us. The Likeness Agreement was terminated as part of Ms. Warren's departure from her Chief Creative Officer position. Resulting from the termination of the Likeness Agreement, we are required to remove </w:t>
      </w:r>
      <w:r>
        <w:rPr>
          <w:rFonts w:ascii="Times New Roman" w:cs="Times New Roman" w:eastAsia="Times New Roman" w:hAnsi="Times New Roman"/>
          <w:sz w:val="18"/>
          <w:szCs w:val="18"/>
          <w:color w:val="000000"/>
        </w:rPr>
        <w:t>certain licensed property from our website, digital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assets, social media and Company-owned or -controlled assets, </w:t>
      </w:r>
      <w:r>
        <w:rPr>
          <w:rFonts w:ascii="Times New Roman" w:cs="Times New Roman" w:eastAsia="Times New Roman" w:hAnsi="Times New Roman"/>
          <w:sz w:val="18"/>
          <w:szCs w:val="18"/>
          <w:color w:val="231F20"/>
        </w:rPr>
        <w:t>digital assets and sell existing inventory that use the licensed intellectual property on its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packaging. Our obligations from the termination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have also historically depended on Ms. Warren’s social media reach and influence to connect with consumers and provide insight on current trends. The loss of the services of Ms. Warren and the loss of our ability to use Ms. Warren’s likeness, could have an adverse effect on our business, financial condition and results of operations.</w:t>
      </w:r>
    </w:p>
    <w:p>
      <w:pPr>
        <w:spacing w:after="0" w:line="21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231F20"/>
        </w:rPr>
        <w:t>In addition, our future success depends on our continued ability to attract, develop, motivate and retain highly qualified and skilled employees, including Carla Vernón, who became our CEO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could be adversely affected.</w:t>
      </w:r>
    </w:p>
    <w:p>
      <w:pPr>
        <w:spacing w:after="0" w:line="21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our existing license agreements or cannot license rights to use technologies on reasonable terms or at all, we may be unable to license rights that are critical to our business.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license or have the right to use certain intellectual property which is critical to our business, including in connection with the Mutual Separation Agreement with Jessica Warren. If we fail to comply with any of the obligations under our license agreements or the Mutual Separation Agreement with Jessica Warren, including not selling licensed products after the agreed timeframe, we may be required to pay damages, dispose of licensed products, increase our reserves for licensed products that cannot be sold, and the licensor may have the right to terminate the license, which could adversely impact our business, financial condition and result of operations. Termination by the licensor would cause us to lose valuable rights, and could inhibit our ability to commercialize our products. If any contract interpretation disagreement were to arise, the resolution could narrow what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4" w:name="page35"/>
    <w:bookmarkEnd w:id="34"/>
    <w:p>
      <w:pPr>
        <w:ind w:right="500"/>
        <w:spacing w:after="0" w:line="266" w:lineRule="auto"/>
        <w:rPr>
          <w:sz w:val="20"/>
          <w:szCs w:val="20"/>
          <w:color w:val="auto"/>
        </w:rPr>
      </w:pPr>
      <w:r>
        <w:rPr>
          <w:rFonts w:ascii="Times New Roman" w:cs="Times New Roman" w:eastAsia="Times New Roman" w:hAnsi="Times New Roman"/>
          <w:sz w:val="18"/>
          <w:szCs w:val="18"/>
          <w:color w:val="231F20"/>
        </w:rPr>
        <w:t>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spacing w:after="0" w:line="18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231F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may seek to grow our business through acquisitions of, or investments in, new or complementary businesses, facilities, technologies or products, or through strategic alliances, and the failure to successfully manage or execute these acquisitions, investments or alliances, or to integrate them with our existing business, could have an adverse effect on us.</w:t>
      </w:r>
    </w:p>
    <w:p>
      <w:pPr>
        <w:spacing w:after="0" w:line="203"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231F20"/>
        </w:rPr>
        <w:t>From time to time we may consider opportunities to acquire or make investments in new or complementary businesses, facilities, technologies, offerings or products, or enter into strategic alliances, that may enhance our capabilities, expand our outsourcing and supplier network, complement our current products or expand the breadth of our markets.</w:t>
      </w:r>
    </w:p>
    <w:p>
      <w:pPr>
        <w:spacing w:after="0" w:line="204" w:lineRule="exact"/>
        <w:rPr>
          <w:sz w:val="20"/>
          <w:szCs w:val="20"/>
          <w:color w:val="auto"/>
        </w:rPr>
      </w:pPr>
    </w:p>
    <w:p>
      <w:pPr>
        <w:ind w:right="680" w:firstLine="648"/>
        <w:spacing w:after="0" w:line="252" w:lineRule="auto"/>
        <w:rPr>
          <w:sz w:val="20"/>
          <w:szCs w:val="20"/>
          <w:color w:val="auto"/>
        </w:rPr>
      </w:pPr>
      <w:r>
        <w:rPr>
          <w:rFonts w:ascii="Times New Roman" w:cs="Times New Roman" w:eastAsia="Times New Roman" w:hAnsi="Times New Roman"/>
          <w:sz w:val="18"/>
          <w:szCs w:val="18"/>
          <w:color w:val="231F20"/>
        </w:rPr>
        <w:t>Acquisitions, investments and other strategic alliances, including our supplier services agreement with Butterblu, involve numerous risks, including:</w:t>
      </w:r>
    </w:p>
    <w:p>
      <w:pPr>
        <w:spacing w:after="0" w:line="1" w:lineRule="exact"/>
        <w:rPr>
          <w:sz w:val="20"/>
          <w:szCs w:val="20"/>
          <w:color w:val="auto"/>
        </w:rPr>
      </w:pPr>
    </w:p>
    <w:p>
      <w:pPr>
        <w:ind w:left="660" w:right="520" w:hanging="328"/>
        <w:spacing w:after="0" w:line="237"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problems integrating the acquired business, facilities, technologies or products, including issues maintaining uniform standards, procedures, controls and policies;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quality control and brand reputation;</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unanticipated costs associated with acquisitions, investments or strategic alliances;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diversion of management’s attention from our existing business;</w:t>
      </w:r>
    </w:p>
    <w:p>
      <w:pPr>
        <w:spacing w:after="0" w:line="6" w:lineRule="exact"/>
        <w:rPr>
          <w:rFonts w:ascii="Times New Roman" w:cs="Times New Roman" w:eastAsia="Times New Roman" w:hAnsi="Times New Roman"/>
          <w:sz w:val="20"/>
          <w:szCs w:val="20"/>
          <w:color w:val="auto"/>
        </w:rPr>
      </w:pPr>
    </w:p>
    <w:p>
      <w:pPr>
        <w:ind w:left="660" w:right="520" w:hanging="328"/>
        <w:spacing w:after="0" w:line="23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adverse effects on existing business relationships with suppliers, outsourced private brand manufacturing partners and retail and ecommerce partners;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any dispute that may arise with respect to such strategic alliance;</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entering new markets in which we may have limited or no experience;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potential loss of key employees of acquired businesses;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increased legal and accounting compliance costs.</w:t>
      </w:r>
    </w:p>
    <w:p>
      <w:pPr>
        <w:spacing w:after="0" w:line="21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We are currently in discussions with Butterblu regarding our respective obligations under the supplier services agreement </w:t>
      </w:r>
      <w:r>
        <w:rPr>
          <w:rFonts w:ascii="Times New Roman" w:cs="Times New Roman" w:eastAsia="Times New Roman" w:hAnsi="Times New Roman"/>
          <w:sz w:val="18"/>
          <w:szCs w:val="18"/>
          <w:color w:val="000000"/>
        </w:rPr>
        <w:t>pursuant to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Butterblu provides certain design, manufacturing, sales and marketing services to us. As part of the supplier services agreement, we have agreed to purchase and own inventory for the term of the supplier service agreement, which is until December 31, 2026, unless terminated sooner. Butterblu continues to operate and maintain our baby apparel offerings independently through the honestbabyclothing.com website under our supplier services agreement and Honest Baby Clothing sales are reflected as revenue in our consolidated statements of operations. These discussions could result in termination of the supplier services agreement prior to its termination date, potential disputes over the terms of termination, and costs to us related to the inventory we agreed to purchase and own for the term of the agreement. In addition, any loss of the relationship with Butterblu may negatively impact sales of our baby apparel, which will adversely affect our results of operations. Revenue generated from baby apparel was 11% and 11%, respectively, of our total revenue during the three months ended September 30, 2024 and 2023, and 11% and 7%, respectively, of our total revenue during the nine months ended September 30, 2024 and 2023.</w:t>
      </w:r>
    </w:p>
    <w:p>
      <w:pPr>
        <w:spacing w:after="0" w:line="219"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231F20"/>
        </w:rPr>
        <w:t>Our ability to successfully grow through strategic transactions depends upon our ability to identify, negotiate, complete and integrate suitable target businesses, facilities, technologies and products and to obtain any necessary financing. These efforts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our business, financial condition, results of operations and prospects could be adversely affected. Also, while we employ several different methodologies to assess potential business opportunities, the new businesses may not meet or exceed our expectations.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None of our officers or directors entered into a 10b5-1 trading plan during the quarter ended September 30, 2024. However, during the quarter ended September 30, 2024 our officers (as defined in Rule 16a-1(f) under the Exchange Act) entered into sell-to-cover arrangements adopted pursuant to Rule 10b5-1 authorizing the pre-arranged sale of shares to satisfy tax withholding obligations of the Company arising exclusively from the vesting of time-vesting or performance-vesting restricted stock units and the related issuance of shares of Common Stock. The amount of shares of Common Stock to be sold to satisfy the Company’s tax withholding obligations under these arrangements is dependent on future events which cannot be known at this time, including the future trading price of Company shares. The expiration date relating to these arrangements is dependent on future events which cannot be known at this time, including the final vest date of the applicable time-vesting or performance-vesting restricted stock units and the officer’s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2"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20"/>
          </w:cols>
          <w:pgMar w:left="320" w:top="428" w:right="359" w:bottom="1440" w:gutter="0" w:footer="0" w:header="0"/>
        </w:sect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1226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36830</wp:posOffset>
            </wp:positionV>
            <wp:extent cx="5768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Amended and Restated Articles of Incorporation, as currently in effect (incorporated herein by reference to Exhibit 3.1 to the Company’s Current Report on Form 8-K (File No. 001-40378), filed with the SEC on May 11, 2021).</w:t>
      </w:r>
    </w:p>
    <w:p>
      <w:pPr>
        <w:ind w:right="440"/>
        <w:spacing w:after="0" w:line="266" w:lineRule="auto"/>
        <w:rPr>
          <w:sz w:val="20"/>
          <w:szCs w:val="20"/>
          <w:color w:val="auto"/>
        </w:rPr>
      </w:pPr>
      <w:r>
        <w:rPr>
          <w:rFonts w:ascii="Times New Roman" w:cs="Times New Roman" w:eastAsia="Times New Roman" w:hAnsi="Times New Roman"/>
          <w:sz w:val="18"/>
          <w:szCs w:val="18"/>
          <w:color w:val="auto"/>
        </w:rPr>
        <w:t>Amended and Restated Bylaws, as currently in effect (incorporated herein by reference to Exhibit 3.2 to the Company’s Annual Report on Form 10-K (File No. 001-40378), filed with the SEC on March 16, 2023).</w:t>
      </w:r>
    </w:p>
    <w:p>
      <w:pPr>
        <w:spacing w:after="0" w:line="1" w:lineRule="exact"/>
        <w:rPr>
          <w:sz w:val="20"/>
          <w:szCs w:val="20"/>
          <w:color w:val="auto"/>
        </w:rPr>
      </w:pPr>
    </w:p>
    <w:p>
      <w:pPr>
        <w:sectPr>
          <w:pgSz w:w="11900" w:h="16838" w:orient="portrait"/>
          <w:cols w:equalWidth="0" w:num="2">
            <w:col w:w="1520" w:space="660"/>
            <w:col w:w="9040"/>
          </w:cols>
          <w:pgMar w:left="320" w:top="428"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3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34"/>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3"/>
                <w:szCs w:val="23"/>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48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8"/>
        <w:spacing w:after="0" w:line="212" w:lineRule="auto"/>
        <w:tabs>
          <w:tab w:leader="none" w:pos="8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type w:val="continuous"/>
        </w:sectPr>
      </w:pPr>
    </w:p>
    <w:bookmarkStart w:id="37" w:name="page38"/>
    <w:bookmarkEnd w:id="37"/>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Carla Vernón</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6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By: /s/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David Loretta</w:t>
      </w:r>
    </w:p>
    <w:p>
      <w:pPr>
        <w:jc w:val="center"/>
        <w:ind w:left="602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pacing w:after="0" w:line="3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0520"/>
          </w:cols>
          <w:pgMar w:left="320" w:top="752" w:right="1059" w:bottom="1440" w:gutter="0" w:footer="0" w:header="0"/>
        </w:sectPr>
      </w:pPr>
    </w:p>
    <w:bookmarkStart w:id="38" w:name="page39"/>
    <w:bookmarkEnd w:id="38"/>
    <w:p>
      <w:pPr>
        <w:ind w:left="94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Carla Vernón, certify that:</w:t>
      </w:r>
    </w:p>
    <w:p>
      <w:pPr>
        <w:spacing w:after="0" w:line="239" w:lineRule="exact"/>
        <w:rPr>
          <w:sz w:val="20"/>
          <w:szCs w:val="20"/>
          <w:color w:val="auto"/>
        </w:rPr>
      </w:pPr>
    </w:p>
    <w:p>
      <w:pPr>
        <w:ind w:left="1940" w:hanging="65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38" w:lineRule="exact"/>
        <w:rPr>
          <w:rFonts w:ascii="Times New Roman" w:cs="Times New Roman" w:eastAsia="Times New Roman" w:hAnsi="Times New Roman"/>
          <w:sz w:val="18"/>
          <w:szCs w:val="18"/>
          <w:color w:val="auto"/>
        </w:rPr>
      </w:pPr>
    </w:p>
    <w:p>
      <w:pPr>
        <w:jc w:val="both"/>
        <w:ind w:left="640" w:right="180" w:firstLine="644"/>
        <w:spacing w:after="0" w:line="250" w:lineRule="auto"/>
        <w:tabs>
          <w:tab w:leader="none" w:pos="19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jc w:val="both"/>
        <w:ind w:left="640" w:right="400" w:firstLine="644"/>
        <w:spacing w:after="0" w:line="250" w:lineRule="auto"/>
        <w:tabs>
          <w:tab w:leader="none" w:pos="19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640" w:right="280" w:firstLine="644"/>
        <w:spacing w:after="0" w:line="250" w:lineRule="auto"/>
        <w:tabs>
          <w:tab w:leader="none" w:pos="19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640" w:right="340" w:firstLine="644"/>
        <w:spacing w:after="0" w:line="250" w:lineRule="auto"/>
        <w:tabs>
          <w:tab w:leader="none" w:pos="19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40" w:right="180" w:firstLine="644"/>
        <w:spacing w:after="0" w:line="250" w:lineRule="auto"/>
        <w:tabs>
          <w:tab w:leader="none" w:pos="19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40" w:firstLine="644"/>
        <w:spacing w:after="0" w:line="296" w:lineRule="auto"/>
        <w:tabs>
          <w:tab w:leader="none" w:pos="193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40" w:right="460" w:firstLine="644"/>
        <w:spacing w:after="0" w:line="242" w:lineRule="auto"/>
        <w:tabs>
          <w:tab w:leader="none" w:pos="19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640" w:right="260" w:firstLine="644"/>
        <w:spacing w:after="0" w:line="250" w:lineRule="auto"/>
        <w:tabs>
          <w:tab w:leader="none" w:pos="19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sz w:val="20"/>
          <w:szCs w:val="20"/>
          <w:color w:val="auto"/>
        </w:rPr>
      </w:pPr>
    </w:p>
    <w:p>
      <w:pPr>
        <w:ind w:left="640" w:right="420" w:firstLine="644"/>
        <w:spacing w:after="0" w:line="296" w:lineRule="auto"/>
        <w:tabs>
          <w:tab w:leader="none" w:pos="193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640" w:right="800" w:firstLine="644"/>
        <w:spacing w:after="0" w:line="266" w:lineRule="auto"/>
        <w:tabs>
          <w:tab w:leader="none" w:pos="19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460" w:val="left"/>
          <w:tab w:leader="none" w:pos="61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17145</wp:posOffset>
            </wp:positionV>
            <wp:extent cx="3463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80"/>
          </w:cols>
          <w:pgMar w:left="340" w:top="1413" w:right="479" w:bottom="1440" w:gutter="0" w:footer="0" w:header="0"/>
        </w:sectPr>
      </w:pPr>
    </w:p>
    <w:bookmarkStart w:id="39" w:name="page40"/>
    <w:bookmarkEnd w:id="39"/>
    <w:p>
      <w:pPr>
        <w:ind w:left="96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David Loretta, certify that:</w:t>
      </w:r>
    </w:p>
    <w:p>
      <w:pPr>
        <w:spacing w:after="0" w:line="219" w:lineRule="exact"/>
        <w:rPr>
          <w:sz w:val="20"/>
          <w:szCs w:val="20"/>
          <w:color w:val="auto"/>
        </w:rPr>
      </w:pPr>
    </w:p>
    <w:p>
      <w:pPr>
        <w:ind w:left="1600" w:hanging="656"/>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38" w:lineRule="exact"/>
        <w:rPr>
          <w:rFonts w:ascii="Times New Roman" w:cs="Times New Roman" w:eastAsia="Times New Roman" w:hAnsi="Times New Roman"/>
          <w:sz w:val="18"/>
          <w:szCs w:val="18"/>
          <w:color w:val="auto"/>
        </w:rPr>
      </w:pPr>
    </w:p>
    <w:p>
      <w:pPr>
        <w:jc w:val="both"/>
        <w:ind w:left="300" w:right="180" w:firstLine="644"/>
        <w:spacing w:after="0" w:line="250" w:lineRule="auto"/>
        <w:tabs>
          <w:tab w:leader="none" w:pos="1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jc w:val="both"/>
        <w:ind w:left="300" w:right="400" w:firstLine="644"/>
        <w:spacing w:after="0" w:line="242" w:lineRule="auto"/>
        <w:tabs>
          <w:tab w:leader="none" w:pos="1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Times New Roman" w:cs="Times New Roman" w:eastAsia="Times New Roman" w:hAnsi="Times New Roman"/>
          <w:sz w:val="18"/>
          <w:szCs w:val="18"/>
          <w:color w:val="auto"/>
        </w:rPr>
      </w:pPr>
    </w:p>
    <w:p>
      <w:pPr>
        <w:ind w:left="300" w:right="280" w:firstLine="644"/>
        <w:spacing w:after="0" w:line="250" w:lineRule="auto"/>
        <w:tabs>
          <w:tab w:leader="none" w:pos="1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300" w:right="340" w:firstLine="644"/>
        <w:spacing w:after="0" w:line="250" w:lineRule="auto"/>
        <w:tabs>
          <w:tab w:leader="none" w:pos="15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300" w:right="180" w:firstLine="644"/>
        <w:spacing w:after="0" w:line="250" w:lineRule="auto"/>
        <w:tabs>
          <w:tab w:leader="none" w:pos="15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00" w:firstLine="644"/>
        <w:spacing w:after="0" w:line="296" w:lineRule="auto"/>
        <w:tabs>
          <w:tab w:leader="none" w:pos="159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300" w:right="460" w:firstLine="644"/>
        <w:spacing w:after="0" w:line="242" w:lineRule="auto"/>
        <w:tabs>
          <w:tab w:leader="none" w:pos="15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300" w:right="260" w:firstLine="644"/>
        <w:spacing w:after="0" w:line="250"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sz w:val="20"/>
          <w:szCs w:val="20"/>
          <w:color w:val="auto"/>
        </w:rPr>
      </w:pPr>
    </w:p>
    <w:p>
      <w:pPr>
        <w:ind w:left="300" w:right="420" w:firstLine="644"/>
        <w:spacing w:after="0" w:line="296" w:lineRule="auto"/>
        <w:tabs>
          <w:tab w:leader="none" w:pos="159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300" w:right="800" w:firstLine="644"/>
        <w:spacing w:after="0" w:line="266" w:lineRule="auto"/>
        <w:tabs>
          <w:tab w:leader="none" w:pos="15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7"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By: /s/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34290</wp:posOffset>
            </wp:positionV>
            <wp:extent cx="3934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David Loretta</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740"/>
          </w:cols>
          <w:pgMar w:left="680" w:top="1413" w:right="479" w:bottom="1440" w:gutter="0" w:footer="0" w:header="0"/>
        </w:sectPr>
      </w:pPr>
    </w:p>
    <w:bookmarkStart w:id="40" w:name="page41"/>
    <w:bookmarkEnd w:id="40"/>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September 30, 2024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26" w:lineRule="exact"/>
        <w:rPr>
          <w:sz w:val="20"/>
          <w:szCs w:val="20"/>
          <w:color w:val="auto"/>
        </w:rPr>
      </w:pPr>
    </w:p>
    <w:p>
      <w:pPr>
        <w:ind w:left="560" w:hanging="504"/>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September 30, 2024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21" w:lineRule="exact"/>
        <w:rPr>
          <w:sz w:val="20"/>
          <w:szCs w:val="20"/>
          <w:color w:val="auto"/>
        </w:rPr>
      </w:pPr>
    </w:p>
    <w:p>
      <w:pPr>
        <w:ind w:left="560" w:hanging="504"/>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David Loretta</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1"/>
    </w:lvl>
    <w:lvl w:ilvl="1">
      <w:lvlJc w:val="left"/>
      <w:lvlText w:val="%2."/>
      <w:numFmt w:val="decimal"/>
      <w:start w:val="7"/>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
    </w:lvl>
    <w:lvl w:ilvl="1">
      <w:lvlJc w:val="left"/>
      <w:lvlText w:val="•"/>
      <w:numFmt w:val="bullet"/>
      <w:start w:val="1"/>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1" Type="http://schemas.openxmlformats.org/officeDocument/2006/relationships/hyperlink" Target="https://www.sec.gov/Archives/edgar/data/0001530979/000119312521157761/d488865dex31.htm" TargetMode="External"/><Relationship Id="rId52" Type="http://schemas.openxmlformats.org/officeDocument/2006/relationships/hyperlink" Target="https://www.sec.gov/Archives/edgar/data/1530979/000153097923000038/honestcoq4-22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2024-11-12T16:08:37Z</dcterms:created>
  <dcterms:modified xsi:type="dcterms:W3CDTF">2024-11-12T16:08:37Z</dcterms:modified>
</cp:coreProperties>
</file>