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6949.xml.htm"/>
      <w:bookmarkStart w:id="1" w:name="kswkform4_1787606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Mayle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Customer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055"/>
        <w:gridCol w:w="449"/>
        <w:gridCol w:w="66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6,161</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4.99</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363,994</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105,799</w:t>
            </w:r>
            <w:r>
              <w:rPr>
                <w:rFonts w:ascii="Times;serif" w:hAnsi="Times;serif"/>
                <w:color w:val="008000"/>
                <w:position w:val="7"/>
                <w:sz w:val="16"/>
                <w:sz w:val="20"/>
                <w:shd w:fill="FFFFFF" w:val="clear"/>
              </w:rPr>
              <w:t>(3)</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469,793</w:t>
            </w:r>
            <w:r>
              <w:rPr>
                <w:rFonts w:ascii="Times;serif" w:hAnsi="Times;serif"/>
                <w:color w:val="008000"/>
                <w:position w:val="7"/>
                <w:sz w:val="16"/>
                <w:sz w:val="20"/>
                <w:shd w:fill="FFFFFF" w:val="clear"/>
              </w:rPr>
              <w:t>(4)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approved sell-to-cover plan by the Compensation Committee for all executive officers, shares were sold solely to cover the associated tax liability upon the vesting of a previously granted award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346,651 RSUs which are payable in an equivalent number of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shall vest over a three-year period, with 50% of the RSUs vesting on February 19, 2028, and the remainder vesting on August 19, 2029, in each case subject to the reporting person's Continuous Service (as defined in the Issuer's 2021 Equity Incentive Plan) through each such date. The RSUs are payable in an equivalent number of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452,450 RSUs which are payable in an equivalent number of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16592"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713</Words>
  <Characters>3839</Characters>
  <CharactersWithSpaces>4472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